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129" w:rsidRPr="00014A47" w:rsidRDefault="00A23129" w:rsidP="00D24BE9">
      <w:pPr>
        <w:jc w:val="center"/>
        <w:rPr>
          <w:b/>
          <w:lang w:val="en-GB"/>
        </w:rPr>
      </w:pPr>
      <w:bookmarkStart w:id="0" w:name="_GoBack"/>
      <w:bookmarkEnd w:id="0"/>
      <w:r w:rsidRPr="00014A47">
        <w:rPr>
          <w:b/>
          <w:lang w:val="en-GB"/>
        </w:rPr>
        <w:t xml:space="preserve">Tabulated Response to Comments on the Draft </w:t>
      </w:r>
      <w:r w:rsidR="00D24BE9" w:rsidRPr="00014A47">
        <w:rPr>
          <w:b/>
          <w:lang w:val="en-GB"/>
        </w:rPr>
        <w:t xml:space="preserve">CPD </w:t>
      </w:r>
      <w:r w:rsidR="00D77B36" w:rsidRPr="00014A47">
        <w:rPr>
          <w:b/>
          <w:lang w:val="en-GB"/>
        </w:rPr>
        <w:t>Kenya</w:t>
      </w:r>
      <w:r w:rsidR="00D24BE9" w:rsidRPr="00014A47">
        <w:rPr>
          <w:b/>
          <w:lang w:val="en-GB"/>
        </w:rPr>
        <w:t xml:space="preserve"> (201</w:t>
      </w:r>
      <w:r w:rsidR="00D77B36" w:rsidRPr="00014A47">
        <w:rPr>
          <w:b/>
          <w:lang w:val="en-GB"/>
        </w:rPr>
        <w:t>8</w:t>
      </w:r>
      <w:r w:rsidRPr="00014A47">
        <w:rPr>
          <w:b/>
          <w:lang w:val="en-GB"/>
        </w:rPr>
        <w:t>-202)</w:t>
      </w:r>
    </w:p>
    <w:tbl>
      <w:tblPr>
        <w:tblStyle w:val="TableGrid"/>
        <w:tblW w:w="0" w:type="auto"/>
        <w:tblLook w:val="04A0" w:firstRow="1" w:lastRow="0" w:firstColumn="1" w:lastColumn="0" w:noHBand="0" w:noVBand="1"/>
      </w:tblPr>
      <w:tblGrid>
        <w:gridCol w:w="4225"/>
        <w:gridCol w:w="2970"/>
        <w:gridCol w:w="4860"/>
      </w:tblGrid>
      <w:tr w:rsidR="00A23129" w:rsidRPr="00014A47" w:rsidTr="00014A47">
        <w:trPr>
          <w:tblHeader/>
        </w:trPr>
        <w:tc>
          <w:tcPr>
            <w:tcW w:w="4225" w:type="dxa"/>
          </w:tcPr>
          <w:p w:rsidR="00A23129" w:rsidRPr="00014A47" w:rsidRDefault="00412F61" w:rsidP="00A23129">
            <w:pPr>
              <w:rPr>
                <w:b/>
              </w:rPr>
            </w:pPr>
            <w:r w:rsidRPr="00014A47">
              <w:rPr>
                <w:b/>
              </w:rPr>
              <w:t xml:space="preserve">Comment by Member State: </w:t>
            </w:r>
            <w:r w:rsidR="007F3D8A" w:rsidRPr="00014A47">
              <w:rPr>
                <w:b/>
              </w:rPr>
              <w:t>Ireland</w:t>
            </w:r>
          </w:p>
        </w:tc>
        <w:tc>
          <w:tcPr>
            <w:tcW w:w="2970" w:type="dxa"/>
          </w:tcPr>
          <w:p w:rsidR="00A23129" w:rsidRPr="00014A47" w:rsidRDefault="00412F61" w:rsidP="00A23129">
            <w:pPr>
              <w:rPr>
                <w:b/>
              </w:rPr>
            </w:pPr>
            <w:r w:rsidRPr="00014A47">
              <w:rPr>
                <w:b/>
              </w:rPr>
              <w:t>Changes to CPD</w:t>
            </w:r>
          </w:p>
        </w:tc>
        <w:tc>
          <w:tcPr>
            <w:tcW w:w="4860" w:type="dxa"/>
          </w:tcPr>
          <w:p w:rsidR="00A23129" w:rsidRPr="00014A47" w:rsidRDefault="00A23129" w:rsidP="00A23129">
            <w:pPr>
              <w:rPr>
                <w:b/>
              </w:rPr>
            </w:pPr>
            <w:r w:rsidRPr="00014A47">
              <w:rPr>
                <w:b/>
              </w:rPr>
              <w:t>CO Remarks</w:t>
            </w:r>
          </w:p>
        </w:tc>
      </w:tr>
      <w:tr w:rsidR="00412F61" w:rsidRPr="00014A47" w:rsidTr="00014A47">
        <w:tc>
          <w:tcPr>
            <w:tcW w:w="4225" w:type="dxa"/>
          </w:tcPr>
          <w:p w:rsidR="002F5FAD" w:rsidRPr="00014A47" w:rsidRDefault="002F5FAD" w:rsidP="002F5FAD">
            <w:pPr>
              <w:rPr>
                <w:lang w:val="en-IE"/>
              </w:rPr>
            </w:pPr>
          </w:p>
          <w:p w:rsidR="002F5FAD" w:rsidRPr="00014A47" w:rsidRDefault="002F5FAD" w:rsidP="002F5FAD">
            <w:pPr>
              <w:rPr>
                <w:b/>
                <w:lang w:val="en-IE"/>
              </w:rPr>
            </w:pPr>
            <w:r w:rsidRPr="00014A47">
              <w:rPr>
                <w:b/>
                <w:lang w:val="en-IE"/>
              </w:rPr>
              <w:t xml:space="preserve">We expected to see more on support to the electoral reform process given that it will cover the period 2018-22 leading up to the next elections. 2017 was a difficult year for Kenya in relation to the Presidential elections and it has been recommended by observation missions that some sort of national stocktaking exercise should be conducted </w:t>
            </w:r>
            <w:proofErr w:type="gramStart"/>
            <w:r w:rsidRPr="00014A47">
              <w:rPr>
                <w:b/>
                <w:lang w:val="en-IE"/>
              </w:rPr>
              <w:t>in order to</w:t>
            </w:r>
            <w:proofErr w:type="gramEnd"/>
            <w:r w:rsidRPr="00014A47">
              <w:rPr>
                <w:b/>
                <w:lang w:val="en-IE"/>
              </w:rPr>
              <w:t xml:space="preserve"> develop and implement key electoral reforms well in advance of the 2022 election. </w:t>
            </w:r>
          </w:p>
          <w:p w:rsidR="002F5FAD" w:rsidRPr="00014A47" w:rsidRDefault="002F5FAD" w:rsidP="002F5FAD">
            <w:pPr>
              <w:rPr>
                <w:b/>
                <w:lang w:val="en-IE"/>
              </w:rPr>
            </w:pPr>
          </w:p>
          <w:p w:rsidR="002F5FAD" w:rsidRPr="00014A47" w:rsidRDefault="002F5FAD" w:rsidP="002F5FAD">
            <w:pPr>
              <w:rPr>
                <w:b/>
                <w:lang w:val="en-IE"/>
              </w:rPr>
            </w:pPr>
            <w:r w:rsidRPr="00014A47">
              <w:rPr>
                <w:b/>
                <w:lang w:val="en-IE"/>
              </w:rPr>
              <w:t xml:space="preserve">Given that the UNDP CPD covers 2018 to 2022, and </w:t>
            </w:r>
            <w:proofErr w:type="gramStart"/>
            <w:r w:rsidRPr="00014A47">
              <w:rPr>
                <w:b/>
                <w:lang w:val="en-IE"/>
              </w:rPr>
              <w:t>in light of</w:t>
            </w:r>
            <w:proofErr w:type="gramEnd"/>
            <w:r w:rsidRPr="00014A47">
              <w:rPr>
                <w:b/>
                <w:lang w:val="en-IE"/>
              </w:rPr>
              <w:t xml:space="preserve"> UNDP’s mandate with respect to leading democratic governance assistance at country level, we would welcome/expect some support to any such stocktaking and lesson learning exercise. Output 2.4 indicates that electoral management bodies will be supported with ‘technical and financial capacities’ but this could really be more detailed and at the very least, should reflect that it will be based on lessons learned from the 2017 elections.</w:t>
            </w:r>
          </w:p>
          <w:p w:rsidR="002F5FAD" w:rsidRPr="00014A47" w:rsidRDefault="002F5FAD" w:rsidP="002F5FAD">
            <w:pPr>
              <w:rPr>
                <w:color w:val="1F497D"/>
                <w:lang w:val="en-IE"/>
              </w:rPr>
            </w:pPr>
          </w:p>
          <w:p w:rsidR="002F5FAD" w:rsidRPr="00014A47" w:rsidRDefault="002F5FAD" w:rsidP="002C1D33">
            <w:pPr>
              <w:autoSpaceDE w:val="0"/>
              <w:autoSpaceDN w:val="0"/>
            </w:pPr>
          </w:p>
          <w:p w:rsidR="002F5FAD" w:rsidRPr="00014A47" w:rsidRDefault="002F5FAD" w:rsidP="002C1D33">
            <w:pPr>
              <w:autoSpaceDE w:val="0"/>
              <w:autoSpaceDN w:val="0"/>
            </w:pPr>
          </w:p>
          <w:p w:rsidR="002F5FAD" w:rsidRPr="00014A47" w:rsidRDefault="002F5FAD" w:rsidP="002C1D33">
            <w:pPr>
              <w:autoSpaceDE w:val="0"/>
              <w:autoSpaceDN w:val="0"/>
            </w:pPr>
          </w:p>
          <w:p w:rsidR="002F5FAD" w:rsidRPr="00014A47" w:rsidRDefault="002F5FAD" w:rsidP="002C1D33">
            <w:pPr>
              <w:autoSpaceDE w:val="0"/>
              <w:autoSpaceDN w:val="0"/>
            </w:pPr>
          </w:p>
          <w:p w:rsidR="002F5FAD" w:rsidRPr="00014A47" w:rsidRDefault="002F5FAD" w:rsidP="002C1D33">
            <w:pPr>
              <w:autoSpaceDE w:val="0"/>
              <w:autoSpaceDN w:val="0"/>
            </w:pPr>
          </w:p>
          <w:p w:rsidR="002F5FAD" w:rsidRPr="00014A47" w:rsidRDefault="002F5FAD" w:rsidP="002C1D33">
            <w:pPr>
              <w:autoSpaceDE w:val="0"/>
              <w:autoSpaceDN w:val="0"/>
            </w:pPr>
          </w:p>
          <w:p w:rsidR="002F5FAD" w:rsidRPr="00014A47" w:rsidRDefault="002F5FAD" w:rsidP="002C1D33">
            <w:pPr>
              <w:autoSpaceDE w:val="0"/>
              <w:autoSpaceDN w:val="0"/>
            </w:pPr>
          </w:p>
          <w:p w:rsidR="002F5FAD" w:rsidRPr="00014A47" w:rsidRDefault="002F5FAD" w:rsidP="002C1D33">
            <w:pPr>
              <w:autoSpaceDE w:val="0"/>
              <w:autoSpaceDN w:val="0"/>
            </w:pPr>
          </w:p>
          <w:p w:rsidR="002F5FAD" w:rsidRPr="00014A47" w:rsidRDefault="002F5FAD" w:rsidP="002C1D33">
            <w:pPr>
              <w:autoSpaceDE w:val="0"/>
              <w:autoSpaceDN w:val="0"/>
            </w:pPr>
          </w:p>
          <w:p w:rsidR="002F5FAD" w:rsidRPr="00014A47" w:rsidRDefault="002F5FAD" w:rsidP="002C1D33">
            <w:pPr>
              <w:autoSpaceDE w:val="0"/>
              <w:autoSpaceDN w:val="0"/>
            </w:pPr>
          </w:p>
        </w:tc>
        <w:tc>
          <w:tcPr>
            <w:tcW w:w="2970" w:type="dxa"/>
          </w:tcPr>
          <w:p w:rsidR="002007F1" w:rsidRPr="00014A47" w:rsidRDefault="002007F1" w:rsidP="001E528A"/>
          <w:p w:rsidR="002007F1" w:rsidRPr="00014A47" w:rsidRDefault="00014A47" w:rsidP="001E528A">
            <w:r w:rsidRPr="00014A47">
              <w:rPr>
                <w:highlight w:val="cyan"/>
              </w:rPr>
              <w:t>Para</w:t>
            </w:r>
            <w:r w:rsidR="002007F1" w:rsidRPr="00014A47">
              <w:rPr>
                <w:highlight w:val="cyan"/>
              </w:rPr>
              <w:t xml:space="preserve"> 28. Based on lessons learned from the 2017 electoral support and</w:t>
            </w:r>
            <w:r w:rsidR="002007F1" w:rsidRPr="00014A47">
              <w:t xml:space="preserve"> leading to the 2022 elections, UNDP will leverage exi</w:t>
            </w:r>
            <w:r w:rsidR="00034018">
              <w:t>s</w:t>
            </w:r>
            <w:r w:rsidR="002007F1" w:rsidRPr="00014A47">
              <w:t xml:space="preserve">ting bilateral partnerships with inter alia, USAID, DFID, Sweden, Norway, Netherlands, Denmark, Italy, EU, Germany </w:t>
            </w:r>
            <w:r w:rsidR="002007F1" w:rsidRPr="00014A47">
              <w:rPr>
                <w:highlight w:val="cyan"/>
              </w:rPr>
              <w:t>and Ireland</w:t>
            </w:r>
            <w:r w:rsidR="002007F1" w:rsidRPr="00014A47">
              <w:t xml:space="preserve"> to implement early conflict mitigation measures, civic and voter education, political party regulation and judicial capacity to adjudicate electoral disputes. </w:t>
            </w:r>
          </w:p>
          <w:p w:rsidR="002007F1" w:rsidRPr="00014A47" w:rsidRDefault="002007F1" w:rsidP="001E528A"/>
          <w:p w:rsidR="002007F1" w:rsidRPr="00014A47" w:rsidRDefault="002007F1" w:rsidP="001E528A">
            <w:r w:rsidRPr="00014A47">
              <w:rPr>
                <w:b/>
              </w:rPr>
              <w:t>Output 2.4</w:t>
            </w:r>
            <w:r w:rsidRPr="00014A47">
              <w:t xml:space="preserve">: Electoral management bodies have technical, financial and operational capacities to conduct free, fair, credible and inclusive peaceful elections, </w:t>
            </w:r>
            <w:r w:rsidRPr="00014A47">
              <w:rPr>
                <w:highlight w:val="cyan"/>
              </w:rPr>
              <w:t xml:space="preserve">and also based </w:t>
            </w:r>
            <w:proofErr w:type="gramStart"/>
            <w:r w:rsidRPr="00014A47">
              <w:rPr>
                <w:highlight w:val="cyan"/>
              </w:rPr>
              <w:t>on  lessons</w:t>
            </w:r>
            <w:proofErr w:type="gramEnd"/>
            <w:r w:rsidRPr="00014A47">
              <w:rPr>
                <w:highlight w:val="cyan"/>
              </w:rPr>
              <w:t xml:space="preserve"> learned from the 2017 elections.</w:t>
            </w:r>
            <w:r w:rsidRPr="00014A47">
              <w:t xml:space="preserve"> </w:t>
            </w:r>
          </w:p>
        </w:tc>
        <w:tc>
          <w:tcPr>
            <w:tcW w:w="4860" w:type="dxa"/>
          </w:tcPr>
          <w:p w:rsidR="00693CDE" w:rsidRPr="00014A47" w:rsidRDefault="00693CDE" w:rsidP="00014A47">
            <w:pPr>
              <w:spacing w:line="216" w:lineRule="auto"/>
              <w:ind w:left="162"/>
              <w:contextualSpacing/>
              <w:rPr>
                <w:rFonts w:eastAsia="+mn-ea" w:cs="+mn-cs"/>
                <w:color w:val="000000"/>
                <w:kern w:val="24"/>
              </w:rPr>
            </w:pPr>
            <w:r w:rsidRPr="00014A47">
              <w:rPr>
                <w:rFonts w:eastAsia="+mn-ea" w:cs="+mn-cs"/>
                <w:color w:val="000000"/>
                <w:kern w:val="24"/>
              </w:rPr>
              <w:t xml:space="preserve">A very valid point raised by Ireland on the criticality of a stocktaking and lessons learning exercise. We agree with this.  It </w:t>
            </w:r>
            <w:r w:rsidR="002007F1" w:rsidRPr="00014A47">
              <w:rPr>
                <w:rFonts w:eastAsia="+mn-ea" w:cs="+mn-cs"/>
                <w:color w:val="000000"/>
                <w:kern w:val="24"/>
              </w:rPr>
              <w:t>should be noted</w:t>
            </w:r>
            <w:r w:rsidRPr="00014A47">
              <w:rPr>
                <w:rFonts w:eastAsia="+mn-ea" w:cs="+mn-cs"/>
                <w:color w:val="000000"/>
                <w:kern w:val="24"/>
              </w:rPr>
              <w:t xml:space="preserve"> that UNDP</w:t>
            </w:r>
            <w:r w:rsidR="002007F1" w:rsidRPr="00014A47">
              <w:rPr>
                <w:rFonts w:eastAsia="+mn-ea" w:cs="+mn-cs"/>
                <w:color w:val="000000"/>
                <w:kern w:val="24"/>
              </w:rPr>
              <w:t xml:space="preserve"> Kenya is </w:t>
            </w:r>
            <w:r w:rsidR="002007F1" w:rsidRPr="00014A47">
              <w:rPr>
                <w:rFonts w:eastAsia="+mn-ea" w:cs="+mn-cs"/>
                <w:color w:val="000000"/>
                <w:kern w:val="24"/>
                <w:u w:val="single"/>
              </w:rPr>
              <w:t>N</w:t>
            </w:r>
            <w:r w:rsidRPr="00014A47">
              <w:rPr>
                <w:rFonts w:eastAsia="+mn-ea" w:cs="+mn-cs"/>
                <w:color w:val="000000"/>
                <w:kern w:val="24"/>
                <w:u w:val="single"/>
              </w:rPr>
              <w:t>o</w:t>
            </w:r>
            <w:r w:rsidRPr="00014A47">
              <w:rPr>
                <w:rFonts w:eastAsia="+mn-ea" w:cs="+mn-cs"/>
                <w:color w:val="000000"/>
                <w:kern w:val="24"/>
              </w:rPr>
              <w:t>t waiting for the new CPD 2018 - 2022</w:t>
            </w:r>
            <w:r w:rsidR="002007F1" w:rsidRPr="00014A47">
              <w:rPr>
                <w:rFonts w:eastAsia="+mn-ea" w:cs="+mn-cs"/>
                <w:color w:val="000000"/>
                <w:kern w:val="24"/>
              </w:rPr>
              <w:t xml:space="preserve"> to be approved, </w:t>
            </w:r>
            <w:r w:rsidRPr="00014A47">
              <w:rPr>
                <w:rFonts w:eastAsia="+mn-ea" w:cs="+mn-cs"/>
                <w:color w:val="000000"/>
                <w:kern w:val="24"/>
              </w:rPr>
              <w:t xml:space="preserve">but is already supporting this process of </w:t>
            </w:r>
            <w:r w:rsidR="002007F1" w:rsidRPr="00014A47">
              <w:rPr>
                <w:rFonts w:eastAsia="+mn-ea" w:cs="+mn-cs"/>
                <w:color w:val="000000"/>
                <w:kern w:val="24"/>
              </w:rPr>
              <w:t xml:space="preserve">comprehensive </w:t>
            </w:r>
            <w:r w:rsidRPr="00014A47">
              <w:rPr>
                <w:rFonts w:eastAsia="+mn-ea" w:cs="+mn-cs"/>
                <w:color w:val="000000"/>
                <w:kern w:val="24"/>
              </w:rPr>
              <w:t>stocktaking</w:t>
            </w:r>
            <w:r w:rsidR="002007F1" w:rsidRPr="00014A47">
              <w:rPr>
                <w:rFonts w:eastAsia="+mn-ea" w:cs="+mn-cs"/>
                <w:color w:val="000000"/>
                <w:kern w:val="24"/>
              </w:rPr>
              <w:t xml:space="preserve">. Funding is available </w:t>
            </w:r>
            <w:proofErr w:type="gramStart"/>
            <w:r w:rsidR="002007F1" w:rsidRPr="00014A47">
              <w:rPr>
                <w:rFonts w:eastAsia="+mn-ea" w:cs="+mn-cs"/>
                <w:color w:val="000000"/>
                <w:kern w:val="24"/>
              </w:rPr>
              <w:t xml:space="preserve">to </w:t>
            </w:r>
            <w:r w:rsidRPr="00014A47">
              <w:rPr>
                <w:rFonts w:eastAsia="+mn-ea" w:cs="+mn-cs"/>
                <w:color w:val="000000"/>
                <w:kern w:val="24"/>
              </w:rPr>
              <w:t xml:space="preserve"> undertake</w:t>
            </w:r>
            <w:proofErr w:type="gramEnd"/>
            <w:r w:rsidRPr="00014A47">
              <w:rPr>
                <w:rFonts w:eastAsia="+mn-ea" w:cs="+mn-cs"/>
                <w:color w:val="000000"/>
                <w:kern w:val="24"/>
              </w:rPr>
              <w:t xml:space="preserve"> this in a comprehensive, accountable and inclusive, rights based </w:t>
            </w:r>
            <w:r w:rsidR="002007F1" w:rsidRPr="00014A47">
              <w:rPr>
                <w:rFonts w:eastAsia="+mn-ea" w:cs="+mn-cs"/>
                <w:color w:val="000000"/>
                <w:kern w:val="24"/>
              </w:rPr>
              <w:t>process.</w:t>
            </w:r>
          </w:p>
          <w:p w:rsidR="00693CDE" w:rsidRPr="00014A47" w:rsidRDefault="00693CDE" w:rsidP="00014A47">
            <w:pPr>
              <w:spacing w:line="216" w:lineRule="auto"/>
              <w:ind w:left="162"/>
              <w:contextualSpacing/>
              <w:rPr>
                <w:rFonts w:eastAsia="+mn-ea" w:cs="+mn-cs"/>
                <w:b/>
                <w:color w:val="000000"/>
                <w:kern w:val="24"/>
              </w:rPr>
            </w:pPr>
          </w:p>
          <w:p w:rsidR="00D339EE" w:rsidRPr="00014A47" w:rsidRDefault="00D339EE" w:rsidP="00014A47">
            <w:pPr>
              <w:spacing w:line="216" w:lineRule="auto"/>
              <w:ind w:left="162"/>
              <w:contextualSpacing/>
              <w:rPr>
                <w:rFonts w:eastAsia="+mn-ea" w:cs="+mn-cs"/>
                <w:b/>
                <w:color w:val="000000"/>
                <w:kern w:val="24"/>
              </w:rPr>
            </w:pPr>
            <w:r w:rsidRPr="00014A47">
              <w:rPr>
                <w:rFonts w:eastAsia="+mn-ea" w:cs="+mn-cs"/>
                <w:color w:val="000000"/>
                <w:kern w:val="24"/>
              </w:rPr>
              <w:t xml:space="preserve">UNDP through its Electoral project, </w:t>
            </w:r>
            <w:r w:rsidRPr="00014A47">
              <w:rPr>
                <w:rFonts w:eastAsia="+mn-ea" w:cs="+mn-cs"/>
                <w:i/>
                <w:color w:val="000000"/>
                <w:kern w:val="24"/>
              </w:rPr>
              <w:t>‘</w:t>
            </w:r>
            <w:r w:rsidRPr="00014A47">
              <w:rPr>
                <w:rFonts w:eastAsia="+mn-ea" w:cs="+mn-cs"/>
                <w:b/>
                <w:i/>
                <w:color w:val="000000"/>
                <w:kern w:val="24"/>
              </w:rPr>
              <w:t>Strengthening Electoral Processes in Kenya’</w:t>
            </w:r>
            <w:r w:rsidRPr="00014A47">
              <w:rPr>
                <w:rFonts w:eastAsia="+mn-ea" w:cs="+mn-cs"/>
                <w:b/>
                <w:color w:val="000000"/>
                <w:kern w:val="24"/>
              </w:rPr>
              <w:t xml:space="preserve"> project (SEPK</w:t>
            </w:r>
            <w:r w:rsidRPr="00014A47">
              <w:rPr>
                <w:rFonts w:eastAsia="+mn-ea" w:cs="+mn-cs"/>
                <w:color w:val="000000"/>
                <w:kern w:val="24"/>
              </w:rPr>
              <w:t xml:space="preserve">) is </w:t>
            </w:r>
            <w:r w:rsidR="00693CDE" w:rsidRPr="00014A47">
              <w:rPr>
                <w:rFonts w:eastAsia="+mn-ea" w:cs="+mn-cs"/>
                <w:color w:val="000000"/>
                <w:kern w:val="24"/>
              </w:rPr>
              <w:t xml:space="preserve">under the 2018 Annual Work Plan, </w:t>
            </w:r>
            <w:r w:rsidR="00693CDE" w:rsidRPr="00014A47">
              <w:rPr>
                <w:rFonts w:eastAsia="+mn-ea" w:cs="+mn-cs"/>
                <w:b/>
                <w:color w:val="000000"/>
                <w:kern w:val="24"/>
              </w:rPr>
              <w:t xml:space="preserve">currently </w:t>
            </w:r>
            <w:r w:rsidRPr="00014A47">
              <w:rPr>
                <w:rFonts w:eastAsia="+mn-ea" w:cs="+mn-cs"/>
                <w:b/>
                <w:color w:val="000000"/>
                <w:kern w:val="24"/>
              </w:rPr>
              <w:t>facilitating in-depth reflection and lesson-learning by EMBs and stakeholders;</w:t>
            </w:r>
          </w:p>
          <w:p w:rsidR="00693CDE" w:rsidRPr="00014A47" w:rsidRDefault="00693CDE" w:rsidP="00D339EE">
            <w:pPr>
              <w:spacing w:line="216" w:lineRule="auto"/>
              <w:ind w:left="720"/>
              <w:contextualSpacing/>
              <w:rPr>
                <w:rFonts w:eastAsia="+mn-ea" w:cs="+mn-cs"/>
                <w:b/>
                <w:color w:val="000000"/>
                <w:kern w:val="24"/>
              </w:rPr>
            </w:pPr>
          </w:p>
          <w:p w:rsidR="00D339EE" w:rsidRPr="00014A47" w:rsidRDefault="00D339EE" w:rsidP="00014A47">
            <w:pPr>
              <w:spacing w:line="216" w:lineRule="auto"/>
              <w:ind w:left="342"/>
              <w:contextualSpacing/>
              <w:rPr>
                <w:rFonts w:eastAsia="Times New Roman" w:cs="Times New Roman"/>
              </w:rPr>
            </w:pPr>
            <w:r w:rsidRPr="00014A47">
              <w:rPr>
                <w:rFonts w:eastAsia="Times New Roman" w:cs="Times New Roman"/>
                <w:b/>
              </w:rPr>
              <w:t xml:space="preserve">Specific </w:t>
            </w:r>
            <w:r w:rsidR="00693CDE" w:rsidRPr="00014A47">
              <w:rPr>
                <w:rFonts w:eastAsia="Times New Roman" w:cs="Times New Roman"/>
                <w:b/>
              </w:rPr>
              <w:t>focus is</w:t>
            </w:r>
            <w:r w:rsidRPr="00014A47">
              <w:rPr>
                <w:rFonts w:eastAsia="Times New Roman" w:cs="Times New Roman"/>
                <w:b/>
              </w:rPr>
              <w:t xml:space="preserve"> on</w:t>
            </w:r>
            <w:r w:rsidRPr="00014A47">
              <w:rPr>
                <w:rFonts w:eastAsia="Times New Roman" w:cs="Times New Roman"/>
              </w:rPr>
              <w:t>:</w:t>
            </w:r>
          </w:p>
          <w:p w:rsidR="00D339EE" w:rsidRPr="00014A47" w:rsidRDefault="00D339EE" w:rsidP="00014A47">
            <w:pPr>
              <w:numPr>
                <w:ilvl w:val="0"/>
                <w:numId w:val="9"/>
              </w:numPr>
              <w:ind w:left="342"/>
              <w:contextualSpacing/>
              <w:rPr>
                <w:rFonts w:eastAsia="Times New Roman" w:cs="Times New Roman"/>
              </w:rPr>
            </w:pPr>
            <w:r w:rsidRPr="00014A47">
              <w:rPr>
                <w:rFonts w:eastAsia="Times New Roman" w:cs="Times New Roman"/>
                <w:color w:val="000000"/>
                <w:kern w:val="24"/>
              </w:rPr>
              <w:t xml:space="preserve">Technical support for the </w:t>
            </w:r>
            <w:r w:rsidRPr="00014A47">
              <w:rPr>
                <w:rFonts w:eastAsia="Times New Roman" w:cs="Times New Roman"/>
                <w:color w:val="000000"/>
                <w:kern w:val="24"/>
                <w:u w:val="single"/>
              </w:rPr>
              <w:t>Independent Electoral and Boundaries Commission</w:t>
            </w:r>
            <w:r w:rsidRPr="00014A47">
              <w:rPr>
                <w:rFonts w:eastAsia="Times New Roman" w:cs="Times New Roman"/>
                <w:color w:val="000000"/>
                <w:kern w:val="24"/>
              </w:rPr>
              <w:t xml:space="preserve"> (IEBC’s) Post-election evaluation </w:t>
            </w:r>
          </w:p>
          <w:p w:rsidR="00D339EE" w:rsidRPr="00014A47" w:rsidRDefault="00D339EE" w:rsidP="00014A47">
            <w:pPr>
              <w:numPr>
                <w:ilvl w:val="0"/>
                <w:numId w:val="9"/>
              </w:numPr>
              <w:ind w:left="342"/>
              <w:contextualSpacing/>
              <w:rPr>
                <w:rFonts w:eastAsia="Times New Roman" w:cs="Times New Roman"/>
              </w:rPr>
            </w:pPr>
            <w:r w:rsidRPr="00014A47">
              <w:rPr>
                <w:rFonts w:eastAsia="Times New Roman" w:cs="Times New Roman"/>
                <w:color w:val="000000"/>
                <w:kern w:val="24"/>
              </w:rPr>
              <w:t xml:space="preserve">Institutional support for </w:t>
            </w:r>
            <w:r w:rsidRPr="00014A47">
              <w:rPr>
                <w:rFonts w:eastAsia="Times New Roman" w:cs="Times New Roman"/>
                <w:color w:val="000000"/>
                <w:kern w:val="24"/>
                <w:u w:val="single"/>
              </w:rPr>
              <w:t>electoral management bodies and k</w:t>
            </w:r>
            <w:r w:rsidR="002007F1" w:rsidRPr="00014A47">
              <w:rPr>
                <w:rFonts w:eastAsia="Times New Roman" w:cs="Times New Roman"/>
                <w:color w:val="000000"/>
                <w:kern w:val="24"/>
                <w:u w:val="single"/>
              </w:rPr>
              <w:t>ey stakeholders to engage with P</w:t>
            </w:r>
            <w:r w:rsidRPr="00014A47">
              <w:rPr>
                <w:rFonts w:eastAsia="Times New Roman" w:cs="Times New Roman"/>
                <w:color w:val="000000"/>
                <w:kern w:val="24"/>
                <w:u w:val="single"/>
              </w:rPr>
              <w:t>arliament</w:t>
            </w:r>
            <w:r w:rsidRPr="00014A47">
              <w:rPr>
                <w:rFonts w:eastAsia="Times New Roman" w:cs="Times New Roman"/>
                <w:color w:val="000000"/>
                <w:kern w:val="24"/>
              </w:rPr>
              <w:t xml:space="preserve"> on issues arising from the post-election evaluations</w:t>
            </w:r>
          </w:p>
          <w:p w:rsidR="00D339EE" w:rsidRPr="00014A47" w:rsidRDefault="00D339EE" w:rsidP="00014A47">
            <w:pPr>
              <w:numPr>
                <w:ilvl w:val="0"/>
                <w:numId w:val="9"/>
              </w:numPr>
              <w:ind w:left="342"/>
              <w:rPr>
                <w:rFonts w:eastAsia="Calibri" w:cs="Times New Roman"/>
              </w:rPr>
            </w:pPr>
            <w:r w:rsidRPr="00014A47">
              <w:rPr>
                <w:rFonts w:eastAsia="Calibri" w:cs="Times New Roman"/>
              </w:rPr>
              <w:t xml:space="preserve">Technical support to IEBC to evaluate impact of </w:t>
            </w:r>
            <w:r w:rsidRPr="00014A47">
              <w:rPr>
                <w:rFonts w:eastAsia="Calibri" w:cs="Times New Roman"/>
                <w:u w:val="single"/>
              </w:rPr>
              <w:t>voter education and engagement of stakeholders</w:t>
            </w:r>
            <w:r w:rsidRPr="00014A47">
              <w:rPr>
                <w:rFonts w:eastAsia="Calibri" w:cs="Times New Roman"/>
              </w:rPr>
              <w:t xml:space="preserve"> on post-election evaluation outcomes</w:t>
            </w:r>
          </w:p>
          <w:p w:rsidR="00D339EE" w:rsidRPr="00014A47" w:rsidRDefault="00D339EE" w:rsidP="00014A47">
            <w:pPr>
              <w:numPr>
                <w:ilvl w:val="0"/>
                <w:numId w:val="9"/>
              </w:numPr>
              <w:ind w:left="342"/>
              <w:rPr>
                <w:rFonts w:eastAsia="Calibri" w:cs="Times New Roman"/>
              </w:rPr>
            </w:pPr>
            <w:r w:rsidRPr="00014A47">
              <w:rPr>
                <w:rFonts w:eastAsia="Calibri" w:cs="Times New Roman"/>
              </w:rPr>
              <w:t xml:space="preserve">Thematic evaluations of participation of </w:t>
            </w:r>
            <w:r w:rsidRPr="00014A47">
              <w:rPr>
                <w:rFonts w:eastAsia="Calibri" w:cs="Times New Roman"/>
                <w:u w:val="single"/>
              </w:rPr>
              <w:t>women and special interest groups</w:t>
            </w:r>
            <w:r w:rsidRPr="00014A47">
              <w:rPr>
                <w:rFonts w:eastAsia="Calibri" w:cs="Times New Roman"/>
              </w:rPr>
              <w:t xml:space="preserve"> in 2017 electoral cycle</w:t>
            </w:r>
          </w:p>
          <w:p w:rsidR="00D339EE" w:rsidRPr="00014A47" w:rsidRDefault="00D339EE" w:rsidP="00014A47">
            <w:pPr>
              <w:numPr>
                <w:ilvl w:val="0"/>
                <w:numId w:val="9"/>
              </w:numPr>
              <w:ind w:left="342"/>
              <w:rPr>
                <w:rFonts w:eastAsia="Calibri" w:cs="Times New Roman"/>
              </w:rPr>
            </w:pPr>
            <w:r w:rsidRPr="00014A47">
              <w:rPr>
                <w:rFonts w:eastAsia="Calibri" w:cs="Times New Roman"/>
              </w:rPr>
              <w:t xml:space="preserve">Thematic evaluation on role of </w:t>
            </w:r>
            <w:r w:rsidRPr="00014A47">
              <w:rPr>
                <w:rFonts w:eastAsia="Calibri" w:cs="Times New Roman"/>
                <w:u w:val="single"/>
              </w:rPr>
              <w:t>Media Council of Kenya</w:t>
            </w:r>
            <w:r w:rsidRPr="00014A47">
              <w:rPr>
                <w:rFonts w:eastAsia="Calibri" w:cs="Times New Roman"/>
              </w:rPr>
              <w:t xml:space="preserve"> (MCK) in 2017 electoral cycle</w:t>
            </w:r>
          </w:p>
          <w:p w:rsidR="00D339EE" w:rsidRPr="00014A47" w:rsidRDefault="00D339EE" w:rsidP="00014A47">
            <w:pPr>
              <w:numPr>
                <w:ilvl w:val="0"/>
                <w:numId w:val="9"/>
              </w:numPr>
              <w:ind w:left="342"/>
              <w:rPr>
                <w:rFonts w:eastAsia="Calibri" w:cs="Times New Roman"/>
                <w:u w:val="single"/>
              </w:rPr>
            </w:pPr>
            <w:r w:rsidRPr="00014A47">
              <w:rPr>
                <w:rFonts w:eastAsia="Calibri" w:cs="Times New Roman"/>
              </w:rPr>
              <w:lastRenderedPageBreak/>
              <w:t xml:space="preserve">Technical support for thematic evaluations of 2017 electoral cycle- </w:t>
            </w:r>
            <w:r w:rsidRPr="00014A47">
              <w:rPr>
                <w:rFonts w:eastAsia="Calibri" w:cs="Times New Roman"/>
                <w:u w:val="single"/>
              </w:rPr>
              <w:t>Electoral technology &amp; domestic observation</w:t>
            </w:r>
          </w:p>
          <w:p w:rsidR="00D339EE" w:rsidRPr="00014A47" w:rsidRDefault="00D339EE" w:rsidP="00014A47">
            <w:pPr>
              <w:numPr>
                <w:ilvl w:val="0"/>
                <w:numId w:val="9"/>
              </w:numPr>
              <w:ind w:left="342"/>
              <w:rPr>
                <w:rFonts w:eastAsia="Calibri" w:cs="Times New Roman"/>
                <w:u w:val="single"/>
              </w:rPr>
            </w:pPr>
            <w:r w:rsidRPr="00014A47">
              <w:rPr>
                <w:rFonts w:eastAsia="Calibri" w:cs="Times New Roman"/>
              </w:rPr>
              <w:t xml:space="preserve">Technical support for thematic evaluation of </w:t>
            </w:r>
            <w:r w:rsidRPr="00014A47">
              <w:rPr>
                <w:rFonts w:eastAsia="Calibri" w:cs="Times New Roman"/>
                <w:u w:val="single"/>
              </w:rPr>
              <w:t xml:space="preserve">electoral security arrangements programme and related human rights dimensions, </w:t>
            </w:r>
            <w:r w:rsidRPr="00014A47">
              <w:rPr>
                <w:rFonts w:eastAsia="Calibri" w:cs="Times New Roman"/>
              </w:rPr>
              <w:t xml:space="preserve">and </w:t>
            </w:r>
            <w:r w:rsidRPr="00014A47">
              <w:rPr>
                <w:rFonts w:eastAsia="Calibri" w:cs="Times New Roman"/>
                <w:u w:val="single"/>
              </w:rPr>
              <w:t>r</w:t>
            </w:r>
            <w:r w:rsidRPr="00014A47">
              <w:rPr>
                <w:rFonts w:eastAsia="Calibri" w:cs="Times New Roman"/>
              </w:rPr>
              <w:t>esidual institutional strengthening of key stakeholders for accountability over human rights violations</w:t>
            </w:r>
          </w:p>
          <w:p w:rsidR="00D339EE" w:rsidRPr="00014A47" w:rsidRDefault="00D339EE" w:rsidP="00014A47">
            <w:pPr>
              <w:numPr>
                <w:ilvl w:val="0"/>
                <w:numId w:val="9"/>
              </w:numPr>
              <w:ind w:left="342"/>
              <w:rPr>
                <w:rFonts w:eastAsia="Calibri" w:cs="Times New Roman"/>
              </w:rPr>
            </w:pPr>
            <w:r w:rsidRPr="00014A47">
              <w:rPr>
                <w:rFonts w:eastAsia="Calibri" w:cs="Times New Roman"/>
              </w:rPr>
              <w:t xml:space="preserve">Technical support for thematic evaluations on </w:t>
            </w:r>
            <w:r w:rsidRPr="00014A47">
              <w:rPr>
                <w:rFonts w:eastAsia="Calibri" w:cs="Times New Roman"/>
                <w:u w:val="single"/>
              </w:rPr>
              <w:t>electoral dispute resolution</w:t>
            </w:r>
          </w:p>
          <w:p w:rsidR="00693CDE" w:rsidRPr="00014A47" w:rsidRDefault="00693CDE" w:rsidP="00693CDE">
            <w:pPr>
              <w:ind w:left="360"/>
              <w:rPr>
                <w:rFonts w:eastAsia="Calibri" w:cs="Times New Roman"/>
                <w:u w:val="single"/>
              </w:rPr>
            </w:pPr>
          </w:p>
          <w:p w:rsidR="00693CDE" w:rsidRPr="00014A47" w:rsidRDefault="00693CDE" w:rsidP="00014A47">
            <w:pPr>
              <w:ind w:left="72"/>
              <w:rPr>
                <w:rFonts w:eastAsia="Calibri" w:cs="Times New Roman"/>
                <w:b/>
              </w:rPr>
            </w:pPr>
            <w:r w:rsidRPr="00014A47">
              <w:rPr>
                <w:rFonts w:eastAsia="Calibri" w:cs="Times New Roman"/>
                <w:b/>
              </w:rPr>
              <w:t>The UNDP ‘</w:t>
            </w:r>
            <w:r w:rsidRPr="00014A47">
              <w:rPr>
                <w:rFonts w:eastAsia="+mn-ea" w:cs="+mn-cs"/>
                <w:i/>
                <w:color w:val="000000"/>
                <w:kern w:val="24"/>
              </w:rPr>
              <w:t>‘</w:t>
            </w:r>
            <w:r w:rsidRPr="00014A47">
              <w:rPr>
                <w:rFonts w:eastAsia="+mn-ea" w:cs="+mn-cs"/>
                <w:b/>
                <w:i/>
                <w:color w:val="000000"/>
                <w:kern w:val="24"/>
              </w:rPr>
              <w:t>Strengthening Electoral Processes in Kenya’</w:t>
            </w:r>
            <w:r w:rsidRPr="00014A47">
              <w:rPr>
                <w:rFonts w:eastAsia="Calibri" w:cs="Times New Roman"/>
                <w:b/>
              </w:rPr>
              <w:t xml:space="preserve"> project is currently funded by USAID, DFID, the</w:t>
            </w:r>
            <w:r w:rsidRPr="00014A47">
              <w:rPr>
                <w:rFonts w:eastAsia="Calibri" w:cs="Times New Roman"/>
              </w:rPr>
              <w:t xml:space="preserve"> </w:t>
            </w:r>
            <w:r w:rsidRPr="00014A47">
              <w:rPr>
                <w:rFonts w:eastAsia="Calibri" w:cs="Times New Roman"/>
                <w:b/>
              </w:rPr>
              <w:t xml:space="preserve">EU, </w:t>
            </w:r>
            <w:r w:rsidRPr="00014A47">
              <w:rPr>
                <w:rFonts w:eastAsia="Calibri" w:cs="Times New Roman"/>
                <w:b/>
                <w:highlight w:val="lightGray"/>
              </w:rPr>
              <w:t>Ireland,</w:t>
            </w:r>
            <w:r w:rsidRPr="00014A47">
              <w:rPr>
                <w:rFonts w:eastAsia="Calibri" w:cs="Times New Roman"/>
                <w:b/>
              </w:rPr>
              <w:t xml:space="preserve"> Italy and Germany.  UNDP is working with OHCHR and UN Women in this project and in close consultation with DPA. </w:t>
            </w:r>
          </w:p>
          <w:p w:rsidR="00693CDE" w:rsidRPr="00014A47" w:rsidRDefault="00693CDE" w:rsidP="00014A47">
            <w:pPr>
              <w:ind w:left="72"/>
              <w:rPr>
                <w:rFonts w:eastAsia="Calibri" w:cs="Times New Roman"/>
                <w:b/>
              </w:rPr>
            </w:pPr>
          </w:p>
          <w:p w:rsidR="00693CDE" w:rsidRPr="00014A47" w:rsidRDefault="00693CDE" w:rsidP="00014A47">
            <w:pPr>
              <w:ind w:left="72"/>
              <w:rPr>
                <w:rFonts w:eastAsia="Calibri" w:cs="Times New Roman"/>
              </w:rPr>
            </w:pPr>
            <w:r w:rsidRPr="00014A47">
              <w:rPr>
                <w:rFonts w:eastAsia="Calibri" w:cs="Times New Roman"/>
              </w:rPr>
              <w:t>Given the word count constraint, it was not possible to list all the interventions around the stocktaking and lessons learning reflections on the 2017 elections</w:t>
            </w:r>
            <w:r w:rsidR="002007F1" w:rsidRPr="00014A47">
              <w:rPr>
                <w:rFonts w:eastAsia="Calibri" w:cs="Times New Roman"/>
              </w:rPr>
              <w:t xml:space="preserve">, as this is ongoing under the current CPD, but no doubt </w:t>
            </w:r>
            <w:r w:rsidRPr="00014A47">
              <w:rPr>
                <w:rFonts w:eastAsia="Calibri" w:cs="Times New Roman"/>
              </w:rPr>
              <w:t>this is critical to inform any future work on electoral support and reforms</w:t>
            </w:r>
            <w:r w:rsidR="002007F1" w:rsidRPr="00014A47">
              <w:rPr>
                <w:rFonts w:eastAsia="Calibri" w:cs="Times New Roman"/>
              </w:rPr>
              <w:t xml:space="preserve"> in the lead up to 2022 elections to address challenges and gaps</w:t>
            </w:r>
            <w:r w:rsidRPr="00014A47">
              <w:rPr>
                <w:rFonts w:eastAsia="Calibri" w:cs="Times New Roman"/>
              </w:rPr>
              <w:t xml:space="preserve">, and based on the electoral cycle approach. </w:t>
            </w:r>
          </w:p>
          <w:p w:rsidR="00412F61" w:rsidRPr="00014A47" w:rsidRDefault="00412F61" w:rsidP="00F45665"/>
        </w:tc>
      </w:tr>
    </w:tbl>
    <w:p w:rsidR="004A70B6" w:rsidRPr="00014A47" w:rsidRDefault="009D1792"/>
    <w:p w:rsidR="007F3D8A" w:rsidRPr="00014A47" w:rsidRDefault="007F3D8A"/>
    <w:tbl>
      <w:tblPr>
        <w:tblStyle w:val="TableGrid"/>
        <w:tblW w:w="0" w:type="auto"/>
        <w:tblLook w:val="04A0" w:firstRow="1" w:lastRow="0" w:firstColumn="1" w:lastColumn="0" w:noHBand="0" w:noVBand="1"/>
      </w:tblPr>
      <w:tblGrid>
        <w:gridCol w:w="4225"/>
        <w:gridCol w:w="2970"/>
        <w:gridCol w:w="4860"/>
      </w:tblGrid>
      <w:tr w:rsidR="007F3D8A" w:rsidRPr="00014A47" w:rsidTr="00014A47">
        <w:trPr>
          <w:tblHeader/>
        </w:trPr>
        <w:tc>
          <w:tcPr>
            <w:tcW w:w="4225" w:type="dxa"/>
          </w:tcPr>
          <w:p w:rsidR="007F3D8A" w:rsidRPr="00014A47" w:rsidRDefault="006913C1" w:rsidP="009D36E8">
            <w:pPr>
              <w:rPr>
                <w:b/>
              </w:rPr>
            </w:pPr>
            <w:r w:rsidRPr="00014A47">
              <w:rPr>
                <w:b/>
              </w:rPr>
              <w:lastRenderedPageBreak/>
              <w:t xml:space="preserve">Comment by Member State: Germany </w:t>
            </w:r>
          </w:p>
        </w:tc>
        <w:tc>
          <w:tcPr>
            <w:tcW w:w="2970" w:type="dxa"/>
          </w:tcPr>
          <w:p w:rsidR="007F3D8A" w:rsidRPr="00014A47" w:rsidRDefault="006913C1" w:rsidP="009D36E8">
            <w:pPr>
              <w:rPr>
                <w:b/>
              </w:rPr>
            </w:pPr>
            <w:r w:rsidRPr="00014A47">
              <w:rPr>
                <w:b/>
              </w:rPr>
              <w:t xml:space="preserve">Changes to CPD </w:t>
            </w:r>
          </w:p>
        </w:tc>
        <w:tc>
          <w:tcPr>
            <w:tcW w:w="4860" w:type="dxa"/>
          </w:tcPr>
          <w:p w:rsidR="007F3D8A" w:rsidRPr="00014A47" w:rsidRDefault="006913C1" w:rsidP="009D36E8">
            <w:pPr>
              <w:rPr>
                <w:b/>
              </w:rPr>
            </w:pPr>
            <w:r w:rsidRPr="00014A47">
              <w:rPr>
                <w:b/>
              </w:rPr>
              <w:t xml:space="preserve">CO Remarks </w:t>
            </w:r>
          </w:p>
        </w:tc>
      </w:tr>
      <w:tr w:rsidR="007F3D8A" w:rsidRPr="00014A47" w:rsidTr="00014A47">
        <w:tc>
          <w:tcPr>
            <w:tcW w:w="4225" w:type="dxa"/>
          </w:tcPr>
          <w:p w:rsidR="006913C1" w:rsidRPr="00014A47" w:rsidRDefault="006913C1" w:rsidP="006913C1"/>
          <w:p w:rsidR="006913C1" w:rsidRPr="00014A47" w:rsidRDefault="006913C1" w:rsidP="006913C1">
            <w:r w:rsidRPr="00014A47">
              <w:rPr>
                <w:rFonts w:cs="Times New Roman"/>
              </w:rPr>
              <w:t xml:space="preserve"> </w:t>
            </w:r>
            <w:r w:rsidRPr="00014A47">
              <w:rPr>
                <w:b/>
                <w:bCs/>
              </w:rPr>
              <w:t>The UNDP draft country programme document has unfortunately not been shared with other EDPs in Kenya – not in the Development Partners Group and not bilaterally (at least not with Germany).</w:t>
            </w:r>
          </w:p>
          <w:p w:rsidR="007F3D8A" w:rsidRPr="00014A47" w:rsidRDefault="007F3D8A" w:rsidP="009D36E8">
            <w:pPr>
              <w:autoSpaceDE w:val="0"/>
              <w:autoSpaceDN w:val="0"/>
            </w:pPr>
          </w:p>
          <w:p w:rsidR="006913C1" w:rsidRPr="00014A47" w:rsidRDefault="006913C1" w:rsidP="009D36E8">
            <w:pPr>
              <w:autoSpaceDE w:val="0"/>
              <w:autoSpaceDN w:val="0"/>
            </w:pPr>
          </w:p>
          <w:p w:rsidR="006913C1" w:rsidRPr="00014A47" w:rsidRDefault="006913C1" w:rsidP="009D36E8">
            <w:pPr>
              <w:autoSpaceDE w:val="0"/>
              <w:autoSpaceDN w:val="0"/>
            </w:pPr>
          </w:p>
        </w:tc>
        <w:tc>
          <w:tcPr>
            <w:tcW w:w="2970" w:type="dxa"/>
          </w:tcPr>
          <w:p w:rsidR="008B7C71" w:rsidRPr="00014A47" w:rsidRDefault="008B7C71" w:rsidP="009D36E8">
            <w:r w:rsidRPr="00014A47">
              <w:t>n/a</w:t>
            </w:r>
          </w:p>
        </w:tc>
        <w:tc>
          <w:tcPr>
            <w:tcW w:w="4860" w:type="dxa"/>
            <w:shd w:val="clear" w:color="auto" w:fill="auto"/>
          </w:tcPr>
          <w:p w:rsidR="006913C1" w:rsidRPr="00014A47" w:rsidRDefault="006913C1" w:rsidP="00014A47">
            <w:pPr>
              <w:rPr>
                <w:rFonts w:eastAsia="Times New Roman"/>
              </w:rPr>
            </w:pPr>
            <w:r w:rsidRPr="00014A47">
              <w:rPr>
                <w:rFonts w:eastAsia="Times New Roman"/>
              </w:rPr>
              <w:t xml:space="preserve">The technical officers of UNDP consulted bilaterally with state, non-state and donor partners beginning with the ending CPD evaluation, culminating in a workshop Chaired by the RR/RC and with participation from management and programme/operations staff. All partners were invited. Thereafter, on 8 November 2017; the Country Director convened a half day consultation on draft zero of the CPD, which was presented to all stakeholders (including representatives from donor countries), and feedback incorporated into the draft submitted to NY. Following feedback from HQ, a further iteration was shared with all partners for comment prior to a final HQ review 30 January. It may be the colleagues from Germany were inadvertently missed from the invitation list, or were unable to participate. </w:t>
            </w:r>
          </w:p>
          <w:p w:rsidR="007F3D8A" w:rsidRPr="00014A47" w:rsidRDefault="007F3D8A" w:rsidP="009D36E8"/>
        </w:tc>
      </w:tr>
      <w:tr w:rsidR="007F3D8A" w:rsidRPr="00014A47" w:rsidTr="00014A47">
        <w:tc>
          <w:tcPr>
            <w:tcW w:w="4225" w:type="dxa"/>
          </w:tcPr>
          <w:p w:rsidR="006913C1" w:rsidRPr="00014A47" w:rsidRDefault="006913C1" w:rsidP="006913C1">
            <w:pPr>
              <w:rPr>
                <w:rFonts w:eastAsia="Times New Roman"/>
                <w:b/>
                <w:bCs/>
              </w:rPr>
            </w:pPr>
            <w:r w:rsidRPr="00014A47">
              <w:rPr>
                <w:rFonts w:eastAsia="Times New Roman"/>
                <w:b/>
                <w:bCs/>
              </w:rPr>
              <w:t>The Kenyan Medium Term Plan III (2018-2022) and the UNDAF (2018-2022) are still work in progress. We therefore do not understand why the UNDP country programme has already be</w:t>
            </w:r>
            <w:r w:rsidR="008B7C71" w:rsidRPr="00014A47">
              <w:rPr>
                <w:rFonts w:eastAsia="Times New Roman"/>
                <w:b/>
                <w:bCs/>
              </w:rPr>
              <w:t>en</w:t>
            </w:r>
            <w:r w:rsidRPr="00014A47">
              <w:rPr>
                <w:rFonts w:eastAsia="Times New Roman"/>
                <w:b/>
                <w:bCs/>
              </w:rPr>
              <w:t xml:space="preserve"> done? It would be better if it would be aligned with the overall planning documents as soon as they are out.</w:t>
            </w:r>
          </w:p>
          <w:p w:rsidR="007F3D8A" w:rsidRPr="00014A47" w:rsidRDefault="007F3D8A" w:rsidP="009D36E8">
            <w:pPr>
              <w:autoSpaceDE w:val="0"/>
              <w:autoSpaceDN w:val="0"/>
            </w:pPr>
          </w:p>
        </w:tc>
        <w:tc>
          <w:tcPr>
            <w:tcW w:w="2970" w:type="dxa"/>
          </w:tcPr>
          <w:p w:rsidR="007F3D8A" w:rsidRPr="00014A47" w:rsidRDefault="008B7C71" w:rsidP="009D36E8">
            <w:r w:rsidRPr="00014A47">
              <w:t>n/a</w:t>
            </w:r>
          </w:p>
        </w:tc>
        <w:tc>
          <w:tcPr>
            <w:tcW w:w="4860" w:type="dxa"/>
          </w:tcPr>
          <w:p w:rsidR="008B7C71" w:rsidRPr="00014A47" w:rsidRDefault="009E57EE" w:rsidP="001A6EE8">
            <w:pPr>
              <w:rPr>
                <w:rFonts w:eastAsia="Times New Roman"/>
              </w:rPr>
            </w:pPr>
            <w:r w:rsidRPr="00014A47">
              <w:rPr>
                <w:rFonts w:eastAsia="Times New Roman"/>
              </w:rPr>
              <w:t xml:space="preserve">The UNDP has been a key interlocutor in the </w:t>
            </w:r>
            <w:proofErr w:type="spellStart"/>
            <w:r w:rsidRPr="00014A47">
              <w:rPr>
                <w:rFonts w:eastAsia="Times New Roman"/>
              </w:rPr>
              <w:t>GoK</w:t>
            </w:r>
            <w:proofErr w:type="spellEnd"/>
            <w:r w:rsidRPr="00014A47">
              <w:rPr>
                <w:rFonts w:eastAsia="Times New Roman"/>
              </w:rPr>
              <w:t xml:space="preserve"> consultations on the MTPIII, and as Pillar co-chair for the UNDAF. The current CPD is informed and fully aligned with the MTPIII and UNDAF. The UNDP CPD development process requires formulation, review and submission 6 months prior to consideration of the Executive Board. As such, the </w:t>
            </w:r>
            <w:r w:rsidR="008B7C71" w:rsidRPr="00014A47">
              <w:rPr>
                <w:rFonts w:eastAsia="Times New Roman"/>
              </w:rPr>
              <w:t>Country O</w:t>
            </w:r>
            <w:r w:rsidRPr="00014A47">
              <w:rPr>
                <w:rFonts w:eastAsia="Times New Roman"/>
              </w:rPr>
              <w:t xml:space="preserve">ffice has ensured that technical level discussions consider the already available MTPIII and UNDAF drafts, and inform each other in an iterative manner.  Please note that the Results and Resource Framework outcome statements are required to be and are verbatim taken from the draft UNDAF agreed with </w:t>
            </w:r>
            <w:proofErr w:type="spellStart"/>
            <w:r w:rsidRPr="00014A47">
              <w:rPr>
                <w:rFonts w:eastAsia="Times New Roman"/>
              </w:rPr>
              <w:t>GoK</w:t>
            </w:r>
            <w:proofErr w:type="spellEnd"/>
            <w:r w:rsidRPr="00014A47">
              <w:rPr>
                <w:rFonts w:eastAsia="Times New Roman"/>
              </w:rPr>
              <w:t xml:space="preserve">. </w:t>
            </w:r>
            <w:r w:rsidRPr="00014A47">
              <w:rPr>
                <w:rFonts w:eastAsia="Times New Roman"/>
                <w:color w:val="0070C0"/>
              </w:rPr>
              <w:t> </w:t>
            </w:r>
          </w:p>
          <w:p w:rsidR="009E57EE" w:rsidRPr="00014A47" w:rsidRDefault="009E57EE" w:rsidP="001A6EE8">
            <w:pPr>
              <w:rPr>
                <w:rFonts w:eastAsia="Times New Roman"/>
              </w:rPr>
            </w:pPr>
            <w:r w:rsidRPr="00014A47">
              <w:rPr>
                <w:rFonts w:eastAsia="Times New Roman"/>
              </w:rPr>
              <w:lastRenderedPageBreak/>
              <w:t xml:space="preserve">The </w:t>
            </w:r>
            <w:proofErr w:type="spellStart"/>
            <w:r w:rsidRPr="00014A47">
              <w:rPr>
                <w:rFonts w:eastAsia="Times New Roman"/>
              </w:rPr>
              <w:t>GoK</w:t>
            </w:r>
            <w:proofErr w:type="spellEnd"/>
            <w:r w:rsidRPr="00014A47">
              <w:rPr>
                <w:rFonts w:eastAsia="Times New Roman"/>
              </w:rPr>
              <w:t xml:space="preserve"> issued a MTP III Concept Note which outlined the contours of the MTP III and to guide Sector Working Groups and that UNDP participated in workshops to refine MTP III through mainstreaming the SDGs and </w:t>
            </w:r>
            <w:r w:rsidR="001A6EE8" w:rsidRPr="00014A47">
              <w:rPr>
                <w:rFonts w:eastAsia="Times New Roman"/>
              </w:rPr>
              <w:t xml:space="preserve">The </w:t>
            </w:r>
            <w:r w:rsidRPr="00014A47">
              <w:rPr>
                <w:rFonts w:eastAsia="Times New Roman"/>
              </w:rPr>
              <w:t xml:space="preserve">Big 5 </w:t>
            </w:r>
            <w:r w:rsidR="008B7C71" w:rsidRPr="00014A47">
              <w:rPr>
                <w:rFonts w:eastAsia="Times New Roman"/>
              </w:rPr>
              <w:t>Plan</w:t>
            </w:r>
            <w:r w:rsidRPr="00014A47">
              <w:rPr>
                <w:rFonts w:eastAsia="Times New Roman"/>
              </w:rPr>
              <w:t xml:space="preserve">  </w:t>
            </w:r>
          </w:p>
          <w:p w:rsidR="007F3D8A" w:rsidRPr="00014A47" w:rsidRDefault="007F3D8A" w:rsidP="009D36E8"/>
        </w:tc>
      </w:tr>
      <w:tr w:rsidR="007F3D8A" w:rsidRPr="00014A47" w:rsidTr="00014A47">
        <w:tc>
          <w:tcPr>
            <w:tcW w:w="4225" w:type="dxa"/>
          </w:tcPr>
          <w:p w:rsidR="009E57EE" w:rsidRPr="00014A47" w:rsidRDefault="009E57EE" w:rsidP="009E57EE">
            <w:r w:rsidRPr="00014A47">
              <w:rPr>
                <w:b/>
                <w:bCs/>
              </w:rPr>
              <w:lastRenderedPageBreak/>
              <w:t>UNDP Kenya does not participate in the meetings of the Development Partners Group (DPG). UNDP is also not active in the Joint Sector Working Groups. It would be most welcomed if they could consider doing</w:t>
            </w:r>
          </w:p>
        </w:tc>
        <w:tc>
          <w:tcPr>
            <w:tcW w:w="2970" w:type="dxa"/>
          </w:tcPr>
          <w:p w:rsidR="007F3D8A" w:rsidRPr="00014A47" w:rsidRDefault="008B7C71" w:rsidP="009D36E8">
            <w:r w:rsidRPr="00014A47">
              <w:t>n/a</w:t>
            </w:r>
          </w:p>
        </w:tc>
        <w:tc>
          <w:tcPr>
            <w:tcW w:w="4860" w:type="dxa"/>
          </w:tcPr>
          <w:p w:rsidR="007F3D8A" w:rsidRPr="00014A47" w:rsidRDefault="009E57EE" w:rsidP="009D36E8">
            <w:r w:rsidRPr="00014A47">
              <w:t>This is not accurate. The Development Partners Group is co-chaired by the UNDP Resident Representative, which convenes at principal</w:t>
            </w:r>
            <w:r w:rsidR="00024CF7" w:rsidRPr="00014A47">
              <w:t>’</w:t>
            </w:r>
            <w:r w:rsidRPr="00014A47">
              <w:t>s level. The Country Director has participated, on invitation, specific to election related discussion. UNDP co-chairs the Democratic Governance Donor Group (DGDG). UNDP technical staff participate in the DG</w:t>
            </w:r>
            <w:r w:rsidR="00B31875" w:rsidRPr="00014A47">
              <w:t xml:space="preserve"> on </w:t>
            </w:r>
            <w:r w:rsidRPr="00014A47">
              <w:t>E</w:t>
            </w:r>
            <w:r w:rsidR="00B31875" w:rsidRPr="00014A47">
              <w:t>lections</w:t>
            </w:r>
            <w:r w:rsidRPr="00014A47">
              <w:t xml:space="preserve">, TVET and the PFM </w:t>
            </w:r>
            <w:r w:rsidR="00B31875" w:rsidRPr="00014A47">
              <w:t>G</w:t>
            </w:r>
            <w:r w:rsidRPr="00014A47">
              <w:t>roup</w:t>
            </w:r>
            <w:r w:rsidR="00B31875" w:rsidRPr="00014A47">
              <w:t>; the</w:t>
            </w:r>
            <w:r w:rsidRPr="00014A47">
              <w:t xml:space="preserve"> Conflict and Security Donor Group, and chairs the Devolution Sector Working Group.</w:t>
            </w:r>
            <w:r w:rsidR="00101055" w:rsidRPr="00014A47">
              <w:t xml:space="preserve"> We are active in the Climate Change Donor Coordination Group (DCG), the Wildlife DCG and the Forestry DG. UNDP also participates in the Kenyan Humanitarian Partnership Group and Kenya Food Security Steering Group.</w:t>
            </w:r>
            <w:r w:rsidRPr="00014A47">
              <w:t xml:space="preserve"> The current focus has been to engage with the groups where we have active and emerging programmes. We will endeavor where we have sufficient technical capacity engage with further groups as necessary</w:t>
            </w:r>
          </w:p>
        </w:tc>
      </w:tr>
      <w:tr w:rsidR="007F3D8A" w:rsidRPr="00014A47" w:rsidTr="00014A47">
        <w:tc>
          <w:tcPr>
            <w:tcW w:w="4225" w:type="dxa"/>
          </w:tcPr>
          <w:p w:rsidR="001A6EE8" w:rsidRPr="00014A47" w:rsidRDefault="001A6EE8" w:rsidP="001A6EE8">
            <w:pPr>
              <w:rPr>
                <w:b/>
                <w:bCs/>
              </w:rPr>
            </w:pPr>
          </w:p>
          <w:p w:rsidR="001A6EE8" w:rsidRPr="00014A47" w:rsidRDefault="001A6EE8" w:rsidP="009D36E8">
            <w:r w:rsidRPr="00014A47">
              <w:rPr>
                <w:b/>
                <w:bCs/>
              </w:rPr>
              <w:t>The poverty data mentioned in the country programme are not known to us. There are no official data from Government or from World Bank yet. Where does the data quoted by UNDP come from?</w:t>
            </w:r>
            <w:r w:rsidRPr="00014A47">
              <w:t xml:space="preserve"> </w:t>
            </w:r>
          </w:p>
          <w:p w:rsidR="001A6EE8" w:rsidRPr="00014A47" w:rsidRDefault="001A6EE8" w:rsidP="009D36E8"/>
        </w:tc>
        <w:tc>
          <w:tcPr>
            <w:tcW w:w="2970" w:type="dxa"/>
          </w:tcPr>
          <w:p w:rsidR="007F3D8A" w:rsidRPr="00014A47" w:rsidRDefault="008B7C71" w:rsidP="009D36E8">
            <w:r w:rsidRPr="00014A47">
              <w:t>n/a</w:t>
            </w:r>
          </w:p>
        </w:tc>
        <w:tc>
          <w:tcPr>
            <w:tcW w:w="4860" w:type="dxa"/>
          </w:tcPr>
          <w:p w:rsidR="001A6EE8" w:rsidRPr="00014A47" w:rsidRDefault="001A6EE8" w:rsidP="009D36E8">
            <w:pPr>
              <w:rPr>
                <w:rFonts w:eastAsia="Times New Roman"/>
              </w:rPr>
            </w:pPr>
          </w:p>
          <w:p w:rsidR="007F3D8A" w:rsidRPr="00014A47" w:rsidRDefault="001A6EE8" w:rsidP="009D36E8">
            <w:r w:rsidRPr="00014A47">
              <w:rPr>
                <w:rFonts w:eastAsia="Times New Roman"/>
              </w:rPr>
              <w:t>All data cited is referenced in the footnotes and verified. This is a requirement for all CPDs</w:t>
            </w:r>
          </w:p>
        </w:tc>
      </w:tr>
      <w:tr w:rsidR="007F3D8A" w:rsidRPr="00014A47" w:rsidTr="00014A47">
        <w:tc>
          <w:tcPr>
            <w:tcW w:w="4225" w:type="dxa"/>
          </w:tcPr>
          <w:p w:rsidR="007F3D8A" w:rsidRPr="00014A47" w:rsidRDefault="007F3D8A" w:rsidP="009D36E8">
            <w:pPr>
              <w:pStyle w:val="ListParagraph"/>
              <w:ind w:hanging="360"/>
              <w:rPr>
                <w:rFonts w:asciiTheme="minorHAnsi" w:hAnsiTheme="minorHAnsi"/>
              </w:rPr>
            </w:pPr>
          </w:p>
          <w:p w:rsidR="001A6EE8" w:rsidRPr="00014A47" w:rsidRDefault="001A6EE8" w:rsidP="001A6EE8">
            <w:r w:rsidRPr="00014A47">
              <w:rPr>
                <w:rFonts w:eastAsia="Times New Roman"/>
                <w:b/>
                <w:bCs/>
              </w:rPr>
              <w:t xml:space="preserve">The document states that poverty and inequality are high (para 2 and 3) and promises (para 29) that the programme will support poverty reduction interventions. </w:t>
            </w:r>
          </w:p>
        </w:tc>
        <w:tc>
          <w:tcPr>
            <w:tcW w:w="2970" w:type="dxa"/>
          </w:tcPr>
          <w:p w:rsidR="007F3D8A" w:rsidRPr="00014A47" w:rsidRDefault="008B7C71" w:rsidP="009D36E8">
            <w:r w:rsidRPr="00014A47">
              <w:t>n/a</w:t>
            </w:r>
          </w:p>
        </w:tc>
        <w:tc>
          <w:tcPr>
            <w:tcW w:w="4860" w:type="dxa"/>
          </w:tcPr>
          <w:p w:rsidR="007F3D8A" w:rsidRPr="00014A47" w:rsidRDefault="001A6EE8" w:rsidP="009D36E8">
            <w:pPr>
              <w:rPr>
                <w:rFonts w:eastAsia="Times New Roman"/>
              </w:rPr>
            </w:pPr>
            <w:r w:rsidRPr="00014A47">
              <w:rPr>
                <w:rFonts w:eastAsia="Times New Roman"/>
              </w:rPr>
              <w:t>The overall national poverty headcount rate (proportion of poor individuals) dropped from 46.6 per cent in 2005/06 to 36.1 per cent in 2015/16 (Kenya Integrated Household Budget Survey, 2015/2016). Spatially, across the 47 counties, overall headcount poverty (proportion of poor individuals) widely ranges from a low of 16.7 per cent in Nairobi City County to a high of 79.4 per cent in Turkana County. In 2015/16, the poorest four counties were Turkana (79.4%), Mandera (77.6%), Samburu (75.8%) and Busia (69.3%). Conversely, the four counties with least poverty include Nairobi (16.7%), Nyeri (19.3%), Meru (19.4%) and Kirinyaga (20.0%) (ibid).</w:t>
            </w:r>
          </w:p>
          <w:p w:rsidR="001A6EE8" w:rsidRPr="00014A47" w:rsidRDefault="001A6EE8" w:rsidP="009D36E8">
            <w:pPr>
              <w:rPr>
                <w:rFonts w:eastAsia="Times New Roman"/>
              </w:rPr>
            </w:pPr>
          </w:p>
          <w:p w:rsidR="001A6EE8" w:rsidRPr="00014A47" w:rsidRDefault="001A6EE8" w:rsidP="001A6EE8">
            <w:pPr>
              <w:jc w:val="both"/>
              <w:rPr>
                <w:rFonts w:eastAsia="Times New Roman"/>
              </w:rPr>
            </w:pPr>
            <w:r w:rsidRPr="00014A47">
              <w:rPr>
                <w:rFonts w:eastAsia="Times New Roman"/>
                <w:b/>
              </w:rPr>
              <w:t>On inequality</w:t>
            </w:r>
            <w:r w:rsidRPr="00014A47">
              <w:rPr>
                <w:rFonts w:eastAsia="Times New Roman"/>
              </w:rPr>
              <w:t xml:space="preserve">, please see below: </w:t>
            </w:r>
          </w:p>
          <w:p w:rsidR="001A6EE8" w:rsidRPr="00014A47" w:rsidRDefault="001A6EE8" w:rsidP="001A6EE8">
            <w:pPr>
              <w:numPr>
                <w:ilvl w:val="0"/>
                <w:numId w:val="10"/>
              </w:numPr>
              <w:jc w:val="both"/>
              <w:rPr>
                <w:rFonts w:eastAsia="Times New Roman"/>
              </w:rPr>
            </w:pPr>
            <w:r w:rsidRPr="00014A47">
              <w:rPr>
                <w:rFonts w:eastAsia="Times New Roman"/>
              </w:rPr>
              <w:t>The 2015/2016 KIHBS results show that nationally, more than half (55.9 %) of total expenditure is controlled by the top most quintile (Q5) while the bottom quintile (Q1) controls the least share of 4.1 per cent.</w:t>
            </w:r>
          </w:p>
          <w:p w:rsidR="001A6EE8" w:rsidRPr="00014A47" w:rsidRDefault="001A6EE8" w:rsidP="001A6EE8">
            <w:pPr>
              <w:numPr>
                <w:ilvl w:val="0"/>
                <w:numId w:val="10"/>
              </w:numPr>
              <w:rPr>
                <w:rFonts w:eastAsia="Times New Roman"/>
              </w:rPr>
            </w:pPr>
            <w:r w:rsidRPr="00014A47">
              <w:rPr>
                <w:rFonts w:eastAsia="Times New Roman"/>
              </w:rPr>
              <w:t>Also on feminized poverty we will add this latest from the KIHBS below:</w:t>
            </w:r>
          </w:p>
          <w:p w:rsidR="001A6EE8" w:rsidRPr="00014A47" w:rsidRDefault="001A6EE8" w:rsidP="001A6EE8">
            <w:pPr>
              <w:numPr>
                <w:ilvl w:val="0"/>
                <w:numId w:val="10"/>
              </w:numPr>
              <w:rPr>
                <w:rFonts w:eastAsia="Times New Roman"/>
              </w:rPr>
            </w:pPr>
            <w:r w:rsidRPr="00014A47">
              <w:rPr>
                <w:rFonts w:eastAsia="Times New Roman"/>
              </w:rPr>
              <w:t>Households headed by females are likely to be poorer than those headed by males. Female-headed households account for 32.4 per cent of all households. The results reveal that 30.2 per cent of female headed households are poor compared to 26.0 per cent of their male counterparts</w:t>
            </w:r>
          </w:p>
          <w:p w:rsidR="001A6EE8" w:rsidRPr="00014A47" w:rsidRDefault="001A6EE8" w:rsidP="009D36E8"/>
        </w:tc>
      </w:tr>
      <w:tr w:rsidR="007F3D8A" w:rsidRPr="00014A47" w:rsidTr="00014A47">
        <w:tc>
          <w:tcPr>
            <w:tcW w:w="4225" w:type="dxa"/>
          </w:tcPr>
          <w:p w:rsidR="007F3D8A" w:rsidRPr="00014A47" w:rsidRDefault="001A6EE8" w:rsidP="009D36E8">
            <w:pPr>
              <w:autoSpaceDE w:val="0"/>
              <w:autoSpaceDN w:val="0"/>
            </w:pPr>
            <w:r w:rsidRPr="00014A47">
              <w:rPr>
                <w:rFonts w:eastAsia="Times New Roman"/>
                <w:b/>
                <w:bCs/>
              </w:rPr>
              <w:t>Aga</w:t>
            </w:r>
            <w:r w:rsidR="008B7C71" w:rsidRPr="00014A47">
              <w:rPr>
                <w:rFonts w:eastAsia="Times New Roman"/>
                <w:b/>
                <w:bCs/>
              </w:rPr>
              <w:t>inst this background it is not </w:t>
            </w:r>
            <w:r w:rsidRPr="00014A47">
              <w:rPr>
                <w:rFonts w:eastAsia="Times New Roman"/>
                <w:b/>
                <w:bCs/>
              </w:rPr>
              <w:t xml:space="preserve">directly apparent why the UNDP country </w:t>
            </w:r>
            <w:r w:rsidRPr="00014A47">
              <w:rPr>
                <w:rFonts w:eastAsia="Times New Roman"/>
                <w:b/>
                <w:bCs/>
              </w:rPr>
              <w:lastRenderedPageBreak/>
              <w:t>programme does not focus on the reduction of poverty and inequality</w:t>
            </w:r>
            <w:r w:rsidRPr="00014A47">
              <w:rPr>
                <w:rFonts w:eastAsia="Times New Roman"/>
              </w:rPr>
              <w:t>.</w:t>
            </w:r>
          </w:p>
        </w:tc>
        <w:tc>
          <w:tcPr>
            <w:tcW w:w="2970" w:type="dxa"/>
          </w:tcPr>
          <w:p w:rsidR="007F3D8A" w:rsidRPr="00014A47" w:rsidRDefault="00101055" w:rsidP="009D36E8">
            <w:r w:rsidRPr="00014A47">
              <w:lastRenderedPageBreak/>
              <w:t>n/a</w:t>
            </w:r>
          </w:p>
        </w:tc>
        <w:tc>
          <w:tcPr>
            <w:tcW w:w="4860" w:type="dxa"/>
          </w:tcPr>
          <w:p w:rsidR="001A6EE8" w:rsidRPr="00014A47" w:rsidRDefault="001A6EE8" w:rsidP="009D36E8">
            <w:pPr>
              <w:rPr>
                <w:rFonts w:eastAsia="Times New Roman"/>
              </w:rPr>
            </w:pPr>
            <w:r w:rsidRPr="00014A47">
              <w:rPr>
                <w:rFonts w:eastAsia="Times New Roman"/>
                <w:b/>
              </w:rPr>
              <w:t>The CPD proposes 3 areas of work</w:t>
            </w:r>
            <w:r w:rsidRPr="00014A47">
              <w:rPr>
                <w:rFonts w:eastAsia="Times New Roman"/>
              </w:rPr>
              <w:t xml:space="preserve">: I) Governance, Peace and Security; II) Inclusive Growth and </w:t>
            </w:r>
            <w:r w:rsidRPr="00014A47">
              <w:rPr>
                <w:rFonts w:eastAsia="Times New Roman"/>
              </w:rPr>
              <w:lastRenderedPageBreak/>
              <w:t>Structural Transformation; and III) Environmental Sustainability, Climate Change and Resilience</w:t>
            </w:r>
            <w:r w:rsidRPr="00014A47">
              <w:rPr>
                <w:rFonts w:eastAsia="Times New Roman"/>
                <w:lang w:val="de-DE"/>
              </w:rPr>
              <w:t xml:space="preserve">. </w:t>
            </w:r>
            <w:r w:rsidRPr="00014A47">
              <w:rPr>
                <w:rFonts w:eastAsia="Times New Roman"/>
              </w:rPr>
              <w:t xml:space="preserve">Aligned to SDG 1 No Poverty; and based on the CPD and UNDAF MTEs, national and regional development frameworks, UNDAF 2018-2022, </w:t>
            </w:r>
            <w:r w:rsidRPr="00014A47">
              <w:rPr>
                <w:rFonts w:eastAsia="Times New Roman"/>
                <w:bCs/>
                <w:i/>
                <w:iCs/>
              </w:rPr>
              <w:t>our theory of change is to support equitable poverty alleviation by facilitating structural, institutional policy, production and service delivery capacities to accelerate inclusive growth; enable resilience to cyclical shocks; and, contribute to transparent and accountable governance by facilitating reduction of socio-economic marginalization which contributes to the socio-political cleavages and fault lines that underpin political, natural resource and other conflicts</w:t>
            </w:r>
            <w:r w:rsidRPr="00014A47">
              <w:rPr>
                <w:rFonts w:eastAsia="Times New Roman"/>
              </w:rPr>
              <w:t>.</w:t>
            </w:r>
          </w:p>
          <w:p w:rsidR="001A6EE8" w:rsidRPr="00014A47" w:rsidRDefault="001A6EE8" w:rsidP="009D36E8"/>
        </w:tc>
      </w:tr>
      <w:tr w:rsidR="006913C1" w:rsidRPr="00014A47" w:rsidTr="00014A47">
        <w:tc>
          <w:tcPr>
            <w:tcW w:w="4225" w:type="dxa"/>
          </w:tcPr>
          <w:p w:rsidR="006913C1" w:rsidRPr="00014A47" w:rsidRDefault="006913C1" w:rsidP="009D36E8">
            <w:pPr>
              <w:autoSpaceDE w:val="0"/>
              <w:autoSpaceDN w:val="0"/>
            </w:pPr>
          </w:p>
          <w:p w:rsidR="001A6EE8" w:rsidRPr="00014A47" w:rsidRDefault="001A6EE8" w:rsidP="001A6EE8">
            <w:pPr>
              <w:autoSpaceDE w:val="0"/>
              <w:autoSpaceDN w:val="0"/>
            </w:pPr>
          </w:p>
        </w:tc>
        <w:tc>
          <w:tcPr>
            <w:tcW w:w="2970" w:type="dxa"/>
          </w:tcPr>
          <w:p w:rsidR="006913C1" w:rsidRPr="00014A47" w:rsidRDefault="006913C1" w:rsidP="009D36E8"/>
        </w:tc>
        <w:tc>
          <w:tcPr>
            <w:tcW w:w="4860" w:type="dxa"/>
          </w:tcPr>
          <w:p w:rsidR="006913C1" w:rsidRPr="00014A47" w:rsidRDefault="006913C1" w:rsidP="009D36E8"/>
        </w:tc>
      </w:tr>
      <w:tr w:rsidR="006913C1" w:rsidRPr="00014A47" w:rsidTr="00014A47">
        <w:tc>
          <w:tcPr>
            <w:tcW w:w="4225" w:type="dxa"/>
          </w:tcPr>
          <w:p w:rsidR="001A6EE8" w:rsidRPr="00014A47" w:rsidRDefault="001A6EE8" w:rsidP="001A6EE8">
            <w:pPr>
              <w:autoSpaceDE w:val="0"/>
              <w:autoSpaceDN w:val="0"/>
            </w:pPr>
          </w:p>
          <w:p w:rsidR="001A6EE8" w:rsidRPr="00014A47" w:rsidRDefault="001A6EE8" w:rsidP="001A6EE8">
            <w:pPr>
              <w:autoSpaceDE w:val="0"/>
              <w:autoSpaceDN w:val="0"/>
            </w:pPr>
            <w:r w:rsidRPr="00014A47">
              <w:t>The focus on governance and devolution is most welcome. We would appreciate strengthening the justification for how UNDP will address corruption.</w:t>
            </w:r>
          </w:p>
          <w:p w:rsidR="001A6EE8" w:rsidRPr="00014A47" w:rsidRDefault="001A6EE8" w:rsidP="001A6EE8">
            <w:pPr>
              <w:autoSpaceDE w:val="0"/>
              <w:autoSpaceDN w:val="0"/>
            </w:pPr>
          </w:p>
          <w:p w:rsidR="006913C1" w:rsidRPr="00014A47" w:rsidRDefault="006913C1" w:rsidP="009D36E8">
            <w:pPr>
              <w:autoSpaceDE w:val="0"/>
              <w:autoSpaceDN w:val="0"/>
            </w:pPr>
          </w:p>
        </w:tc>
        <w:tc>
          <w:tcPr>
            <w:tcW w:w="2970" w:type="dxa"/>
          </w:tcPr>
          <w:p w:rsidR="006913C1" w:rsidRPr="00014A47" w:rsidRDefault="00101055" w:rsidP="009D36E8">
            <w:r w:rsidRPr="00014A47">
              <w:t>n/a</w:t>
            </w:r>
          </w:p>
        </w:tc>
        <w:tc>
          <w:tcPr>
            <w:tcW w:w="4860" w:type="dxa"/>
          </w:tcPr>
          <w:p w:rsidR="001A6EE8" w:rsidRPr="00014A47" w:rsidRDefault="001A6EE8" w:rsidP="009D36E8">
            <w:r w:rsidRPr="00014A47">
              <w:rPr>
                <w:rFonts w:eastAsia="Times New Roman"/>
                <w:b/>
              </w:rPr>
              <w:t>Corruption is cited 8 times in the CPD including a description of the challenges and impact of corruption, particularly at subnational levels, and citing the Transparency Index rankings</w:t>
            </w:r>
            <w:r w:rsidRPr="00014A47">
              <w:rPr>
                <w:rFonts w:eastAsia="Times New Roman"/>
              </w:rPr>
              <w:t xml:space="preserve"> – </w:t>
            </w:r>
            <w:r w:rsidRPr="00014A47">
              <w:rPr>
                <w:rFonts w:eastAsia="Times New Roman"/>
                <w:b/>
              </w:rPr>
              <w:t>which are included in the RRF. In line with the MTPII the programme proposes several approaches</w:t>
            </w:r>
            <w:r w:rsidRPr="00014A47">
              <w:rPr>
                <w:rFonts w:eastAsia="Times New Roman"/>
              </w:rPr>
              <w:t xml:space="preserve"> including: “</w:t>
            </w:r>
            <w:r w:rsidRPr="00014A47">
              <w:rPr>
                <w:rFonts w:eastAsia="Times New Roman"/>
                <w:i/>
                <w:iCs/>
              </w:rPr>
              <w:t xml:space="preserve">The devolution programme aims to accelerate fiscal and administrative decentralization including local revenue generation through subnational support for planning and budgeting, accountability and anti-corruption initiatives, in line with UN Convention on Anti-Corruption (UNCAC) (REF: page 5); “Furthermore, UNDP will continue working with the National Human Rights Institutions, state and non-state </w:t>
            </w:r>
            <w:r w:rsidRPr="00014A47">
              <w:rPr>
                <w:rFonts w:eastAsia="Times New Roman"/>
                <w:i/>
                <w:iCs/>
              </w:rPr>
              <w:lastRenderedPageBreak/>
              <w:t>anticorruption actors, OHCHR, UNODC and Governments of Sweden, Denmark, Netherlands, UK, US, and the EU, to expand support for human rights advocacy and reporting and to increase public voice and participation in the process of accountability</w:t>
            </w:r>
            <w:r w:rsidR="00014A47">
              <w:rPr>
                <w:rFonts w:eastAsia="Times New Roman"/>
                <w:i/>
                <w:iCs/>
              </w:rPr>
              <w:t>.</w:t>
            </w:r>
          </w:p>
        </w:tc>
      </w:tr>
      <w:tr w:rsidR="006913C1" w:rsidRPr="00014A47" w:rsidTr="00014A47">
        <w:tc>
          <w:tcPr>
            <w:tcW w:w="4225" w:type="dxa"/>
          </w:tcPr>
          <w:p w:rsidR="00101055" w:rsidRPr="00014A47" w:rsidRDefault="00101055" w:rsidP="00101055"/>
          <w:p w:rsidR="001A6EE8" w:rsidRPr="00014A47" w:rsidRDefault="001A6EE8" w:rsidP="00101055">
            <w:r w:rsidRPr="00014A47">
              <w:t xml:space="preserve">The focus on job creation (para 29 </w:t>
            </w:r>
            <w:proofErr w:type="spellStart"/>
            <w:r w:rsidRPr="00014A47">
              <w:t>ff</w:t>
            </w:r>
            <w:proofErr w:type="spellEnd"/>
            <w:r w:rsidRPr="00014A47">
              <w:t xml:space="preserve">) and environmental sustainability and climate change (para 33 </w:t>
            </w:r>
            <w:proofErr w:type="spellStart"/>
            <w:r w:rsidRPr="00014A47">
              <w:t>ff</w:t>
            </w:r>
            <w:proofErr w:type="spellEnd"/>
            <w:r w:rsidRPr="00014A47">
              <w:t>) are also most welcome. It would be highly appreciated if UNDP could coordinate with others working in these sectors (</w:t>
            </w:r>
            <w:proofErr w:type="spellStart"/>
            <w:r w:rsidRPr="00014A47">
              <w:t>i.a</w:t>
            </w:r>
            <w:proofErr w:type="spellEnd"/>
            <w:r w:rsidRPr="00014A47">
              <w:t xml:space="preserve">. Germany).” (REF: page 6); and </w:t>
            </w:r>
          </w:p>
          <w:p w:rsidR="001A6EE8" w:rsidRPr="00014A47" w:rsidRDefault="001A6EE8" w:rsidP="009D36E8">
            <w:pPr>
              <w:autoSpaceDE w:val="0"/>
              <w:autoSpaceDN w:val="0"/>
            </w:pPr>
          </w:p>
        </w:tc>
        <w:tc>
          <w:tcPr>
            <w:tcW w:w="2970" w:type="dxa"/>
          </w:tcPr>
          <w:p w:rsidR="006913C1" w:rsidRPr="00014A47" w:rsidRDefault="00101055" w:rsidP="009D36E8">
            <w:r w:rsidRPr="00014A47">
              <w:t>n/a</w:t>
            </w:r>
          </w:p>
        </w:tc>
        <w:tc>
          <w:tcPr>
            <w:tcW w:w="4860" w:type="dxa"/>
          </w:tcPr>
          <w:p w:rsidR="00101055" w:rsidRPr="00014A47" w:rsidRDefault="00101055" w:rsidP="009D36E8">
            <w:pPr>
              <w:rPr>
                <w:rFonts w:eastAsia="Times New Roman"/>
              </w:rPr>
            </w:pPr>
          </w:p>
          <w:p w:rsidR="006913C1" w:rsidRPr="00014A47" w:rsidRDefault="008B7C71" w:rsidP="009D36E8">
            <w:r w:rsidRPr="00014A47">
              <w:rPr>
                <w:rFonts w:eastAsia="Times New Roman"/>
              </w:rPr>
              <w:t>The invitation to collaborate is welcome</w:t>
            </w:r>
            <w:r w:rsidR="00014A47">
              <w:rPr>
                <w:rFonts w:eastAsia="Times New Roman"/>
              </w:rPr>
              <w:t>.</w:t>
            </w:r>
          </w:p>
        </w:tc>
      </w:tr>
      <w:tr w:rsidR="006913C1" w:rsidRPr="00014A47" w:rsidTr="00014A47">
        <w:tc>
          <w:tcPr>
            <w:tcW w:w="4225" w:type="dxa"/>
          </w:tcPr>
          <w:p w:rsidR="008B7C71" w:rsidRPr="00014A47" w:rsidRDefault="008B7C71" w:rsidP="008B7C71">
            <w:pPr>
              <w:rPr>
                <w:rFonts w:eastAsia="Times New Roman"/>
              </w:rPr>
            </w:pPr>
            <w:r w:rsidRPr="00014A47">
              <w:rPr>
                <w:rFonts w:eastAsia="Times New Roman"/>
              </w:rPr>
              <w:t>The results and resources framework (annex) does not reflect the priorities set out in the text. Most outputs are process-related. There are no outputs regarding the reduction of poverty and inequality. The numerous new policies and frameworks (output 3.2) are not a good indicator.</w:t>
            </w:r>
          </w:p>
          <w:p w:rsidR="006913C1" w:rsidRPr="00014A47" w:rsidRDefault="006913C1" w:rsidP="009D36E8">
            <w:pPr>
              <w:autoSpaceDE w:val="0"/>
              <w:autoSpaceDN w:val="0"/>
            </w:pPr>
          </w:p>
          <w:p w:rsidR="008B7C71" w:rsidRPr="00014A47" w:rsidRDefault="008B7C71" w:rsidP="009D36E8">
            <w:pPr>
              <w:autoSpaceDE w:val="0"/>
              <w:autoSpaceDN w:val="0"/>
            </w:pPr>
          </w:p>
        </w:tc>
        <w:tc>
          <w:tcPr>
            <w:tcW w:w="2970" w:type="dxa"/>
          </w:tcPr>
          <w:p w:rsidR="006913C1" w:rsidRPr="00014A47" w:rsidRDefault="006913C1" w:rsidP="009D36E8"/>
          <w:p w:rsidR="00101055" w:rsidRPr="00014A47" w:rsidRDefault="00101055" w:rsidP="009D36E8">
            <w:r w:rsidRPr="00014A47">
              <w:t>n/a</w:t>
            </w:r>
          </w:p>
        </w:tc>
        <w:tc>
          <w:tcPr>
            <w:tcW w:w="4860" w:type="dxa"/>
          </w:tcPr>
          <w:p w:rsidR="00014A47" w:rsidRDefault="008B7C71" w:rsidP="009D36E8">
            <w:pPr>
              <w:rPr>
                <w:rFonts w:eastAsia="Times New Roman"/>
              </w:rPr>
            </w:pPr>
            <w:r w:rsidRPr="00014A47">
              <w:rPr>
                <w:rFonts w:eastAsia="Times New Roman"/>
              </w:rPr>
              <w:t xml:space="preserve">The CPD draft including RRF has benefitted from independent review by the HQ technical teams and is in line with standards with respect to attribution and accountability. With respect to indicators – they have been aligned to the MTPII indicators. Regarding poverty reduction, the UNDP aims to support </w:t>
            </w:r>
            <w:proofErr w:type="spellStart"/>
            <w:r w:rsidRPr="00014A47">
              <w:rPr>
                <w:rFonts w:eastAsia="Times New Roman"/>
              </w:rPr>
              <w:t>GoK</w:t>
            </w:r>
            <w:proofErr w:type="spellEnd"/>
            <w:r w:rsidRPr="00014A47">
              <w:rPr>
                <w:rFonts w:eastAsia="Times New Roman"/>
              </w:rPr>
              <w:t xml:space="preserve"> and other stakeholders to establish processes and implement programmatic interventions that contribute to poverty alleviation.</w:t>
            </w:r>
          </w:p>
          <w:p w:rsidR="00014A47" w:rsidRDefault="00014A47" w:rsidP="009D36E8">
            <w:pPr>
              <w:rPr>
                <w:rFonts w:eastAsia="Times New Roman"/>
              </w:rPr>
            </w:pPr>
          </w:p>
          <w:p w:rsidR="006913C1" w:rsidRPr="00014A47" w:rsidRDefault="008B7C71" w:rsidP="009D36E8">
            <w:pPr>
              <w:rPr>
                <w:rFonts w:eastAsia="Times New Roman"/>
              </w:rPr>
            </w:pPr>
            <w:r w:rsidRPr="00014A47">
              <w:rPr>
                <w:rFonts w:eastAsia="Times New Roman"/>
              </w:rPr>
              <w:t>At output level, UNDP has focused on results directly attributable to our interventions; thus, a national level reduction in poverty or inequality is a whole of government outcome with support from various actors including the whole UNCT.</w:t>
            </w:r>
          </w:p>
        </w:tc>
      </w:tr>
    </w:tbl>
    <w:p w:rsidR="007F3D8A" w:rsidRPr="00014A47" w:rsidRDefault="007F3D8A"/>
    <w:sectPr w:rsidR="007F3D8A" w:rsidRPr="00014A47" w:rsidSect="00A2312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057E"/>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04B11869"/>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0BAA3C79"/>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23FE08F3"/>
    <w:multiLevelType w:val="hybridMultilevel"/>
    <w:tmpl w:val="52702A30"/>
    <w:lvl w:ilvl="0" w:tplc="A5121FF4">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0986CCB"/>
    <w:multiLevelType w:val="hybridMultilevel"/>
    <w:tmpl w:val="CE6C7BE0"/>
    <w:lvl w:ilvl="0" w:tplc="BE0A3314">
      <w:start w:val="1"/>
      <w:numFmt w:val="decimal"/>
      <w:lvlText w:val="%1."/>
      <w:lvlJc w:val="left"/>
      <w:pPr>
        <w:tabs>
          <w:tab w:val="num" w:pos="720"/>
        </w:tabs>
        <w:ind w:left="720" w:hanging="360"/>
      </w:pPr>
    </w:lvl>
    <w:lvl w:ilvl="1" w:tplc="DDD00EDA" w:tentative="1">
      <w:start w:val="1"/>
      <w:numFmt w:val="decimal"/>
      <w:lvlText w:val="%2."/>
      <w:lvlJc w:val="left"/>
      <w:pPr>
        <w:tabs>
          <w:tab w:val="num" w:pos="1440"/>
        </w:tabs>
        <w:ind w:left="1440" w:hanging="360"/>
      </w:pPr>
    </w:lvl>
    <w:lvl w:ilvl="2" w:tplc="30B03888" w:tentative="1">
      <w:start w:val="1"/>
      <w:numFmt w:val="decimal"/>
      <w:lvlText w:val="%3."/>
      <w:lvlJc w:val="left"/>
      <w:pPr>
        <w:tabs>
          <w:tab w:val="num" w:pos="2160"/>
        </w:tabs>
        <w:ind w:left="2160" w:hanging="360"/>
      </w:pPr>
    </w:lvl>
    <w:lvl w:ilvl="3" w:tplc="07B4E76E" w:tentative="1">
      <w:start w:val="1"/>
      <w:numFmt w:val="decimal"/>
      <w:lvlText w:val="%4."/>
      <w:lvlJc w:val="left"/>
      <w:pPr>
        <w:tabs>
          <w:tab w:val="num" w:pos="2880"/>
        </w:tabs>
        <w:ind w:left="2880" w:hanging="360"/>
      </w:pPr>
    </w:lvl>
    <w:lvl w:ilvl="4" w:tplc="E5825044" w:tentative="1">
      <w:start w:val="1"/>
      <w:numFmt w:val="decimal"/>
      <w:lvlText w:val="%5."/>
      <w:lvlJc w:val="left"/>
      <w:pPr>
        <w:tabs>
          <w:tab w:val="num" w:pos="3600"/>
        </w:tabs>
        <w:ind w:left="3600" w:hanging="360"/>
      </w:pPr>
    </w:lvl>
    <w:lvl w:ilvl="5" w:tplc="9C0ADA20" w:tentative="1">
      <w:start w:val="1"/>
      <w:numFmt w:val="decimal"/>
      <w:lvlText w:val="%6."/>
      <w:lvlJc w:val="left"/>
      <w:pPr>
        <w:tabs>
          <w:tab w:val="num" w:pos="4320"/>
        </w:tabs>
        <w:ind w:left="4320" w:hanging="360"/>
      </w:pPr>
    </w:lvl>
    <w:lvl w:ilvl="6" w:tplc="984AC916" w:tentative="1">
      <w:start w:val="1"/>
      <w:numFmt w:val="decimal"/>
      <w:lvlText w:val="%7."/>
      <w:lvlJc w:val="left"/>
      <w:pPr>
        <w:tabs>
          <w:tab w:val="num" w:pos="5040"/>
        </w:tabs>
        <w:ind w:left="5040" w:hanging="360"/>
      </w:pPr>
    </w:lvl>
    <w:lvl w:ilvl="7" w:tplc="EC4E1C04" w:tentative="1">
      <w:start w:val="1"/>
      <w:numFmt w:val="decimal"/>
      <w:lvlText w:val="%8."/>
      <w:lvlJc w:val="left"/>
      <w:pPr>
        <w:tabs>
          <w:tab w:val="num" w:pos="5760"/>
        </w:tabs>
        <w:ind w:left="5760" w:hanging="360"/>
      </w:pPr>
    </w:lvl>
    <w:lvl w:ilvl="8" w:tplc="47027264" w:tentative="1">
      <w:start w:val="1"/>
      <w:numFmt w:val="decimal"/>
      <w:lvlText w:val="%9."/>
      <w:lvlJc w:val="left"/>
      <w:pPr>
        <w:tabs>
          <w:tab w:val="num" w:pos="6480"/>
        </w:tabs>
        <w:ind w:left="6480" w:hanging="360"/>
      </w:pPr>
    </w:lvl>
  </w:abstractNum>
  <w:abstractNum w:abstractNumId="5" w15:restartNumberingAfterBreak="0">
    <w:nsid w:val="319279F1"/>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 w15:restartNumberingAfterBreak="0">
    <w:nsid w:val="39F8262C"/>
    <w:multiLevelType w:val="hybridMultilevel"/>
    <w:tmpl w:val="492A451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2AF49AB"/>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8" w15:restartNumberingAfterBreak="0">
    <w:nsid w:val="74010D06"/>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5"/>
  </w:num>
  <w:num w:numId="6">
    <w:abstractNumId w:val="2"/>
  </w:num>
  <w:num w:numId="7">
    <w:abstractNumId w:val="1"/>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129"/>
    <w:rsid w:val="00014A47"/>
    <w:rsid w:val="00024CF7"/>
    <w:rsid w:val="00034018"/>
    <w:rsid w:val="0009776C"/>
    <w:rsid w:val="00097B14"/>
    <w:rsid w:val="00101055"/>
    <w:rsid w:val="001668BF"/>
    <w:rsid w:val="001A6EE8"/>
    <w:rsid w:val="001E528A"/>
    <w:rsid w:val="002007F1"/>
    <w:rsid w:val="002166C1"/>
    <w:rsid w:val="002C1D33"/>
    <w:rsid w:val="002F5FAD"/>
    <w:rsid w:val="003642E4"/>
    <w:rsid w:val="00412F61"/>
    <w:rsid w:val="00444818"/>
    <w:rsid w:val="00652DED"/>
    <w:rsid w:val="006913C1"/>
    <w:rsid w:val="00693CDE"/>
    <w:rsid w:val="006E6A91"/>
    <w:rsid w:val="007F3D8A"/>
    <w:rsid w:val="008B7C71"/>
    <w:rsid w:val="008E1FF6"/>
    <w:rsid w:val="00932C4C"/>
    <w:rsid w:val="009D1792"/>
    <w:rsid w:val="009E57EE"/>
    <w:rsid w:val="00A23129"/>
    <w:rsid w:val="00A360E9"/>
    <w:rsid w:val="00A87A0F"/>
    <w:rsid w:val="00B31875"/>
    <w:rsid w:val="00BC1304"/>
    <w:rsid w:val="00D24BE9"/>
    <w:rsid w:val="00D339EE"/>
    <w:rsid w:val="00D77B36"/>
    <w:rsid w:val="00F45665"/>
    <w:rsid w:val="00FC2A8A"/>
    <w:rsid w:val="00FD5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C550D-4EC8-4411-B7E9-CF01247D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577A"/>
    <w:pPr>
      <w:spacing w:after="0" w:line="240" w:lineRule="auto"/>
      <w:ind w:left="720"/>
    </w:pPr>
    <w:rPr>
      <w:rFonts w:ascii="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5462">
      <w:bodyDiv w:val="1"/>
      <w:marLeft w:val="0"/>
      <w:marRight w:val="0"/>
      <w:marTop w:val="0"/>
      <w:marBottom w:val="0"/>
      <w:divBdr>
        <w:top w:val="none" w:sz="0" w:space="0" w:color="auto"/>
        <w:left w:val="none" w:sz="0" w:space="0" w:color="auto"/>
        <w:bottom w:val="none" w:sz="0" w:space="0" w:color="auto"/>
        <w:right w:val="none" w:sz="0" w:space="0" w:color="auto"/>
      </w:divBdr>
    </w:div>
    <w:div w:id="116221776">
      <w:bodyDiv w:val="1"/>
      <w:marLeft w:val="0"/>
      <w:marRight w:val="0"/>
      <w:marTop w:val="0"/>
      <w:marBottom w:val="0"/>
      <w:divBdr>
        <w:top w:val="none" w:sz="0" w:space="0" w:color="auto"/>
        <w:left w:val="none" w:sz="0" w:space="0" w:color="auto"/>
        <w:bottom w:val="none" w:sz="0" w:space="0" w:color="auto"/>
        <w:right w:val="none" w:sz="0" w:space="0" w:color="auto"/>
      </w:divBdr>
    </w:div>
    <w:div w:id="373190419">
      <w:bodyDiv w:val="1"/>
      <w:marLeft w:val="0"/>
      <w:marRight w:val="0"/>
      <w:marTop w:val="0"/>
      <w:marBottom w:val="0"/>
      <w:divBdr>
        <w:top w:val="none" w:sz="0" w:space="0" w:color="auto"/>
        <w:left w:val="none" w:sz="0" w:space="0" w:color="auto"/>
        <w:bottom w:val="none" w:sz="0" w:space="0" w:color="auto"/>
        <w:right w:val="none" w:sz="0" w:space="0" w:color="auto"/>
      </w:divBdr>
    </w:div>
    <w:div w:id="409618054">
      <w:bodyDiv w:val="1"/>
      <w:marLeft w:val="0"/>
      <w:marRight w:val="0"/>
      <w:marTop w:val="0"/>
      <w:marBottom w:val="0"/>
      <w:divBdr>
        <w:top w:val="none" w:sz="0" w:space="0" w:color="auto"/>
        <w:left w:val="none" w:sz="0" w:space="0" w:color="auto"/>
        <w:bottom w:val="none" w:sz="0" w:space="0" w:color="auto"/>
        <w:right w:val="none" w:sz="0" w:space="0" w:color="auto"/>
      </w:divBdr>
    </w:div>
    <w:div w:id="554438694">
      <w:bodyDiv w:val="1"/>
      <w:marLeft w:val="0"/>
      <w:marRight w:val="0"/>
      <w:marTop w:val="0"/>
      <w:marBottom w:val="0"/>
      <w:divBdr>
        <w:top w:val="none" w:sz="0" w:space="0" w:color="auto"/>
        <w:left w:val="none" w:sz="0" w:space="0" w:color="auto"/>
        <w:bottom w:val="none" w:sz="0" w:space="0" w:color="auto"/>
        <w:right w:val="none" w:sz="0" w:space="0" w:color="auto"/>
      </w:divBdr>
    </w:div>
    <w:div w:id="813445524">
      <w:bodyDiv w:val="1"/>
      <w:marLeft w:val="0"/>
      <w:marRight w:val="0"/>
      <w:marTop w:val="0"/>
      <w:marBottom w:val="0"/>
      <w:divBdr>
        <w:top w:val="none" w:sz="0" w:space="0" w:color="auto"/>
        <w:left w:val="none" w:sz="0" w:space="0" w:color="auto"/>
        <w:bottom w:val="none" w:sz="0" w:space="0" w:color="auto"/>
        <w:right w:val="none" w:sz="0" w:space="0" w:color="auto"/>
      </w:divBdr>
    </w:div>
    <w:div w:id="945192731">
      <w:bodyDiv w:val="1"/>
      <w:marLeft w:val="0"/>
      <w:marRight w:val="0"/>
      <w:marTop w:val="0"/>
      <w:marBottom w:val="0"/>
      <w:divBdr>
        <w:top w:val="none" w:sz="0" w:space="0" w:color="auto"/>
        <w:left w:val="none" w:sz="0" w:space="0" w:color="auto"/>
        <w:bottom w:val="none" w:sz="0" w:space="0" w:color="auto"/>
        <w:right w:val="none" w:sz="0" w:space="0" w:color="auto"/>
      </w:divBdr>
    </w:div>
    <w:div w:id="986207732">
      <w:bodyDiv w:val="1"/>
      <w:marLeft w:val="0"/>
      <w:marRight w:val="0"/>
      <w:marTop w:val="0"/>
      <w:marBottom w:val="0"/>
      <w:divBdr>
        <w:top w:val="none" w:sz="0" w:space="0" w:color="auto"/>
        <w:left w:val="none" w:sz="0" w:space="0" w:color="auto"/>
        <w:bottom w:val="none" w:sz="0" w:space="0" w:color="auto"/>
        <w:right w:val="none" w:sz="0" w:space="0" w:color="auto"/>
      </w:divBdr>
    </w:div>
    <w:div w:id="1083989511">
      <w:bodyDiv w:val="1"/>
      <w:marLeft w:val="0"/>
      <w:marRight w:val="0"/>
      <w:marTop w:val="0"/>
      <w:marBottom w:val="0"/>
      <w:divBdr>
        <w:top w:val="none" w:sz="0" w:space="0" w:color="auto"/>
        <w:left w:val="none" w:sz="0" w:space="0" w:color="auto"/>
        <w:bottom w:val="none" w:sz="0" w:space="0" w:color="auto"/>
        <w:right w:val="none" w:sz="0" w:space="0" w:color="auto"/>
      </w:divBdr>
    </w:div>
    <w:div w:id="1445074108">
      <w:bodyDiv w:val="1"/>
      <w:marLeft w:val="0"/>
      <w:marRight w:val="0"/>
      <w:marTop w:val="0"/>
      <w:marBottom w:val="0"/>
      <w:divBdr>
        <w:top w:val="none" w:sz="0" w:space="0" w:color="auto"/>
        <w:left w:val="none" w:sz="0" w:space="0" w:color="auto"/>
        <w:bottom w:val="none" w:sz="0" w:space="0" w:color="auto"/>
        <w:right w:val="none" w:sz="0" w:space="0" w:color="auto"/>
      </w:divBdr>
    </w:div>
    <w:div w:id="1530412892">
      <w:bodyDiv w:val="1"/>
      <w:marLeft w:val="0"/>
      <w:marRight w:val="0"/>
      <w:marTop w:val="0"/>
      <w:marBottom w:val="0"/>
      <w:divBdr>
        <w:top w:val="none" w:sz="0" w:space="0" w:color="auto"/>
        <w:left w:val="none" w:sz="0" w:space="0" w:color="auto"/>
        <w:bottom w:val="none" w:sz="0" w:space="0" w:color="auto"/>
        <w:right w:val="none" w:sz="0" w:space="0" w:color="auto"/>
      </w:divBdr>
    </w:div>
    <w:div w:id="175951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Ishmael Dodoo</dc:creator>
  <cp:keywords/>
  <dc:description/>
  <cp:lastModifiedBy>Svetlana Iazykova</cp:lastModifiedBy>
  <cp:revision>2</cp:revision>
  <dcterms:created xsi:type="dcterms:W3CDTF">2018-03-29T16:38:00Z</dcterms:created>
  <dcterms:modified xsi:type="dcterms:W3CDTF">2018-03-29T16:38:00Z</dcterms:modified>
</cp:coreProperties>
</file>