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943B2" w14:textId="7CCE8093" w:rsidR="005C6168" w:rsidRPr="00517955" w:rsidRDefault="005C6168">
      <w:pPr>
        <w:pStyle w:val="Heading3"/>
        <w:jc w:val="left"/>
        <w:rPr>
          <w:rFonts w:asciiTheme="minorHAnsi" w:hAnsiTheme="minorHAnsi"/>
        </w:rPr>
      </w:pPr>
      <w:bookmarkStart w:id="0" w:name="_GoBack"/>
      <w:bookmarkEnd w:id="0"/>
      <w:r w:rsidRPr="00517955">
        <w:rPr>
          <w:rFonts w:asciiTheme="minorHAnsi" w:hAnsiTheme="minorHAnsi"/>
        </w:rPr>
        <w:t>Country:</w:t>
      </w:r>
      <w:r w:rsidRPr="00517955">
        <w:rPr>
          <w:rFonts w:asciiTheme="minorHAnsi" w:hAnsiTheme="minorHAnsi"/>
        </w:rPr>
        <w:tab/>
      </w:r>
      <w:r w:rsidRPr="00517955">
        <w:rPr>
          <w:rFonts w:asciiTheme="minorHAnsi" w:hAnsiTheme="minorHAnsi"/>
        </w:rPr>
        <w:tab/>
      </w:r>
      <w:r w:rsidR="00732B69">
        <w:rPr>
          <w:rFonts w:asciiTheme="minorHAnsi" w:hAnsiTheme="minorHAnsi"/>
        </w:rPr>
        <w:t>Pacific</w:t>
      </w:r>
      <w:r w:rsidR="00A82D8C">
        <w:rPr>
          <w:rFonts w:asciiTheme="minorHAnsi" w:hAnsiTheme="minorHAnsi"/>
        </w:rPr>
        <w:t xml:space="preserve"> Sub-</w:t>
      </w:r>
      <w:r w:rsidR="007F7914">
        <w:rPr>
          <w:rFonts w:asciiTheme="minorHAnsi" w:hAnsiTheme="minorHAnsi"/>
        </w:rPr>
        <w:t>Region</w:t>
      </w:r>
      <w:r w:rsidR="007F7914" w:rsidRPr="00860C13">
        <w:rPr>
          <w:rStyle w:val="FootnoteReference"/>
          <w:rFonts w:asciiTheme="minorHAnsi" w:hAnsiTheme="minorHAnsi"/>
          <w:szCs w:val="22"/>
        </w:rPr>
        <w:footnoteReference w:id="1"/>
      </w:r>
    </w:p>
    <w:p w14:paraId="5B3AB000" w14:textId="77777777" w:rsidR="003B4DE1" w:rsidRPr="00517955" w:rsidRDefault="003B4DE1" w:rsidP="003B4DE1">
      <w:pPr>
        <w:pStyle w:val="Heading3"/>
        <w:jc w:val="left"/>
        <w:rPr>
          <w:rFonts w:asciiTheme="minorHAnsi" w:hAnsiTheme="minorHAnsi"/>
        </w:rPr>
      </w:pPr>
      <w:r w:rsidRPr="00517955">
        <w:rPr>
          <w:rFonts w:asciiTheme="minorHAnsi" w:hAnsiTheme="minorHAnsi"/>
        </w:rPr>
        <w:t xml:space="preserve">Reporting period: </w:t>
      </w:r>
      <w:r w:rsidRPr="00517955">
        <w:rPr>
          <w:rFonts w:asciiTheme="minorHAnsi" w:hAnsiTheme="minorHAnsi"/>
        </w:rPr>
        <w:tab/>
      </w:r>
      <w:r>
        <w:rPr>
          <w:rFonts w:asciiTheme="minorHAnsi" w:hAnsiTheme="minorHAnsi"/>
        </w:rPr>
        <w:t>2013-2017</w:t>
      </w:r>
    </w:p>
    <w:p w14:paraId="10928744" w14:textId="77777777" w:rsidR="003B4DE1" w:rsidRDefault="003B4DE1">
      <w:pPr>
        <w:pStyle w:val="Heading3"/>
        <w:rPr>
          <w:rFonts w:asciiTheme="minorHAnsi" w:hAnsiTheme="minorHAnsi"/>
          <w:b/>
          <w:bCs w:val="0"/>
        </w:rPr>
      </w:pPr>
    </w:p>
    <w:p w14:paraId="0E56CA7A" w14:textId="4B22C954" w:rsidR="005C6168" w:rsidRPr="00517955" w:rsidRDefault="00BC38E0">
      <w:pPr>
        <w:pStyle w:val="Heading3"/>
        <w:rPr>
          <w:rFonts w:asciiTheme="minorHAnsi" w:hAnsiTheme="minorHAnsi"/>
          <w:b/>
          <w:bCs w:val="0"/>
        </w:rPr>
      </w:pPr>
      <w:r w:rsidRPr="00517955">
        <w:rPr>
          <w:rFonts w:asciiTheme="minorHAnsi" w:hAnsiTheme="minorHAnsi"/>
          <w:b/>
          <w:bCs w:val="0"/>
        </w:rPr>
        <w:t>COUNTRY PROGRAMME</w:t>
      </w:r>
      <w:r w:rsidR="00B32ADA">
        <w:rPr>
          <w:rFonts w:asciiTheme="minorHAnsi" w:hAnsiTheme="minorHAnsi"/>
          <w:b/>
          <w:bCs w:val="0"/>
        </w:rPr>
        <w:t xml:space="preserve"> PERFORMANCE SUMMARY</w:t>
      </w:r>
    </w:p>
    <w:p w14:paraId="5287C39E" w14:textId="7599F4E7" w:rsidR="005C6168" w:rsidRPr="00860C13" w:rsidRDefault="005C6168" w:rsidP="003B4DE1">
      <w:pPr>
        <w:pStyle w:val="Heading3"/>
        <w:jc w:val="left"/>
        <w:rPr>
          <w:rFonts w:asciiTheme="minorHAnsi" w:hAnsiTheme="minorHAnsi"/>
          <w:b/>
          <w:bCs w:val="0"/>
          <w:szCs w:val="24"/>
        </w:rPr>
      </w:pPr>
    </w:p>
    <w:p w14:paraId="3D685C4A" w14:textId="395C4ADF" w:rsidR="00D47CF8" w:rsidRDefault="00D47CF8" w:rsidP="00312BAD">
      <w:pPr>
        <w:pStyle w:val="BodyText"/>
        <w:jc w:val="both"/>
        <w:rPr>
          <w:rFonts w:asciiTheme="minorHAnsi" w:hAnsiTheme="minorHAnsi"/>
          <w:sz w:val="24"/>
          <w:szCs w:val="24"/>
          <w:lang w:val="en-GB"/>
        </w:rPr>
      </w:pPr>
    </w:p>
    <w:p w14:paraId="24B1141F" w14:textId="5480B677" w:rsidR="003B4DE1" w:rsidRDefault="003B4DE1" w:rsidP="00312BAD">
      <w:pPr>
        <w:pStyle w:val="BodyText"/>
        <w:jc w:val="both"/>
        <w:rPr>
          <w:rFonts w:asciiTheme="minorHAnsi" w:hAnsiTheme="minorHAnsi"/>
          <w:b/>
          <w:szCs w:val="24"/>
        </w:rPr>
      </w:pPr>
      <w:r w:rsidRPr="00860C13">
        <w:rPr>
          <w:rFonts w:asciiTheme="minorHAnsi" w:hAnsiTheme="minorHAnsi"/>
          <w:b/>
          <w:szCs w:val="24"/>
        </w:rPr>
        <w:t>I.  EXECUTIVE SUMMARY (1/2 page maximum)</w:t>
      </w:r>
    </w:p>
    <w:p w14:paraId="68E4D60F" w14:textId="77777777" w:rsidR="003B4DE1" w:rsidRPr="00312BAD" w:rsidRDefault="003B4DE1" w:rsidP="00312BAD">
      <w:pPr>
        <w:pStyle w:val="BodyText"/>
        <w:jc w:val="both"/>
        <w:rPr>
          <w:rFonts w:asciiTheme="minorHAnsi" w:hAnsiTheme="minorHAnsi"/>
          <w:sz w:val="24"/>
          <w:szCs w:val="24"/>
          <w:lang w:val="en-GB"/>
        </w:rPr>
      </w:pPr>
    </w:p>
    <w:p w14:paraId="67A95F31" w14:textId="1927831D" w:rsidR="00D47CF8" w:rsidRPr="0058303C" w:rsidRDefault="0056519A" w:rsidP="00860C13">
      <w:pPr>
        <w:pStyle w:val="BodyText"/>
        <w:jc w:val="both"/>
        <w:rPr>
          <w:rFonts w:asciiTheme="minorHAnsi" w:hAnsiTheme="minorHAnsi"/>
          <w:szCs w:val="22"/>
        </w:rPr>
      </w:pPr>
      <w:r w:rsidRPr="00860C13">
        <w:rPr>
          <w:rFonts w:asciiTheme="minorHAnsi" w:hAnsiTheme="minorHAnsi"/>
          <w:szCs w:val="22"/>
        </w:rPr>
        <w:t>The Pacific Sub Regional Programme Document</w:t>
      </w:r>
      <w:r w:rsidR="00B7179F" w:rsidRPr="00860C13">
        <w:rPr>
          <w:rFonts w:asciiTheme="minorHAnsi" w:hAnsiTheme="minorHAnsi"/>
          <w:szCs w:val="22"/>
        </w:rPr>
        <w:t xml:space="preserve"> (SRPD)</w:t>
      </w:r>
      <w:r w:rsidRPr="00860C13">
        <w:rPr>
          <w:rFonts w:asciiTheme="minorHAnsi" w:hAnsiTheme="minorHAnsi"/>
          <w:szCs w:val="22"/>
        </w:rPr>
        <w:t xml:space="preserve"> is guided by the UNDAF Action Plan 2013-2017 and its fourteen individually endorsed country results matrices, four of which fall under the Samoa Multi-Country Office. </w:t>
      </w:r>
      <w:r w:rsidR="00D47CF8" w:rsidRPr="00860C13">
        <w:rPr>
          <w:rFonts w:asciiTheme="minorHAnsi" w:hAnsiTheme="minorHAnsi"/>
          <w:szCs w:val="22"/>
        </w:rPr>
        <w:t>The Pacific Office</w:t>
      </w:r>
      <w:r w:rsidRPr="00860C13">
        <w:rPr>
          <w:rFonts w:asciiTheme="minorHAnsi" w:hAnsiTheme="minorHAnsi"/>
          <w:szCs w:val="22"/>
        </w:rPr>
        <w:t xml:space="preserve"> in Fiji (P</w:t>
      </w:r>
      <w:r w:rsidR="007D1B96">
        <w:rPr>
          <w:rFonts w:asciiTheme="minorHAnsi" w:hAnsiTheme="minorHAnsi"/>
          <w:szCs w:val="22"/>
        </w:rPr>
        <w:t>a</w:t>
      </w:r>
      <w:r w:rsidRPr="00860C13">
        <w:rPr>
          <w:rFonts w:asciiTheme="minorHAnsi" w:hAnsiTheme="minorHAnsi"/>
          <w:szCs w:val="22"/>
        </w:rPr>
        <w:t xml:space="preserve">O) recently integrated the former Pacific Center and Fiji Multi-Country Office </w:t>
      </w:r>
      <w:r w:rsidR="00BE74E4" w:rsidRPr="0058303C">
        <w:rPr>
          <w:rFonts w:asciiTheme="minorHAnsi" w:hAnsiTheme="minorHAnsi"/>
          <w:szCs w:val="22"/>
        </w:rPr>
        <w:t xml:space="preserve">and </w:t>
      </w:r>
      <w:r w:rsidRPr="0058303C">
        <w:rPr>
          <w:rFonts w:asciiTheme="minorHAnsi" w:hAnsiTheme="minorHAnsi"/>
          <w:szCs w:val="22"/>
        </w:rPr>
        <w:t>was officially launched as the</w:t>
      </w:r>
      <w:r w:rsidR="00D47CF8" w:rsidRPr="0058303C">
        <w:rPr>
          <w:rFonts w:asciiTheme="minorHAnsi" w:hAnsiTheme="minorHAnsi"/>
          <w:szCs w:val="22"/>
        </w:rPr>
        <w:t xml:space="preserve"> </w:t>
      </w:r>
      <w:r w:rsidRPr="0058303C">
        <w:rPr>
          <w:rFonts w:asciiTheme="minorHAnsi" w:hAnsiTheme="minorHAnsi"/>
          <w:szCs w:val="22"/>
        </w:rPr>
        <w:t>P</w:t>
      </w:r>
      <w:r w:rsidR="007D1B96">
        <w:rPr>
          <w:rFonts w:asciiTheme="minorHAnsi" w:hAnsiTheme="minorHAnsi"/>
          <w:szCs w:val="22"/>
        </w:rPr>
        <w:t>a</w:t>
      </w:r>
      <w:r w:rsidRPr="0058303C">
        <w:rPr>
          <w:rFonts w:asciiTheme="minorHAnsi" w:hAnsiTheme="minorHAnsi"/>
          <w:szCs w:val="22"/>
        </w:rPr>
        <w:t>O on 1 April 2016</w:t>
      </w:r>
      <w:r w:rsidR="005E38E8" w:rsidRPr="0058303C">
        <w:rPr>
          <w:rFonts w:asciiTheme="minorHAnsi" w:hAnsiTheme="minorHAnsi"/>
          <w:szCs w:val="22"/>
        </w:rPr>
        <w:t>.  It</w:t>
      </w:r>
      <w:r w:rsidR="00D47CF8" w:rsidRPr="0058303C">
        <w:rPr>
          <w:rFonts w:asciiTheme="minorHAnsi" w:hAnsiTheme="minorHAnsi"/>
          <w:szCs w:val="22"/>
        </w:rPr>
        <w:t xml:space="preserve"> is a combination of a regional hub that provides policy services to 15 countries in the Pacific</w:t>
      </w:r>
      <w:r w:rsidR="00BE74E4" w:rsidRPr="0058303C">
        <w:rPr>
          <w:rFonts w:asciiTheme="minorHAnsi" w:hAnsiTheme="minorHAnsi"/>
          <w:szCs w:val="22"/>
        </w:rPr>
        <w:t xml:space="preserve"> (including Papua New Guinea)</w:t>
      </w:r>
      <w:r w:rsidR="00D47CF8" w:rsidRPr="0058303C">
        <w:rPr>
          <w:rFonts w:asciiTheme="minorHAnsi" w:hAnsiTheme="minorHAnsi"/>
          <w:szCs w:val="22"/>
        </w:rPr>
        <w:t>, a hub that implements regional programmes</w:t>
      </w:r>
      <w:r w:rsidR="00BE74E4" w:rsidRPr="0058303C">
        <w:rPr>
          <w:rFonts w:asciiTheme="minorHAnsi" w:hAnsiTheme="minorHAnsi"/>
          <w:szCs w:val="22"/>
        </w:rPr>
        <w:t xml:space="preserve">, </w:t>
      </w:r>
      <w:r w:rsidR="005B10FB" w:rsidRPr="0058303C">
        <w:rPr>
          <w:rFonts w:asciiTheme="minorHAnsi" w:hAnsiTheme="minorHAnsi"/>
          <w:szCs w:val="22"/>
        </w:rPr>
        <w:t>and a multi-</w:t>
      </w:r>
      <w:r w:rsidR="00D47CF8" w:rsidRPr="0058303C">
        <w:rPr>
          <w:rFonts w:asciiTheme="minorHAnsi" w:hAnsiTheme="minorHAnsi"/>
          <w:szCs w:val="22"/>
        </w:rPr>
        <w:t xml:space="preserve">CO that covers 10 countries. </w:t>
      </w:r>
      <w:r w:rsidR="00A241C8" w:rsidRPr="0058303C">
        <w:rPr>
          <w:rFonts w:asciiTheme="minorHAnsi" w:hAnsiTheme="minorHAnsi"/>
          <w:szCs w:val="22"/>
        </w:rPr>
        <w:t xml:space="preserve"> Only </w:t>
      </w:r>
      <w:r w:rsidR="007416D3" w:rsidRPr="0058303C">
        <w:rPr>
          <w:rFonts w:asciiTheme="minorHAnsi" w:hAnsiTheme="minorHAnsi"/>
          <w:szCs w:val="22"/>
        </w:rPr>
        <w:t>eight</w:t>
      </w:r>
      <w:r w:rsidR="00B07721" w:rsidRPr="0058303C">
        <w:rPr>
          <w:rFonts w:asciiTheme="minorHAnsi" w:hAnsiTheme="minorHAnsi"/>
          <w:szCs w:val="22"/>
        </w:rPr>
        <w:t xml:space="preserve"> </w:t>
      </w:r>
      <w:r w:rsidR="00A241C8" w:rsidRPr="0058303C">
        <w:rPr>
          <w:rFonts w:asciiTheme="minorHAnsi" w:hAnsiTheme="minorHAnsi"/>
          <w:szCs w:val="22"/>
        </w:rPr>
        <w:t xml:space="preserve">of the </w:t>
      </w:r>
      <w:r w:rsidR="005B10FB" w:rsidRPr="0058303C">
        <w:rPr>
          <w:rFonts w:asciiTheme="minorHAnsi" w:hAnsiTheme="minorHAnsi"/>
          <w:szCs w:val="22"/>
        </w:rPr>
        <w:t>14</w:t>
      </w:r>
      <w:r w:rsidR="005E38E8" w:rsidRPr="0058303C">
        <w:rPr>
          <w:rFonts w:asciiTheme="minorHAnsi" w:hAnsiTheme="minorHAnsi"/>
          <w:szCs w:val="22"/>
        </w:rPr>
        <w:t xml:space="preserve"> </w:t>
      </w:r>
      <w:r w:rsidR="00A241C8" w:rsidRPr="0058303C">
        <w:rPr>
          <w:rFonts w:asciiTheme="minorHAnsi" w:hAnsiTheme="minorHAnsi"/>
          <w:szCs w:val="22"/>
        </w:rPr>
        <w:t>countries are ranked in the Human Development Index</w:t>
      </w:r>
      <w:r w:rsidR="00BE74E4" w:rsidRPr="0058303C">
        <w:rPr>
          <w:rFonts w:asciiTheme="minorHAnsi" w:hAnsiTheme="minorHAnsi"/>
          <w:szCs w:val="22"/>
        </w:rPr>
        <w:t>.  The sub-region has many key differences with regards to geography, size, culture, economics, political systems and history.</w:t>
      </w:r>
    </w:p>
    <w:p w14:paraId="67B5D29C" w14:textId="77777777" w:rsidR="00A241C8" w:rsidRPr="0058303C" w:rsidRDefault="00A241C8" w:rsidP="0058303C">
      <w:pPr>
        <w:pStyle w:val="BodyText"/>
        <w:jc w:val="both"/>
        <w:rPr>
          <w:rFonts w:asciiTheme="minorHAnsi" w:hAnsiTheme="minorHAnsi"/>
          <w:szCs w:val="22"/>
        </w:rPr>
      </w:pPr>
    </w:p>
    <w:p w14:paraId="455D9585" w14:textId="212A848C" w:rsidR="005E38E8" w:rsidRDefault="00BE74E4" w:rsidP="0058303C">
      <w:pPr>
        <w:pStyle w:val="BodyText"/>
        <w:jc w:val="both"/>
        <w:rPr>
          <w:rFonts w:asciiTheme="minorHAnsi" w:hAnsiTheme="minorHAnsi"/>
          <w:szCs w:val="22"/>
          <w:lang w:val="en-GB"/>
        </w:rPr>
      </w:pPr>
      <w:r w:rsidRPr="0058303C">
        <w:rPr>
          <w:rFonts w:asciiTheme="minorHAnsi" w:hAnsiTheme="minorHAnsi"/>
          <w:szCs w:val="22"/>
          <w:lang w:val="en-GB"/>
        </w:rPr>
        <w:t>UNDP in the Pacific</w:t>
      </w:r>
      <w:r w:rsidR="00895D2E" w:rsidRPr="0058303C">
        <w:rPr>
          <w:rFonts w:asciiTheme="minorHAnsi" w:hAnsiTheme="minorHAnsi"/>
          <w:szCs w:val="22"/>
          <w:lang w:val="en-GB"/>
        </w:rPr>
        <w:t xml:space="preserve"> contributed </w:t>
      </w:r>
      <w:r w:rsidR="00341C47" w:rsidRPr="0058303C">
        <w:rPr>
          <w:rFonts w:asciiTheme="minorHAnsi" w:hAnsiTheme="minorHAnsi"/>
          <w:szCs w:val="22"/>
          <w:lang w:val="en-GB"/>
        </w:rPr>
        <w:t xml:space="preserve">positively </w:t>
      </w:r>
      <w:r w:rsidR="00895D2E" w:rsidRPr="0058303C">
        <w:rPr>
          <w:rFonts w:asciiTheme="minorHAnsi" w:hAnsiTheme="minorHAnsi"/>
          <w:szCs w:val="22"/>
          <w:lang w:val="en-GB"/>
        </w:rPr>
        <w:t>towards national and regional</w:t>
      </w:r>
      <w:r w:rsidR="007416D3" w:rsidRPr="0058303C">
        <w:rPr>
          <w:rFonts w:asciiTheme="minorHAnsi" w:hAnsiTheme="minorHAnsi"/>
          <w:szCs w:val="22"/>
          <w:lang w:val="en-GB"/>
        </w:rPr>
        <w:t xml:space="preserve"> development priorities, in </w:t>
      </w:r>
      <w:r w:rsidR="003A7C05" w:rsidRPr="0058303C">
        <w:rPr>
          <w:rFonts w:asciiTheme="minorHAnsi" w:hAnsiTheme="minorHAnsi"/>
          <w:szCs w:val="22"/>
          <w:lang w:val="en-GB"/>
        </w:rPr>
        <w:t>four</w:t>
      </w:r>
      <w:r w:rsidR="007416D3" w:rsidRPr="0058303C">
        <w:rPr>
          <w:rFonts w:asciiTheme="minorHAnsi" w:hAnsiTheme="minorHAnsi"/>
          <w:szCs w:val="22"/>
          <w:lang w:val="en-GB"/>
        </w:rPr>
        <w:t xml:space="preserve"> broad programme areas of work</w:t>
      </w:r>
      <w:r w:rsidR="007F7914">
        <w:rPr>
          <w:rFonts w:asciiTheme="minorHAnsi" w:hAnsiTheme="minorHAnsi"/>
          <w:szCs w:val="22"/>
          <w:lang w:val="en-GB"/>
        </w:rPr>
        <w:t xml:space="preserve"> (sub-regional programme outcomes)</w:t>
      </w:r>
      <w:r w:rsidR="007416D3" w:rsidRPr="0058303C">
        <w:rPr>
          <w:rFonts w:asciiTheme="minorHAnsi" w:hAnsiTheme="minorHAnsi"/>
          <w:szCs w:val="22"/>
          <w:lang w:val="en-GB"/>
        </w:rPr>
        <w:t xml:space="preserve">: </w:t>
      </w:r>
    </w:p>
    <w:p w14:paraId="772BA4CE" w14:textId="77777777" w:rsidR="003B4DE1" w:rsidRPr="0058303C" w:rsidRDefault="003B4DE1" w:rsidP="0058303C">
      <w:pPr>
        <w:pStyle w:val="BodyText"/>
        <w:jc w:val="both"/>
        <w:rPr>
          <w:rFonts w:asciiTheme="minorHAnsi" w:hAnsiTheme="minorHAnsi"/>
          <w:szCs w:val="22"/>
          <w:lang w:val="en-GB"/>
        </w:rPr>
      </w:pPr>
    </w:p>
    <w:p w14:paraId="323DE9E8" w14:textId="20228302" w:rsidR="000A7F3A" w:rsidRPr="0058303C" w:rsidRDefault="00EF4EAE" w:rsidP="00312BAD">
      <w:pPr>
        <w:pStyle w:val="BodyText"/>
        <w:jc w:val="both"/>
        <w:rPr>
          <w:rFonts w:asciiTheme="minorHAnsi" w:hAnsiTheme="minorHAnsi"/>
          <w:szCs w:val="22"/>
        </w:rPr>
      </w:pPr>
      <w:r w:rsidRPr="0058303C">
        <w:rPr>
          <w:rFonts w:asciiTheme="minorHAnsi" w:hAnsiTheme="minorHAnsi"/>
          <w:szCs w:val="22"/>
          <w:lang w:val="en-GB"/>
        </w:rPr>
        <w:t>i)</w:t>
      </w:r>
      <w:r w:rsidR="00191377" w:rsidRPr="0058303C">
        <w:rPr>
          <w:rFonts w:asciiTheme="minorHAnsi" w:hAnsiTheme="minorHAnsi"/>
          <w:szCs w:val="22"/>
          <w:lang w:val="en-GB"/>
        </w:rPr>
        <w:t xml:space="preserve"> </w:t>
      </w:r>
      <w:r w:rsidR="005E38E8" w:rsidRPr="0058303C">
        <w:rPr>
          <w:rFonts w:asciiTheme="minorHAnsi" w:hAnsiTheme="minorHAnsi"/>
          <w:b/>
          <w:szCs w:val="22"/>
          <w:lang w:val="en-GB"/>
        </w:rPr>
        <w:t>I</w:t>
      </w:r>
      <w:r w:rsidR="003A7C05" w:rsidRPr="0058303C">
        <w:rPr>
          <w:rFonts w:asciiTheme="minorHAnsi" w:hAnsiTheme="minorHAnsi"/>
          <w:b/>
          <w:szCs w:val="22"/>
          <w:lang w:val="en-GB"/>
        </w:rPr>
        <w:t>nclusive growth and poverty</w:t>
      </w:r>
      <w:r w:rsidR="003A7C05" w:rsidRPr="0058303C">
        <w:rPr>
          <w:rFonts w:asciiTheme="minorHAnsi" w:hAnsiTheme="minorHAnsi"/>
          <w:szCs w:val="22"/>
          <w:lang w:val="en-GB"/>
        </w:rPr>
        <w:t xml:space="preserve"> </w:t>
      </w:r>
      <w:r w:rsidR="003A7C05" w:rsidRPr="0058303C">
        <w:rPr>
          <w:rFonts w:asciiTheme="minorHAnsi" w:hAnsiTheme="minorHAnsi"/>
          <w:b/>
          <w:szCs w:val="22"/>
          <w:lang w:val="en-GB"/>
        </w:rPr>
        <w:t>reduction</w:t>
      </w:r>
      <w:r w:rsidR="005B10FB" w:rsidRPr="0058303C">
        <w:rPr>
          <w:rFonts w:asciiTheme="minorHAnsi" w:hAnsiTheme="minorHAnsi"/>
          <w:szCs w:val="22"/>
          <w:lang w:val="en-GB"/>
        </w:rPr>
        <w:t>:</w:t>
      </w:r>
      <w:r w:rsidR="00191377" w:rsidRPr="0058303C">
        <w:rPr>
          <w:rFonts w:asciiTheme="minorHAnsi" w:hAnsiTheme="minorHAnsi"/>
          <w:szCs w:val="22"/>
          <w:lang w:val="en-GB"/>
        </w:rPr>
        <w:t xml:space="preserve"> UNDP</w:t>
      </w:r>
      <w:r w:rsidRPr="0058303C">
        <w:rPr>
          <w:rFonts w:asciiTheme="minorHAnsi" w:hAnsiTheme="minorHAnsi"/>
          <w:szCs w:val="22"/>
          <w:lang w:val="en-GB"/>
        </w:rPr>
        <w:t xml:space="preserve"> </w:t>
      </w:r>
      <w:r w:rsidR="00191377" w:rsidRPr="0058303C">
        <w:rPr>
          <w:rFonts w:asciiTheme="minorHAnsi" w:hAnsiTheme="minorHAnsi"/>
          <w:szCs w:val="22"/>
          <w:lang w:val="en-GB"/>
        </w:rPr>
        <w:t xml:space="preserve">strengthened national </w:t>
      </w:r>
      <w:r w:rsidR="00191377" w:rsidRPr="00A82D8C">
        <w:rPr>
          <w:rFonts w:asciiTheme="minorHAnsi" w:hAnsiTheme="minorHAnsi"/>
          <w:szCs w:val="22"/>
          <w:lang w:val="en-GB"/>
        </w:rPr>
        <w:t>capacities</w:t>
      </w:r>
      <w:r w:rsidR="00BE791B" w:rsidRPr="00A82D8C">
        <w:rPr>
          <w:rFonts w:asciiTheme="minorHAnsi" w:hAnsiTheme="minorHAnsi"/>
          <w:szCs w:val="22"/>
          <w:lang w:val="en-GB"/>
        </w:rPr>
        <w:t>,</w:t>
      </w:r>
      <w:r w:rsidR="00BE791B" w:rsidRPr="0058303C">
        <w:rPr>
          <w:rFonts w:asciiTheme="minorHAnsi" w:hAnsiTheme="minorHAnsi"/>
          <w:b/>
          <w:szCs w:val="22"/>
          <w:lang w:val="en-GB"/>
        </w:rPr>
        <w:t xml:space="preserve"> </w:t>
      </w:r>
      <w:r w:rsidR="00BE791B" w:rsidRPr="0058303C">
        <w:rPr>
          <w:rFonts w:asciiTheme="minorHAnsi" w:hAnsiTheme="minorHAnsi"/>
          <w:szCs w:val="22"/>
          <w:lang w:val="en-GB"/>
        </w:rPr>
        <w:t xml:space="preserve">working closely </w:t>
      </w:r>
      <w:r w:rsidR="00BE791B" w:rsidRPr="00A82D8C">
        <w:rPr>
          <w:rFonts w:asciiTheme="minorHAnsi" w:hAnsiTheme="minorHAnsi"/>
          <w:szCs w:val="22"/>
          <w:lang w:val="en-GB"/>
        </w:rPr>
        <w:t>with the Pacific Islands Forum Secretaria</w:t>
      </w:r>
      <w:r w:rsidR="0007065A" w:rsidRPr="00A82D8C">
        <w:rPr>
          <w:rFonts w:asciiTheme="minorHAnsi" w:hAnsiTheme="minorHAnsi"/>
          <w:szCs w:val="22"/>
          <w:lang w:val="en-GB"/>
        </w:rPr>
        <w:t>t</w:t>
      </w:r>
      <w:r w:rsidR="00BE791B" w:rsidRPr="00A82D8C">
        <w:rPr>
          <w:rFonts w:asciiTheme="minorHAnsi" w:hAnsiTheme="minorHAnsi"/>
          <w:szCs w:val="22"/>
          <w:lang w:val="en-GB"/>
        </w:rPr>
        <w:t xml:space="preserve"> (PIFS)</w:t>
      </w:r>
      <w:r w:rsidR="00191377" w:rsidRPr="0058303C">
        <w:rPr>
          <w:rFonts w:asciiTheme="minorHAnsi" w:hAnsiTheme="minorHAnsi"/>
          <w:szCs w:val="22"/>
          <w:lang w:val="en-GB"/>
        </w:rPr>
        <w:t xml:space="preserve"> </w:t>
      </w:r>
      <w:r w:rsidR="00BE791B" w:rsidRPr="0058303C">
        <w:rPr>
          <w:rFonts w:asciiTheme="minorHAnsi" w:hAnsiTheme="minorHAnsi"/>
          <w:szCs w:val="22"/>
          <w:lang w:val="en-GB"/>
        </w:rPr>
        <w:t>on MDG-based policies and</w:t>
      </w:r>
      <w:r w:rsidR="00191377" w:rsidRPr="0058303C">
        <w:rPr>
          <w:rFonts w:asciiTheme="minorHAnsi" w:hAnsiTheme="minorHAnsi"/>
          <w:szCs w:val="22"/>
          <w:lang w:val="en-GB"/>
        </w:rPr>
        <w:t xml:space="preserve"> aid effectiveness</w:t>
      </w:r>
      <w:r w:rsidR="00BE791B" w:rsidRPr="0058303C">
        <w:rPr>
          <w:rFonts w:asciiTheme="minorHAnsi" w:hAnsiTheme="minorHAnsi"/>
          <w:szCs w:val="22"/>
          <w:lang w:val="en-GB"/>
        </w:rPr>
        <w:t>.</w:t>
      </w:r>
      <w:r w:rsidR="008E0202" w:rsidRPr="0058303C">
        <w:rPr>
          <w:rFonts w:asciiTheme="minorHAnsi" w:hAnsiTheme="minorHAnsi"/>
          <w:szCs w:val="22"/>
          <w:lang w:val="en-GB"/>
        </w:rPr>
        <w:t xml:space="preserve"> </w:t>
      </w:r>
      <w:r w:rsidR="005E38E8" w:rsidRPr="0058303C">
        <w:rPr>
          <w:rFonts w:asciiTheme="minorHAnsi" w:hAnsiTheme="minorHAnsi"/>
          <w:szCs w:val="22"/>
          <w:lang w:val="en-GB"/>
        </w:rPr>
        <w:t xml:space="preserve"> This successfully put in place building blocks for SDG localisation and tools to address underlying causes of hardship, exclusion and multi-dimensional poverty.  </w:t>
      </w:r>
      <w:r w:rsidR="008E0202" w:rsidRPr="0058303C">
        <w:rPr>
          <w:rFonts w:asciiTheme="minorHAnsi" w:hAnsiTheme="minorHAnsi"/>
          <w:szCs w:val="22"/>
          <w:lang w:val="en-GB"/>
        </w:rPr>
        <w:t>UNDP supported formulation of inclusive growth polices with increased scope and depth of financial inclusion pro</w:t>
      </w:r>
      <w:r w:rsidR="005E38E8" w:rsidRPr="0058303C">
        <w:rPr>
          <w:rFonts w:asciiTheme="minorHAnsi" w:hAnsiTheme="minorHAnsi"/>
          <w:szCs w:val="22"/>
          <w:lang w:val="en-GB"/>
        </w:rPr>
        <w:t>g</w:t>
      </w:r>
      <w:r w:rsidR="008E0202" w:rsidRPr="0058303C">
        <w:rPr>
          <w:rFonts w:asciiTheme="minorHAnsi" w:hAnsiTheme="minorHAnsi"/>
          <w:szCs w:val="22"/>
          <w:lang w:val="en-GB"/>
        </w:rPr>
        <w:t>rammes that reach</w:t>
      </w:r>
      <w:r w:rsidR="004A1073" w:rsidRPr="0058303C">
        <w:rPr>
          <w:rFonts w:asciiTheme="minorHAnsi" w:hAnsiTheme="minorHAnsi"/>
          <w:szCs w:val="22"/>
          <w:lang w:val="en-GB"/>
        </w:rPr>
        <w:t>ed</w:t>
      </w:r>
      <w:r w:rsidR="008E0202" w:rsidRPr="0058303C">
        <w:rPr>
          <w:rFonts w:asciiTheme="minorHAnsi" w:hAnsiTheme="minorHAnsi"/>
          <w:szCs w:val="22"/>
          <w:lang w:val="en-GB"/>
        </w:rPr>
        <w:t xml:space="preserve"> out to women and youths who benefitted from strengthened business policies and initiatives of small and medium sized enterprises in the international market.  </w:t>
      </w:r>
      <w:r w:rsidR="00B07721" w:rsidRPr="0058303C">
        <w:rPr>
          <w:rFonts w:asciiTheme="minorHAnsi" w:hAnsiTheme="minorHAnsi"/>
          <w:szCs w:val="22"/>
          <w:lang w:val="en-GB"/>
        </w:rPr>
        <w:t>UNDP work</w:t>
      </w:r>
      <w:r w:rsidR="004A1073" w:rsidRPr="0058303C">
        <w:rPr>
          <w:rFonts w:asciiTheme="minorHAnsi" w:hAnsiTheme="minorHAnsi"/>
          <w:szCs w:val="22"/>
          <w:lang w:val="en-GB"/>
        </w:rPr>
        <w:t>ed</w:t>
      </w:r>
      <w:r w:rsidR="00B07721" w:rsidRPr="0058303C">
        <w:rPr>
          <w:rFonts w:asciiTheme="minorHAnsi" w:hAnsiTheme="minorHAnsi"/>
          <w:szCs w:val="22"/>
          <w:lang w:val="en-GB"/>
        </w:rPr>
        <w:t xml:space="preserve"> with SPC to strengthen data sys</w:t>
      </w:r>
      <w:r w:rsidR="00893958" w:rsidRPr="0058303C">
        <w:rPr>
          <w:rFonts w:asciiTheme="minorHAnsi" w:hAnsiTheme="minorHAnsi"/>
          <w:szCs w:val="22"/>
          <w:lang w:val="en-GB"/>
        </w:rPr>
        <w:t>tems of national government ins</w:t>
      </w:r>
      <w:r w:rsidR="00B07721" w:rsidRPr="0058303C">
        <w:rPr>
          <w:rFonts w:asciiTheme="minorHAnsi" w:hAnsiTheme="minorHAnsi"/>
          <w:szCs w:val="22"/>
          <w:lang w:val="en-GB"/>
        </w:rPr>
        <w:t>t</w:t>
      </w:r>
      <w:r w:rsidR="00893958" w:rsidRPr="0058303C">
        <w:rPr>
          <w:rFonts w:asciiTheme="minorHAnsi" w:hAnsiTheme="minorHAnsi"/>
          <w:szCs w:val="22"/>
          <w:lang w:val="en-GB"/>
        </w:rPr>
        <w:t>it</w:t>
      </w:r>
      <w:r w:rsidR="00B07721" w:rsidRPr="0058303C">
        <w:rPr>
          <w:rFonts w:asciiTheme="minorHAnsi" w:hAnsiTheme="minorHAnsi"/>
          <w:szCs w:val="22"/>
          <w:lang w:val="en-GB"/>
        </w:rPr>
        <w:t>utions.</w:t>
      </w:r>
      <w:r w:rsidR="000A7F3A" w:rsidRPr="0058303C">
        <w:rPr>
          <w:rFonts w:asciiTheme="minorHAnsi" w:hAnsiTheme="minorHAnsi"/>
          <w:szCs w:val="22"/>
          <w:lang w:val="en-GB"/>
        </w:rPr>
        <w:t xml:space="preserve">  </w:t>
      </w:r>
      <w:r w:rsidR="000A7F3A" w:rsidRPr="0058303C">
        <w:rPr>
          <w:rFonts w:asciiTheme="minorHAnsi" w:hAnsiTheme="minorHAnsi"/>
          <w:szCs w:val="22"/>
        </w:rPr>
        <w:t>In Samoa, UNDP partnered with the private sector from different business associations and trained youth workers who found work in local businesses.</w:t>
      </w:r>
    </w:p>
    <w:p w14:paraId="257ED7B2" w14:textId="77777777" w:rsidR="003B4DE1" w:rsidRDefault="003B4DE1" w:rsidP="00860C13">
      <w:pPr>
        <w:pStyle w:val="BodyText"/>
        <w:jc w:val="both"/>
        <w:rPr>
          <w:rFonts w:asciiTheme="minorHAnsi" w:hAnsiTheme="minorHAnsi"/>
          <w:b/>
          <w:szCs w:val="22"/>
          <w:lang w:val="en-GB"/>
        </w:rPr>
      </w:pPr>
    </w:p>
    <w:p w14:paraId="0C4333EA" w14:textId="007BB942" w:rsidR="008E0202" w:rsidRPr="0058303C" w:rsidRDefault="00EF4EAE" w:rsidP="00860C13">
      <w:pPr>
        <w:pStyle w:val="BodyText"/>
        <w:jc w:val="both"/>
        <w:rPr>
          <w:rFonts w:asciiTheme="minorHAnsi" w:hAnsiTheme="minorHAnsi"/>
          <w:b/>
          <w:szCs w:val="22"/>
          <w:lang w:val="en-GB"/>
        </w:rPr>
      </w:pPr>
      <w:r w:rsidRPr="0058303C">
        <w:rPr>
          <w:rFonts w:asciiTheme="minorHAnsi" w:hAnsiTheme="minorHAnsi"/>
          <w:b/>
          <w:szCs w:val="22"/>
          <w:lang w:val="en-GB"/>
        </w:rPr>
        <w:t>i</w:t>
      </w:r>
      <w:r w:rsidR="007416D3" w:rsidRPr="0058303C">
        <w:rPr>
          <w:rFonts w:asciiTheme="minorHAnsi" w:hAnsiTheme="minorHAnsi"/>
          <w:b/>
          <w:szCs w:val="22"/>
          <w:lang w:val="en-GB"/>
        </w:rPr>
        <w:t xml:space="preserve">i) </w:t>
      </w:r>
      <w:r w:rsidR="003A7C05" w:rsidRPr="0058303C">
        <w:rPr>
          <w:rFonts w:asciiTheme="minorHAnsi" w:hAnsiTheme="minorHAnsi"/>
          <w:b/>
          <w:szCs w:val="22"/>
          <w:lang w:val="en-GB"/>
        </w:rPr>
        <w:t>Political and economic governance</w:t>
      </w:r>
      <w:r w:rsidR="005B10FB" w:rsidRPr="0058303C">
        <w:rPr>
          <w:rFonts w:asciiTheme="minorHAnsi" w:hAnsiTheme="minorHAnsi"/>
          <w:b/>
          <w:szCs w:val="22"/>
          <w:lang w:val="en-GB"/>
        </w:rPr>
        <w:t>:</w:t>
      </w:r>
      <w:r w:rsidR="007416D3" w:rsidRPr="0058303C">
        <w:rPr>
          <w:rFonts w:asciiTheme="minorHAnsi" w:hAnsiTheme="minorHAnsi"/>
          <w:b/>
          <w:szCs w:val="22"/>
          <w:lang w:val="en-GB"/>
        </w:rPr>
        <w:t xml:space="preserve"> </w:t>
      </w:r>
      <w:r w:rsidR="00AF7540" w:rsidRPr="0058303C">
        <w:rPr>
          <w:rFonts w:asciiTheme="minorHAnsi" w:hAnsiTheme="minorHAnsi"/>
          <w:szCs w:val="22"/>
          <w:lang w:val="en-GB"/>
        </w:rPr>
        <w:t>UNDP worked with parliaments to strengthen their legislative and oversight capacities; and advocated for stronger political representation of women, as well as for increased country commitment to fight corruption. Support to political and economic governance systems</w:t>
      </w:r>
      <w:r w:rsidR="004A1073" w:rsidRPr="0058303C">
        <w:rPr>
          <w:rFonts w:asciiTheme="minorHAnsi" w:hAnsiTheme="minorHAnsi"/>
          <w:szCs w:val="22"/>
          <w:lang w:val="en-GB"/>
        </w:rPr>
        <w:t xml:space="preserve"> were</w:t>
      </w:r>
      <w:r w:rsidR="00AF7540" w:rsidRPr="0058303C">
        <w:rPr>
          <w:rFonts w:asciiTheme="minorHAnsi" w:hAnsiTheme="minorHAnsi"/>
          <w:szCs w:val="22"/>
          <w:lang w:val="en-GB"/>
        </w:rPr>
        <w:t xml:space="preserve"> extended to develop capacities of local authorities to govern and provide development services; </w:t>
      </w:r>
      <w:r w:rsidR="004A1073" w:rsidRPr="0058303C">
        <w:rPr>
          <w:rFonts w:asciiTheme="minorHAnsi" w:hAnsiTheme="minorHAnsi"/>
          <w:szCs w:val="22"/>
          <w:lang w:val="en-GB"/>
        </w:rPr>
        <w:t xml:space="preserve">and </w:t>
      </w:r>
      <w:r w:rsidR="00AF7540" w:rsidRPr="0058303C">
        <w:rPr>
          <w:rFonts w:asciiTheme="minorHAnsi" w:hAnsiTheme="minorHAnsi"/>
          <w:szCs w:val="22"/>
          <w:lang w:val="en-GB"/>
        </w:rPr>
        <w:t>foster</w:t>
      </w:r>
      <w:r w:rsidR="004A1073" w:rsidRPr="0058303C">
        <w:rPr>
          <w:rFonts w:asciiTheme="minorHAnsi" w:hAnsiTheme="minorHAnsi"/>
          <w:szCs w:val="22"/>
          <w:lang w:val="en-GB"/>
        </w:rPr>
        <w:t>ed</w:t>
      </w:r>
      <w:r w:rsidR="00AF7540" w:rsidRPr="0058303C">
        <w:rPr>
          <w:rFonts w:asciiTheme="minorHAnsi" w:hAnsiTheme="minorHAnsi"/>
          <w:szCs w:val="22"/>
          <w:lang w:val="en-GB"/>
        </w:rPr>
        <w:t xml:space="preserve"> civic education, social accountability and partnerships with civil society and the media to report on governance and human rights.  </w:t>
      </w:r>
      <w:r w:rsidR="00B07721" w:rsidRPr="0058303C">
        <w:rPr>
          <w:rFonts w:asciiTheme="minorHAnsi" w:hAnsiTheme="minorHAnsi"/>
          <w:szCs w:val="22"/>
          <w:lang w:val="en-GB"/>
        </w:rPr>
        <w:t>UNDP continue</w:t>
      </w:r>
      <w:r w:rsidR="004A1073" w:rsidRPr="0058303C">
        <w:rPr>
          <w:rFonts w:asciiTheme="minorHAnsi" w:hAnsiTheme="minorHAnsi"/>
          <w:szCs w:val="22"/>
          <w:lang w:val="en-GB"/>
        </w:rPr>
        <w:t>d</w:t>
      </w:r>
      <w:r w:rsidR="00B07721" w:rsidRPr="0058303C">
        <w:rPr>
          <w:rFonts w:asciiTheme="minorHAnsi" w:hAnsiTheme="minorHAnsi"/>
          <w:szCs w:val="22"/>
          <w:lang w:val="en-GB"/>
        </w:rPr>
        <w:t xml:space="preserve"> to work closely with PIFS and other</w:t>
      </w:r>
      <w:r w:rsidR="00893958" w:rsidRPr="0058303C">
        <w:rPr>
          <w:rFonts w:asciiTheme="minorHAnsi" w:hAnsiTheme="minorHAnsi"/>
          <w:szCs w:val="22"/>
          <w:lang w:val="en-GB"/>
        </w:rPr>
        <w:t xml:space="preserve"> regional and national</w:t>
      </w:r>
      <w:r w:rsidR="00B07721" w:rsidRPr="0058303C">
        <w:rPr>
          <w:rFonts w:asciiTheme="minorHAnsi" w:hAnsiTheme="minorHAnsi"/>
          <w:szCs w:val="22"/>
          <w:lang w:val="en-GB"/>
        </w:rPr>
        <w:t xml:space="preserve"> stakeholders on a range of conflict prevention and peace building initiatives and with SPC on HIV AIDS.</w:t>
      </w:r>
    </w:p>
    <w:p w14:paraId="213FD3DD" w14:textId="77777777" w:rsidR="003B4DE1" w:rsidRDefault="003B4DE1" w:rsidP="00860C13">
      <w:pPr>
        <w:pStyle w:val="BodyText"/>
        <w:jc w:val="both"/>
        <w:rPr>
          <w:rFonts w:asciiTheme="minorHAnsi" w:hAnsiTheme="minorHAnsi"/>
          <w:b/>
          <w:szCs w:val="22"/>
          <w:lang w:val="en-GB"/>
        </w:rPr>
      </w:pPr>
    </w:p>
    <w:p w14:paraId="092B4831" w14:textId="77F586C3" w:rsidR="0007065A" w:rsidRPr="0058303C" w:rsidRDefault="00EF4EAE" w:rsidP="00860C13">
      <w:pPr>
        <w:pStyle w:val="BodyText"/>
        <w:jc w:val="both"/>
        <w:rPr>
          <w:rFonts w:asciiTheme="minorHAnsi" w:hAnsiTheme="minorHAnsi"/>
          <w:szCs w:val="22"/>
          <w:lang w:val="en-GB"/>
        </w:rPr>
      </w:pPr>
      <w:r w:rsidRPr="0058303C">
        <w:rPr>
          <w:rFonts w:asciiTheme="minorHAnsi" w:hAnsiTheme="minorHAnsi"/>
          <w:b/>
          <w:szCs w:val="22"/>
          <w:lang w:val="en-GB"/>
        </w:rPr>
        <w:t>i</w:t>
      </w:r>
      <w:r w:rsidR="007416D3" w:rsidRPr="0058303C">
        <w:rPr>
          <w:rFonts w:asciiTheme="minorHAnsi" w:hAnsiTheme="minorHAnsi"/>
          <w:b/>
          <w:szCs w:val="22"/>
          <w:lang w:val="en-GB"/>
        </w:rPr>
        <w:t xml:space="preserve">ii) </w:t>
      </w:r>
      <w:r w:rsidR="003A7C05" w:rsidRPr="0058303C">
        <w:rPr>
          <w:rFonts w:asciiTheme="minorHAnsi" w:hAnsiTheme="minorHAnsi"/>
          <w:b/>
          <w:szCs w:val="22"/>
          <w:lang w:val="en-GB"/>
        </w:rPr>
        <w:t>Gender equality</w:t>
      </w:r>
      <w:r w:rsidR="0007065A" w:rsidRPr="0058303C">
        <w:rPr>
          <w:rFonts w:asciiTheme="minorHAnsi" w:hAnsiTheme="minorHAnsi"/>
          <w:szCs w:val="22"/>
          <w:lang w:val="en-GB"/>
        </w:rPr>
        <w:t xml:space="preserve">: UNDP </w:t>
      </w:r>
      <w:r w:rsidR="004A1073" w:rsidRPr="0058303C">
        <w:rPr>
          <w:rFonts w:asciiTheme="minorHAnsi" w:hAnsiTheme="minorHAnsi"/>
          <w:szCs w:val="22"/>
          <w:lang w:val="en-GB"/>
        </w:rPr>
        <w:t>empowered</w:t>
      </w:r>
      <w:r w:rsidR="0007065A" w:rsidRPr="0058303C">
        <w:rPr>
          <w:rFonts w:asciiTheme="minorHAnsi" w:hAnsiTheme="minorHAnsi"/>
          <w:szCs w:val="22"/>
          <w:lang w:val="en-GB"/>
        </w:rPr>
        <w:t xml:space="preserve"> women by fully harnessing their contributions in the efforts to build a sustainable economy, and through flagship projects that resulted in women comprising 16% of parliamentarians in the region. </w:t>
      </w:r>
    </w:p>
    <w:p w14:paraId="4A5980F1" w14:textId="77777777" w:rsidR="003B4DE1" w:rsidRDefault="003B4DE1" w:rsidP="007F7914">
      <w:pPr>
        <w:pStyle w:val="BodyText"/>
        <w:jc w:val="both"/>
        <w:rPr>
          <w:rFonts w:asciiTheme="minorHAnsi" w:hAnsiTheme="minorHAnsi"/>
          <w:szCs w:val="22"/>
          <w:lang w:val="en-GB"/>
        </w:rPr>
      </w:pPr>
    </w:p>
    <w:p w14:paraId="5C7D2B68" w14:textId="040EE450" w:rsidR="003C409C" w:rsidRPr="007F7914" w:rsidRDefault="0007065A" w:rsidP="007F7914">
      <w:pPr>
        <w:pStyle w:val="BodyText"/>
        <w:jc w:val="both"/>
        <w:rPr>
          <w:rFonts w:asciiTheme="minorHAnsi" w:hAnsiTheme="minorHAnsi"/>
          <w:szCs w:val="22"/>
          <w:lang w:val="en-GB"/>
        </w:rPr>
      </w:pPr>
      <w:r w:rsidRPr="003B4DE1">
        <w:rPr>
          <w:rFonts w:asciiTheme="minorHAnsi" w:hAnsiTheme="minorHAnsi"/>
          <w:b/>
          <w:szCs w:val="22"/>
          <w:lang w:val="en-GB"/>
        </w:rPr>
        <w:t>i</w:t>
      </w:r>
      <w:r w:rsidRPr="0058303C">
        <w:rPr>
          <w:rFonts w:asciiTheme="minorHAnsi" w:hAnsiTheme="minorHAnsi"/>
          <w:b/>
          <w:szCs w:val="22"/>
          <w:lang w:val="en-GB"/>
        </w:rPr>
        <w:t xml:space="preserve">v) </w:t>
      </w:r>
      <w:r w:rsidR="003A7C05" w:rsidRPr="0058303C">
        <w:rPr>
          <w:rFonts w:asciiTheme="minorHAnsi" w:hAnsiTheme="minorHAnsi"/>
          <w:b/>
          <w:szCs w:val="22"/>
          <w:lang w:val="en-GB"/>
        </w:rPr>
        <w:t xml:space="preserve"> Environmental management, climate cha</w:t>
      </w:r>
      <w:r w:rsidRPr="0058303C">
        <w:rPr>
          <w:rFonts w:asciiTheme="minorHAnsi" w:hAnsiTheme="minorHAnsi"/>
          <w:b/>
          <w:szCs w:val="22"/>
          <w:lang w:val="en-GB"/>
        </w:rPr>
        <w:t>nge and disaster risk managemen</w:t>
      </w:r>
      <w:r w:rsidR="00C52D10" w:rsidRPr="0058303C">
        <w:rPr>
          <w:rFonts w:asciiTheme="minorHAnsi" w:hAnsiTheme="minorHAnsi"/>
          <w:b/>
          <w:szCs w:val="22"/>
          <w:lang w:val="en-GB"/>
        </w:rPr>
        <w:t xml:space="preserve">t: </w:t>
      </w:r>
      <w:r w:rsidR="00A51271" w:rsidRPr="0058303C">
        <w:rPr>
          <w:rFonts w:asciiTheme="minorHAnsi" w:hAnsiTheme="minorHAnsi"/>
          <w:szCs w:val="22"/>
          <w:lang w:val="en-GB"/>
        </w:rPr>
        <w:t xml:space="preserve">UNDP </w:t>
      </w:r>
      <w:r w:rsidR="000A7F3A" w:rsidRPr="0058303C">
        <w:rPr>
          <w:rFonts w:asciiTheme="minorHAnsi" w:hAnsiTheme="minorHAnsi"/>
          <w:szCs w:val="22"/>
          <w:lang w:val="en-GB"/>
        </w:rPr>
        <w:t>worked to</w:t>
      </w:r>
      <w:r w:rsidR="00A51271" w:rsidRPr="0058303C">
        <w:rPr>
          <w:rFonts w:asciiTheme="minorHAnsi" w:hAnsiTheme="minorHAnsi"/>
          <w:szCs w:val="22"/>
          <w:lang w:val="en-GB"/>
        </w:rPr>
        <w:t xml:space="preserve"> strengthen the resilience of Pacific communities and provide</w:t>
      </w:r>
      <w:r w:rsidR="000A7F3A" w:rsidRPr="0058303C">
        <w:rPr>
          <w:rFonts w:asciiTheme="minorHAnsi" w:hAnsiTheme="minorHAnsi"/>
          <w:szCs w:val="22"/>
          <w:lang w:val="en-GB"/>
        </w:rPr>
        <w:t>d</w:t>
      </w:r>
      <w:r w:rsidR="00A51271" w:rsidRPr="0058303C">
        <w:rPr>
          <w:rFonts w:asciiTheme="minorHAnsi" w:hAnsiTheme="minorHAnsi"/>
          <w:szCs w:val="22"/>
          <w:lang w:val="en-GB"/>
        </w:rPr>
        <w:t xml:space="preserve"> policy advice to governments on improving access to climate financing as well as strengthe</w:t>
      </w:r>
      <w:r w:rsidR="000A7F3A" w:rsidRPr="0058303C">
        <w:rPr>
          <w:rFonts w:asciiTheme="minorHAnsi" w:hAnsiTheme="minorHAnsi"/>
          <w:szCs w:val="22"/>
          <w:lang w:val="en-GB"/>
        </w:rPr>
        <w:t>n</w:t>
      </w:r>
      <w:r w:rsidR="00A51271" w:rsidRPr="0058303C">
        <w:rPr>
          <w:rFonts w:asciiTheme="minorHAnsi" w:hAnsiTheme="minorHAnsi"/>
          <w:szCs w:val="22"/>
          <w:lang w:val="en-GB"/>
        </w:rPr>
        <w:t xml:space="preserve"> the linkages between disaster risk </w:t>
      </w:r>
      <w:r w:rsidR="00A51271" w:rsidRPr="0058303C">
        <w:rPr>
          <w:rFonts w:asciiTheme="minorHAnsi" w:hAnsiTheme="minorHAnsi"/>
          <w:szCs w:val="22"/>
          <w:lang w:val="en-GB"/>
        </w:rPr>
        <w:lastRenderedPageBreak/>
        <w:t>reduction and</w:t>
      </w:r>
      <w:r w:rsidR="00A51271" w:rsidRPr="0058303C">
        <w:rPr>
          <w:rFonts w:asciiTheme="minorHAnsi" w:hAnsiTheme="minorHAnsi"/>
          <w:b/>
          <w:szCs w:val="22"/>
          <w:lang w:val="en-GB"/>
        </w:rPr>
        <w:t xml:space="preserve"> </w:t>
      </w:r>
      <w:r w:rsidR="00A51271" w:rsidRPr="00A82D8C">
        <w:rPr>
          <w:rFonts w:asciiTheme="minorHAnsi" w:hAnsiTheme="minorHAnsi"/>
          <w:szCs w:val="22"/>
          <w:lang w:val="en-GB"/>
        </w:rPr>
        <w:t>climate change</w:t>
      </w:r>
      <w:r w:rsidR="00A51271" w:rsidRPr="0058303C">
        <w:rPr>
          <w:rFonts w:asciiTheme="minorHAnsi" w:hAnsiTheme="minorHAnsi"/>
          <w:b/>
          <w:szCs w:val="22"/>
          <w:lang w:val="en-GB"/>
        </w:rPr>
        <w:t xml:space="preserve"> </w:t>
      </w:r>
      <w:r w:rsidR="00A51271" w:rsidRPr="0058303C">
        <w:rPr>
          <w:rFonts w:asciiTheme="minorHAnsi" w:hAnsiTheme="minorHAnsi"/>
          <w:szCs w:val="22"/>
          <w:lang w:val="en-GB"/>
        </w:rPr>
        <w:t>that has been mainstreamed into plans with far reaching impacts on local communities</w:t>
      </w:r>
      <w:r w:rsidR="00A51271" w:rsidRPr="0058303C">
        <w:rPr>
          <w:rFonts w:asciiTheme="minorHAnsi" w:hAnsiTheme="minorHAnsi"/>
          <w:b/>
          <w:szCs w:val="22"/>
          <w:lang w:val="en-GB"/>
        </w:rPr>
        <w:t xml:space="preserve">. </w:t>
      </w:r>
      <w:r w:rsidR="00A51271" w:rsidRPr="0058303C">
        <w:rPr>
          <w:rFonts w:asciiTheme="minorHAnsi" w:hAnsiTheme="minorHAnsi"/>
          <w:szCs w:val="22"/>
          <w:lang w:val="en-GB"/>
        </w:rPr>
        <w:t xml:space="preserve">UNDP has also facilitated knowledge sharing across regions in the area of disaster risk management and climate change. </w:t>
      </w:r>
      <w:r w:rsidR="00B07721" w:rsidRPr="0058303C">
        <w:rPr>
          <w:rFonts w:asciiTheme="minorHAnsi" w:hAnsiTheme="minorHAnsi"/>
          <w:szCs w:val="22"/>
          <w:lang w:val="en-GB"/>
        </w:rPr>
        <w:t xml:space="preserve"> UNDP</w:t>
      </w:r>
      <w:r w:rsidR="000A7F3A" w:rsidRPr="0058303C">
        <w:rPr>
          <w:rFonts w:asciiTheme="minorHAnsi" w:hAnsiTheme="minorHAnsi"/>
          <w:szCs w:val="22"/>
          <w:lang w:val="en-GB"/>
        </w:rPr>
        <w:t xml:space="preserve"> </w:t>
      </w:r>
      <w:r w:rsidR="00B07721" w:rsidRPr="0058303C">
        <w:rPr>
          <w:rFonts w:asciiTheme="minorHAnsi" w:hAnsiTheme="minorHAnsi"/>
          <w:szCs w:val="22"/>
          <w:lang w:val="en-GB"/>
        </w:rPr>
        <w:t>work</w:t>
      </w:r>
      <w:r w:rsidR="000A7F3A" w:rsidRPr="0058303C">
        <w:rPr>
          <w:rFonts w:asciiTheme="minorHAnsi" w:hAnsiTheme="minorHAnsi"/>
          <w:szCs w:val="22"/>
          <w:lang w:val="en-GB"/>
        </w:rPr>
        <w:t>ed</w:t>
      </w:r>
      <w:r w:rsidR="00B07721" w:rsidRPr="0058303C">
        <w:rPr>
          <w:rFonts w:asciiTheme="minorHAnsi" w:hAnsiTheme="minorHAnsi"/>
          <w:szCs w:val="22"/>
          <w:lang w:val="en-GB"/>
        </w:rPr>
        <w:t xml:space="preserve"> </w:t>
      </w:r>
      <w:r w:rsidR="00A51271" w:rsidRPr="0058303C">
        <w:rPr>
          <w:rFonts w:asciiTheme="minorHAnsi" w:hAnsiTheme="minorHAnsi"/>
          <w:szCs w:val="22"/>
          <w:lang w:val="en-GB"/>
        </w:rPr>
        <w:t xml:space="preserve">with SPREP, SPC and </w:t>
      </w:r>
      <w:r w:rsidR="00893958" w:rsidRPr="0058303C">
        <w:rPr>
          <w:rFonts w:asciiTheme="minorHAnsi" w:hAnsiTheme="minorHAnsi"/>
          <w:szCs w:val="22"/>
          <w:lang w:val="en-GB"/>
        </w:rPr>
        <w:t>national partners</w:t>
      </w:r>
      <w:r w:rsidR="00A51271" w:rsidRPr="0058303C">
        <w:rPr>
          <w:rFonts w:asciiTheme="minorHAnsi" w:hAnsiTheme="minorHAnsi"/>
          <w:szCs w:val="22"/>
          <w:lang w:val="en-GB"/>
        </w:rPr>
        <w:t xml:space="preserve"> on a range of environment and energy matters. </w:t>
      </w:r>
    </w:p>
    <w:p w14:paraId="48F72A0B" w14:textId="77777777" w:rsidR="009E40D3" w:rsidRPr="009E40D3" w:rsidRDefault="009E40D3" w:rsidP="00437598">
      <w:pPr>
        <w:jc w:val="both"/>
      </w:pPr>
    </w:p>
    <w:p w14:paraId="4D14CC1A" w14:textId="44F58173" w:rsidR="0037523B" w:rsidRPr="009E40D3" w:rsidRDefault="0037523B" w:rsidP="00437598">
      <w:pPr>
        <w:tabs>
          <w:tab w:val="left" w:pos="1635"/>
        </w:tabs>
        <w:jc w:val="both"/>
        <w:sectPr w:rsidR="0037523B" w:rsidRPr="009E40D3">
          <w:headerReference w:type="default" r:id="rId13"/>
          <w:footerReference w:type="default" r:id="rId14"/>
          <w:endnotePr>
            <w:numFmt w:val="decimal"/>
          </w:endnotePr>
          <w:pgSz w:w="11907" w:h="16840" w:code="9"/>
          <w:pgMar w:top="1440" w:right="1440" w:bottom="1440" w:left="1440" w:header="720" w:footer="720" w:gutter="0"/>
          <w:cols w:space="720"/>
        </w:sectPr>
      </w:pPr>
    </w:p>
    <w:p w14:paraId="31E6CEB3" w14:textId="77777777" w:rsidR="00975566" w:rsidRPr="00517955" w:rsidRDefault="006900FE" w:rsidP="008440D9">
      <w:pPr>
        <w:pStyle w:val="Heading3"/>
        <w:jc w:val="left"/>
        <w:rPr>
          <w:rFonts w:asciiTheme="minorHAnsi" w:hAnsiTheme="minorHAnsi"/>
          <w:b/>
        </w:rPr>
      </w:pPr>
      <w:r>
        <w:rPr>
          <w:rFonts w:asciiTheme="minorHAnsi" w:hAnsiTheme="minorHAnsi"/>
          <w:b/>
        </w:rPr>
        <w:lastRenderedPageBreak/>
        <w:t>II</w:t>
      </w:r>
      <w:r w:rsidR="0081403B" w:rsidRPr="00517955">
        <w:rPr>
          <w:rFonts w:asciiTheme="minorHAnsi" w:hAnsiTheme="minorHAnsi"/>
          <w:b/>
        </w:rPr>
        <w:t xml:space="preserve">: </w:t>
      </w:r>
      <w:r w:rsidR="000C09B4" w:rsidRPr="00517955">
        <w:rPr>
          <w:rFonts w:asciiTheme="minorHAnsi" w:hAnsiTheme="minorHAnsi"/>
          <w:b/>
        </w:rPr>
        <w:t xml:space="preserve">Country Programme Performance </w:t>
      </w:r>
      <w:r w:rsidR="00975566" w:rsidRPr="00517955">
        <w:rPr>
          <w:rFonts w:asciiTheme="minorHAnsi" w:hAnsiTheme="minorHAnsi"/>
          <w:b/>
        </w:rPr>
        <w:t>Summary</w:t>
      </w:r>
    </w:p>
    <w:p w14:paraId="7E9466EA" w14:textId="77777777" w:rsidR="00DC7354" w:rsidRDefault="00DC7354" w:rsidP="00975566">
      <w:pPr>
        <w:pStyle w:val="BodyText2"/>
        <w:jc w:val="center"/>
        <w:rPr>
          <w:rFonts w:ascii="Times New Roman" w:hAnsi="Times New Roman"/>
          <w:b/>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DC7354" w14:paraId="4C1D3E2D" w14:textId="77777777" w:rsidTr="00EF2695">
        <w:tc>
          <w:tcPr>
            <w:tcW w:w="3150" w:type="dxa"/>
            <w:gridSpan w:val="2"/>
            <w:tcBorders>
              <w:right w:val="nil"/>
            </w:tcBorders>
            <w:shd w:val="clear" w:color="auto" w:fill="FFC000"/>
          </w:tcPr>
          <w:p w14:paraId="1E3D2090" w14:textId="77777777" w:rsidR="00CB647D" w:rsidRPr="00A85E34" w:rsidRDefault="00CB647D">
            <w:pPr>
              <w:pStyle w:val="BodyText2"/>
              <w:rPr>
                <w:rFonts w:asciiTheme="minorHAnsi" w:hAnsiTheme="minorHAnsi"/>
                <w:b/>
                <w:sz w:val="24"/>
              </w:rPr>
            </w:pPr>
            <w:r w:rsidRPr="00A85E34">
              <w:rPr>
                <w:rFonts w:asciiTheme="minorHAnsi" w:hAnsiTheme="minorHAnsi"/>
                <w:b/>
              </w:rPr>
              <w:t>Country information</w:t>
            </w:r>
          </w:p>
        </w:tc>
        <w:tc>
          <w:tcPr>
            <w:tcW w:w="10890" w:type="dxa"/>
            <w:gridSpan w:val="3"/>
            <w:tcBorders>
              <w:left w:val="nil"/>
            </w:tcBorders>
            <w:shd w:val="clear" w:color="auto" w:fill="FFC000"/>
          </w:tcPr>
          <w:p w14:paraId="2A16EA0A" w14:textId="77777777" w:rsidR="00CB647D" w:rsidRPr="00A85E34" w:rsidRDefault="00CB647D">
            <w:pPr>
              <w:pStyle w:val="BodyText2"/>
              <w:rPr>
                <w:rFonts w:asciiTheme="minorHAnsi" w:hAnsiTheme="minorHAnsi"/>
                <w:b/>
                <w:sz w:val="24"/>
              </w:rPr>
            </w:pPr>
          </w:p>
        </w:tc>
      </w:tr>
      <w:tr w:rsidR="009B76A1" w:rsidRPr="00DC7354" w14:paraId="7424F8A0" w14:textId="77777777" w:rsidTr="00EF2695">
        <w:tc>
          <w:tcPr>
            <w:tcW w:w="14040" w:type="dxa"/>
            <w:gridSpan w:val="5"/>
          </w:tcPr>
          <w:p w14:paraId="18E71533" w14:textId="77777777" w:rsidR="009B76A1" w:rsidRPr="00DC7354" w:rsidRDefault="009B76A1">
            <w:pPr>
              <w:pStyle w:val="BodyText2"/>
              <w:rPr>
                <w:rFonts w:asciiTheme="minorHAnsi" w:hAnsiTheme="minorHAnsi"/>
                <w:b/>
                <w:sz w:val="24"/>
              </w:rPr>
            </w:pPr>
            <w:r w:rsidRPr="00230A0E">
              <w:rPr>
                <w:rFonts w:asciiTheme="minorHAnsi" w:hAnsiTheme="minorHAnsi"/>
                <w:b/>
              </w:rPr>
              <w:t>Country name:</w:t>
            </w:r>
            <w:r w:rsidR="005B7503">
              <w:rPr>
                <w:rFonts w:asciiTheme="minorHAnsi" w:hAnsiTheme="minorHAnsi"/>
                <w:b/>
              </w:rPr>
              <w:t xml:space="preserve"> </w:t>
            </w:r>
            <w:r w:rsidR="007F7914">
              <w:rPr>
                <w:rFonts w:asciiTheme="minorHAnsi" w:hAnsiTheme="minorHAnsi"/>
                <w:b/>
                <w:color w:val="FF0000"/>
              </w:rPr>
              <w:t xml:space="preserve">Pacific Sub-Region: Cook Islands, Federated States of Micronesia, </w:t>
            </w:r>
            <w:r w:rsidR="005B7503" w:rsidRPr="005B7503">
              <w:rPr>
                <w:rFonts w:asciiTheme="minorHAnsi" w:hAnsiTheme="minorHAnsi"/>
                <w:b/>
                <w:color w:val="FF0000"/>
              </w:rPr>
              <w:t>Fiji</w:t>
            </w:r>
            <w:r w:rsidR="007F7914">
              <w:rPr>
                <w:rFonts w:asciiTheme="minorHAnsi" w:hAnsiTheme="minorHAnsi"/>
                <w:b/>
                <w:color w:val="FF0000"/>
              </w:rPr>
              <w:t xml:space="preserve">, Kiribati, Marshall Islands, Nauru, Niue, Palau, Samoa, Solomon Islands, Tokelau, Tonga, Tuvalu, </w:t>
            </w:r>
            <w:r w:rsidR="0027237C">
              <w:rPr>
                <w:rFonts w:asciiTheme="minorHAnsi" w:hAnsiTheme="minorHAnsi"/>
                <w:b/>
                <w:color w:val="FF0000"/>
              </w:rPr>
              <w:t>and Vanuatu</w:t>
            </w:r>
            <w:r w:rsidR="005B7503" w:rsidRPr="005B7503">
              <w:rPr>
                <w:rFonts w:asciiTheme="minorHAnsi" w:hAnsiTheme="minorHAnsi"/>
                <w:b/>
                <w:color w:val="FF0000"/>
              </w:rPr>
              <w:t xml:space="preserve"> </w:t>
            </w:r>
          </w:p>
        </w:tc>
      </w:tr>
      <w:tr w:rsidR="009B76A1" w:rsidRPr="00843006" w14:paraId="7810BA47" w14:textId="77777777" w:rsidTr="00EF2695">
        <w:tc>
          <w:tcPr>
            <w:tcW w:w="14040" w:type="dxa"/>
            <w:gridSpan w:val="5"/>
          </w:tcPr>
          <w:p w14:paraId="49630DAE" w14:textId="77777777" w:rsidR="009B76A1" w:rsidRPr="00843006" w:rsidRDefault="009B76A1">
            <w:pPr>
              <w:pStyle w:val="BodyText2"/>
              <w:rPr>
                <w:rFonts w:asciiTheme="minorHAnsi" w:hAnsiTheme="minorHAnsi"/>
                <w:b/>
              </w:rPr>
            </w:pPr>
            <w:r w:rsidRPr="00843006">
              <w:rPr>
                <w:rFonts w:asciiTheme="minorHAnsi" w:hAnsiTheme="minorHAnsi"/>
                <w:b/>
              </w:rPr>
              <w:t>Current country program</w:t>
            </w:r>
            <w:r>
              <w:rPr>
                <w:rFonts w:asciiTheme="minorHAnsi" w:hAnsiTheme="minorHAnsi"/>
                <w:b/>
              </w:rPr>
              <w:t>me</w:t>
            </w:r>
            <w:r w:rsidRPr="00843006">
              <w:rPr>
                <w:rFonts w:asciiTheme="minorHAnsi" w:hAnsiTheme="minorHAnsi"/>
                <w:b/>
              </w:rPr>
              <w:t xml:space="preserve"> period:</w:t>
            </w:r>
            <w:r w:rsidR="005B7503">
              <w:rPr>
                <w:rFonts w:asciiTheme="minorHAnsi" w:hAnsiTheme="minorHAnsi"/>
                <w:b/>
              </w:rPr>
              <w:t xml:space="preserve"> </w:t>
            </w:r>
            <w:r w:rsidR="005B7503" w:rsidRPr="005B7503">
              <w:rPr>
                <w:rFonts w:asciiTheme="minorHAnsi" w:hAnsiTheme="minorHAnsi"/>
                <w:b/>
                <w:color w:val="FF0000"/>
              </w:rPr>
              <w:t xml:space="preserve">2013 </w:t>
            </w:r>
            <w:r w:rsidR="003C409C">
              <w:rPr>
                <w:rFonts w:asciiTheme="minorHAnsi" w:hAnsiTheme="minorHAnsi"/>
                <w:b/>
                <w:color w:val="FF0000"/>
              </w:rPr>
              <w:t>–</w:t>
            </w:r>
            <w:r w:rsidR="005B7503" w:rsidRPr="005B7503">
              <w:rPr>
                <w:rFonts w:asciiTheme="minorHAnsi" w:hAnsiTheme="minorHAnsi"/>
                <w:b/>
                <w:color w:val="FF0000"/>
              </w:rPr>
              <w:t xml:space="preserve"> 2017</w:t>
            </w:r>
          </w:p>
        </w:tc>
      </w:tr>
      <w:tr w:rsidR="003B037A" w:rsidRPr="00DC7354" w14:paraId="5D017938" w14:textId="77777777" w:rsidTr="00EF2695">
        <w:tc>
          <w:tcPr>
            <w:tcW w:w="3150" w:type="dxa"/>
            <w:gridSpan w:val="2"/>
          </w:tcPr>
          <w:p w14:paraId="34C72F7A" w14:textId="77777777" w:rsidR="00DD5220" w:rsidRDefault="003B037A">
            <w:pPr>
              <w:pStyle w:val="BodyText2"/>
              <w:rPr>
                <w:rFonts w:asciiTheme="minorHAnsi" w:hAnsiTheme="minorHAnsi"/>
                <w:b/>
                <w:color w:val="FF0000"/>
                <w:sz w:val="24"/>
              </w:rPr>
            </w:pPr>
            <w:r w:rsidRPr="00DD5220">
              <w:rPr>
                <w:rFonts w:asciiTheme="minorHAnsi" w:hAnsiTheme="minorHAnsi"/>
                <w:b/>
                <w:color w:val="FF0000"/>
                <w:sz w:val="24"/>
              </w:rPr>
              <w:t>Outcome</w:t>
            </w:r>
            <w:r w:rsidR="00700521" w:rsidRPr="00DD5220">
              <w:rPr>
                <w:rFonts w:asciiTheme="minorHAnsi" w:hAnsiTheme="minorHAnsi"/>
                <w:b/>
                <w:color w:val="FF0000"/>
                <w:sz w:val="24"/>
              </w:rPr>
              <w:t>s</w:t>
            </w:r>
            <w:r w:rsidR="00DD5220">
              <w:rPr>
                <w:rFonts w:asciiTheme="minorHAnsi" w:hAnsiTheme="minorHAnsi"/>
                <w:b/>
                <w:color w:val="FF0000"/>
                <w:sz w:val="24"/>
              </w:rPr>
              <w:t xml:space="preserve"> </w:t>
            </w:r>
          </w:p>
          <w:p w14:paraId="5875348F" w14:textId="77777777" w:rsidR="003B037A" w:rsidRPr="00DC7354" w:rsidRDefault="003B037A">
            <w:pPr>
              <w:pStyle w:val="BodyText2"/>
              <w:rPr>
                <w:rFonts w:asciiTheme="minorHAnsi" w:hAnsiTheme="minorHAnsi"/>
                <w:b/>
                <w:sz w:val="24"/>
              </w:rPr>
            </w:pPr>
          </w:p>
        </w:tc>
        <w:tc>
          <w:tcPr>
            <w:tcW w:w="1440" w:type="dxa"/>
            <w:shd w:val="clear" w:color="auto" w:fill="auto"/>
          </w:tcPr>
          <w:p w14:paraId="236E389A" w14:textId="77777777" w:rsidR="003B037A" w:rsidRPr="005F6261" w:rsidRDefault="003B037A">
            <w:pPr>
              <w:pStyle w:val="BodyText2"/>
              <w:rPr>
                <w:rFonts w:asciiTheme="minorHAnsi" w:hAnsiTheme="minorHAnsi"/>
                <w:b/>
                <w:sz w:val="22"/>
              </w:rPr>
            </w:pPr>
            <w:r w:rsidRPr="005F6261">
              <w:rPr>
                <w:rFonts w:asciiTheme="minorHAnsi" w:hAnsiTheme="minorHAnsi"/>
                <w:b/>
                <w:sz w:val="22"/>
              </w:rPr>
              <w:t>Total Expenditure</w:t>
            </w:r>
          </w:p>
        </w:tc>
        <w:tc>
          <w:tcPr>
            <w:tcW w:w="3960" w:type="dxa"/>
            <w:tcBorders>
              <w:left w:val="single" w:sz="4" w:space="0" w:color="auto"/>
            </w:tcBorders>
          </w:tcPr>
          <w:p w14:paraId="567E3FF0" w14:textId="77777777" w:rsidR="003B037A" w:rsidRPr="005F6261" w:rsidRDefault="003B037A">
            <w:pPr>
              <w:pStyle w:val="BodyText2"/>
              <w:rPr>
                <w:rFonts w:asciiTheme="minorHAnsi" w:hAnsiTheme="minorHAnsi"/>
                <w:b/>
                <w:sz w:val="22"/>
              </w:rPr>
            </w:pPr>
            <w:r w:rsidRPr="005F6261">
              <w:rPr>
                <w:rFonts w:asciiTheme="minorHAnsi" w:hAnsiTheme="minorHAnsi"/>
                <w:b/>
                <w:sz w:val="22"/>
              </w:rPr>
              <w:t>Key Indicators of outcome (1-4 per outcome)</w:t>
            </w:r>
          </w:p>
        </w:tc>
        <w:tc>
          <w:tcPr>
            <w:tcW w:w="5490" w:type="dxa"/>
          </w:tcPr>
          <w:p w14:paraId="4467CBC7" w14:textId="77777777" w:rsidR="003B037A" w:rsidRPr="005F6261" w:rsidRDefault="003B037A">
            <w:pPr>
              <w:pStyle w:val="BodyText2"/>
              <w:rPr>
                <w:rFonts w:asciiTheme="minorHAnsi" w:hAnsiTheme="minorHAnsi"/>
                <w:b/>
                <w:sz w:val="22"/>
              </w:rPr>
            </w:pPr>
            <w:r w:rsidRPr="005F6261">
              <w:rPr>
                <w:rFonts w:asciiTheme="minorHAnsi" w:hAnsiTheme="minorHAnsi"/>
                <w:b/>
                <w:sz w:val="22"/>
              </w:rPr>
              <w:t>Progress made against key indicators</w:t>
            </w:r>
          </w:p>
        </w:tc>
      </w:tr>
      <w:tr w:rsidR="000823AC" w:rsidRPr="0059123E" w14:paraId="7C6618DC" w14:textId="77777777" w:rsidTr="00EF2695">
        <w:tc>
          <w:tcPr>
            <w:tcW w:w="3150" w:type="dxa"/>
            <w:gridSpan w:val="2"/>
            <w:tcBorders>
              <w:bottom w:val="single" w:sz="4" w:space="0" w:color="auto"/>
            </w:tcBorders>
            <w:shd w:val="clear" w:color="auto" w:fill="95B3D7" w:themeFill="accent1" w:themeFillTint="99"/>
          </w:tcPr>
          <w:p w14:paraId="1C9430B6" w14:textId="4FA3374E" w:rsidR="00DD5220" w:rsidRPr="00860C13" w:rsidRDefault="0027237C" w:rsidP="005B7503">
            <w:pPr>
              <w:pStyle w:val="BodyText2"/>
              <w:jc w:val="both"/>
              <w:rPr>
                <w:rFonts w:asciiTheme="minorHAnsi" w:hAnsiTheme="minorHAnsi"/>
                <w:b/>
                <w:color w:val="000000" w:themeColor="text1"/>
              </w:rPr>
            </w:pPr>
            <w:r>
              <w:rPr>
                <w:rFonts w:asciiTheme="minorHAnsi" w:hAnsiTheme="minorHAnsi"/>
                <w:b/>
                <w:color w:val="000000" w:themeColor="text1"/>
              </w:rPr>
              <w:t xml:space="preserve">SRPD </w:t>
            </w:r>
            <w:r w:rsidR="00DD5220" w:rsidRPr="00860C13">
              <w:rPr>
                <w:rFonts w:asciiTheme="minorHAnsi" w:hAnsiTheme="minorHAnsi"/>
                <w:b/>
                <w:color w:val="000000" w:themeColor="text1"/>
              </w:rPr>
              <w:t xml:space="preserve">Outcome </w:t>
            </w:r>
            <w:r>
              <w:rPr>
                <w:rFonts w:asciiTheme="minorHAnsi" w:hAnsiTheme="minorHAnsi"/>
                <w:b/>
                <w:color w:val="000000" w:themeColor="text1"/>
              </w:rPr>
              <w:t>1</w:t>
            </w:r>
          </w:p>
          <w:p w14:paraId="7C1D8803" w14:textId="25ED7006" w:rsidR="00DD5220" w:rsidRPr="0058303C" w:rsidRDefault="005B7503" w:rsidP="005B7503">
            <w:pPr>
              <w:pStyle w:val="BodyText2"/>
              <w:jc w:val="both"/>
              <w:rPr>
                <w:rFonts w:asciiTheme="minorHAnsi" w:hAnsiTheme="minorHAnsi"/>
                <w:b/>
                <w:color w:val="000000" w:themeColor="text1"/>
              </w:rPr>
            </w:pPr>
            <w:r w:rsidRPr="0058303C">
              <w:rPr>
                <w:rFonts w:asciiTheme="minorHAnsi" w:hAnsiTheme="minorHAnsi"/>
                <w:b/>
                <w:color w:val="000000" w:themeColor="text1"/>
              </w:rPr>
              <w:t xml:space="preserve"> </w:t>
            </w:r>
          </w:p>
          <w:p w14:paraId="13F7C963" w14:textId="77777777" w:rsidR="00BB4336" w:rsidRPr="0058303C" w:rsidRDefault="00BB4336" w:rsidP="005B7503">
            <w:pPr>
              <w:pStyle w:val="BodyText2"/>
              <w:jc w:val="both"/>
              <w:rPr>
                <w:rFonts w:asciiTheme="minorHAnsi" w:hAnsiTheme="minorHAnsi"/>
                <w:b/>
                <w:color w:val="000000" w:themeColor="text1"/>
              </w:rPr>
            </w:pPr>
          </w:p>
          <w:p w14:paraId="23F59CD4" w14:textId="77777777" w:rsidR="005B7503" w:rsidRPr="0058303C" w:rsidRDefault="005B7503" w:rsidP="005B7503">
            <w:pPr>
              <w:pStyle w:val="BodyText2"/>
              <w:jc w:val="both"/>
              <w:rPr>
                <w:rFonts w:asciiTheme="minorHAnsi" w:hAnsiTheme="minorHAnsi"/>
              </w:rPr>
            </w:pPr>
            <w:r w:rsidRPr="0058303C">
              <w:rPr>
                <w:rFonts w:asciiTheme="minorHAnsi" w:hAnsiTheme="minorHAnsi"/>
                <w:color w:val="000000" w:themeColor="text1"/>
              </w:rPr>
              <w:t>By 2017, inclusive economic growth is enhanced, poverty is reduced, sustainable employment is improved, livelihood opportunities and food security are expanded for women, youth and vulnerable groups and social safety nets are enhanced for all citizens.</w:t>
            </w:r>
          </w:p>
        </w:tc>
        <w:tc>
          <w:tcPr>
            <w:tcW w:w="1440" w:type="dxa"/>
            <w:tcBorders>
              <w:bottom w:val="single" w:sz="4" w:space="0" w:color="auto"/>
            </w:tcBorders>
            <w:shd w:val="clear" w:color="auto" w:fill="auto"/>
          </w:tcPr>
          <w:p w14:paraId="208E3DE5" w14:textId="197EA5F6" w:rsidR="003B037A" w:rsidRPr="0058303C" w:rsidRDefault="003122CE">
            <w:pPr>
              <w:pStyle w:val="BodyText2"/>
              <w:rPr>
                <w:rFonts w:asciiTheme="minorHAnsi" w:hAnsiTheme="minorHAnsi"/>
              </w:rPr>
            </w:pPr>
            <w:r>
              <w:rPr>
                <w:rFonts w:asciiTheme="minorHAnsi" w:hAnsiTheme="minorHAnsi"/>
              </w:rPr>
              <w:t>See section III, page 11</w:t>
            </w:r>
          </w:p>
        </w:tc>
        <w:tc>
          <w:tcPr>
            <w:tcW w:w="3960" w:type="dxa"/>
            <w:tcBorders>
              <w:left w:val="single" w:sz="4" w:space="0" w:color="auto"/>
              <w:bottom w:val="single" w:sz="4" w:space="0" w:color="auto"/>
            </w:tcBorders>
          </w:tcPr>
          <w:p w14:paraId="0BE93B9B" w14:textId="77777777" w:rsidR="00D26285" w:rsidRPr="00312BAD" w:rsidRDefault="00C3062E" w:rsidP="00C3062E">
            <w:pPr>
              <w:pStyle w:val="BodyText2"/>
              <w:ind w:left="360"/>
              <w:jc w:val="both"/>
              <w:rPr>
                <w:rFonts w:asciiTheme="minorHAnsi" w:hAnsiTheme="minorHAnsi"/>
                <w:color w:val="000000" w:themeColor="text1"/>
              </w:rPr>
            </w:pPr>
            <w:r>
              <w:rPr>
                <w:rFonts w:asciiTheme="minorHAnsi" w:hAnsiTheme="minorHAnsi"/>
                <w:color w:val="000000" w:themeColor="text1"/>
              </w:rPr>
              <w:t xml:space="preserve">i) </w:t>
            </w:r>
            <w:r w:rsidR="00D26285" w:rsidRPr="00312BAD">
              <w:rPr>
                <w:rFonts w:asciiTheme="minorHAnsi" w:hAnsiTheme="minorHAnsi"/>
                <w:color w:val="000000" w:themeColor="text1"/>
              </w:rPr>
              <w:t xml:space="preserve">Share of population below national basic needs poverty line and with access to social protection services (both indicators disaggregated by sex and age); </w:t>
            </w:r>
            <w:r>
              <w:rPr>
                <w:rFonts w:asciiTheme="minorHAnsi" w:hAnsiTheme="minorHAnsi"/>
                <w:color w:val="000000" w:themeColor="text1"/>
              </w:rPr>
              <w:t xml:space="preserve">ii) </w:t>
            </w:r>
            <w:r w:rsidR="00D26285" w:rsidRPr="00312BAD">
              <w:rPr>
                <w:rFonts w:asciiTheme="minorHAnsi" w:hAnsiTheme="minorHAnsi"/>
                <w:color w:val="000000" w:themeColor="text1"/>
              </w:rPr>
              <w:t xml:space="preserve">share of women in non-agricultural wage employment; </w:t>
            </w:r>
            <w:r>
              <w:rPr>
                <w:rFonts w:asciiTheme="minorHAnsi" w:hAnsiTheme="minorHAnsi"/>
                <w:color w:val="000000" w:themeColor="text1"/>
              </w:rPr>
              <w:t xml:space="preserve">iii) </w:t>
            </w:r>
            <w:r w:rsidR="00D26285" w:rsidRPr="00312BAD">
              <w:rPr>
                <w:rFonts w:asciiTheme="minorHAnsi" w:hAnsiTheme="minorHAnsi"/>
                <w:color w:val="000000" w:themeColor="text1"/>
              </w:rPr>
              <w:t>youth unemployment ratio</w:t>
            </w:r>
          </w:p>
          <w:p w14:paraId="0DA072BE" w14:textId="77777777" w:rsidR="0027237C" w:rsidRDefault="0027237C" w:rsidP="00D26285">
            <w:pPr>
              <w:pStyle w:val="BodyText2"/>
              <w:ind w:left="360"/>
              <w:jc w:val="both"/>
              <w:rPr>
                <w:rFonts w:asciiTheme="minorHAnsi" w:hAnsiTheme="minorHAnsi"/>
                <w:color w:val="000000" w:themeColor="text1"/>
              </w:rPr>
            </w:pPr>
          </w:p>
          <w:p w14:paraId="5F5E96CC" w14:textId="77777777" w:rsidR="00D26285" w:rsidRPr="00312BAD" w:rsidRDefault="00D26285" w:rsidP="00D26285">
            <w:pPr>
              <w:pStyle w:val="BodyText2"/>
              <w:ind w:left="360"/>
              <w:jc w:val="both"/>
              <w:rPr>
                <w:rFonts w:asciiTheme="minorHAnsi" w:hAnsiTheme="minorHAnsi"/>
                <w:color w:val="000000" w:themeColor="text1"/>
              </w:rPr>
            </w:pPr>
            <w:r w:rsidRPr="00312BAD">
              <w:rPr>
                <w:rFonts w:asciiTheme="minorHAnsi" w:hAnsiTheme="minorHAnsi"/>
                <w:color w:val="000000" w:themeColor="text1"/>
              </w:rPr>
              <w:t>Baseline: 2011 or latest available data</w:t>
            </w:r>
          </w:p>
          <w:p w14:paraId="4ACBFDA7" w14:textId="77777777" w:rsidR="005B7503" w:rsidRPr="00312BAD" w:rsidRDefault="00D26285" w:rsidP="00D26285">
            <w:pPr>
              <w:pStyle w:val="BodyText2"/>
              <w:ind w:left="360"/>
              <w:jc w:val="both"/>
              <w:rPr>
                <w:rFonts w:asciiTheme="minorHAnsi" w:hAnsiTheme="minorHAnsi"/>
                <w:i/>
                <w:color w:val="000000" w:themeColor="text1"/>
              </w:rPr>
            </w:pPr>
            <w:r w:rsidRPr="00312BAD">
              <w:rPr>
                <w:rFonts w:asciiTheme="minorHAnsi" w:hAnsiTheme="minorHAnsi"/>
                <w:color w:val="000000" w:themeColor="text1"/>
              </w:rPr>
              <w:t>Target: To be determined, on country basis</w:t>
            </w:r>
          </w:p>
        </w:tc>
        <w:tc>
          <w:tcPr>
            <w:tcW w:w="5490" w:type="dxa"/>
            <w:tcBorders>
              <w:bottom w:val="single" w:sz="4" w:space="0" w:color="auto"/>
            </w:tcBorders>
            <w:shd w:val="clear" w:color="auto" w:fill="auto"/>
          </w:tcPr>
          <w:p w14:paraId="0ECEDEF1" w14:textId="77777777" w:rsidR="009A54DC" w:rsidRPr="00312BAD" w:rsidRDefault="009A54DC" w:rsidP="009A54DC">
            <w:pPr>
              <w:pStyle w:val="BodyText2"/>
              <w:numPr>
                <w:ilvl w:val="0"/>
                <w:numId w:val="42"/>
              </w:numPr>
              <w:jc w:val="both"/>
              <w:rPr>
                <w:rFonts w:asciiTheme="minorHAnsi" w:hAnsiTheme="minorHAnsi"/>
                <w:color w:val="000000" w:themeColor="text1"/>
              </w:rPr>
            </w:pPr>
            <w:r w:rsidRPr="00312BAD">
              <w:rPr>
                <w:rFonts w:asciiTheme="minorHAnsi" w:hAnsiTheme="minorHAnsi"/>
                <w:b/>
                <w:color w:val="000000" w:themeColor="text1"/>
              </w:rPr>
              <w:t>Indicator: Share of population below national basic needs poverty line</w:t>
            </w:r>
            <w:r w:rsidRPr="00312BAD">
              <w:rPr>
                <w:rFonts w:asciiTheme="minorHAnsi" w:hAnsiTheme="minorHAnsi"/>
                <w:color w:val="000000" w:themeColor="text1"/>
              </w:rPr>
              <w:t xml:space="preserve"> </w:t>
            </w:r>
          </w:p>
          <w:p w14:paraId="314B6CEA" w14:textId="77777777" w:rsidR="009A54DC" w:rsidRPr="00312BAD" w:rsidRDefault="0065639C" w:rsidP="00547419">
            <w:pPr>
              <w:pStyle w:val="ListParagraph"/>
              <w:numPr>
                <w:ilvl w:val="0"/>
                <w:numId w:val="46"/>
              </w:numPr>
              <w:shd w:val="clear" w:color="auto" w:fill="FFFFFF"/>
              <w:jc w:val="both"/>
              <w:rPr>
                <w:rFonts w:asciiTheme="minorHAnsi" w:hAnsiTheme="minorHAnsi"/>
                <w:color w:val="000000" w:themeColor="text1"/>
                <w:sz w:val="20"/>
              </w:rPr>
            </w:pPr>
            <w:r w:rsidRPr="00312BAD">
              <w:rPr>
                <w:rFonts w:asciiTheme="minorHAnsi" w:hAnsiTheme="minorHAnsi"/>
                <w:color w:val="000000" w:themeColor="text1"/>
                <w:sz w:val="20"/>
              </w:rPr>
              <w:t>Since 2013 the analyses for Vanuatu (2013), Samoa and Nauru (2016), Palau (report awaiting publication) and Tonga (draft report completed). These reports show the share of population below national basic needs poverty line</w:t>
            </w:r>
            <w:r w:rsidR="00547419">
              <w:rPr>
                <w:rFonts w:asciiTheme="minorHAnsi" w:hAnsiTheme="minorHAnsi"/>
                <w:color w:val="000000" w:themeColor="text1"/>
                <w:sz w:val="20"/>
              </w:rPr>
              <w:t>.</w:t>
            </w:r>
            <w:r w:rsidR="00C3062E">
              <w:rPr>
                <w:rFonts w:asciiTheme="minorHAnsi" w:hAnsiTheme="minorHAnsi"/>
                <w:color w:val="000000" w:themeColor="text1"/>
                <w:sz w:val="20"/>
              </w:rPr>
              <w:t xml:space="preserve"> </w:t>
            </w:r>
            <w:r w:rsidR="00547419">
              <w:rPr>
                <w:rFonts w:asciiTheme="minorHAnsi" w:hAnsiTheme="minorHAnsi"/>
                <w:color w:val="000000" w:themeColor="text1"/>
                <w:sz w:val="20"/>
              </w:rPr>
              <w:t>(</w:t>
            </w:r>
            <w:r w:rsidR="00513B4B" w:rsidRPr="00312BAD">
              <w:rPr>
                <w:rFonts w:asciiTheme="minorHAnsi" w:hAnsiTheme="minorHAnsi"/>
                <w:color w:val="000000" w:themeColor="text1"/>
                <w:sz w:val="20"/>
              </w:rPr>
              <w:t xml:space="preserve">Vanuatu (national 12.7%, urban 18.4 %, Rural 10.0%), Nauru (national, urban and rural 24.0%), Palau (national 19.3%, urban 17.7%, 26.8%) and Tonga (national 22.5%, 21.4%, 23.2%). </w:t>
            </w:r>
          </w:p>
          <w:p w14:paraId="359E0AAD" w14:textId="77777777" w:rsidR="00ED5AA4" w:rsidRPr="00312BAD" w:rsidRDefault="00ED5AA4" w:rsidP="0065639C">
            <w:pPr>
              <w:pStyle w:val="ListParagraph"/>
              <w:numPr>
                <w:ilvl w:val="0"/>
                <w:numId w:val="46"/>
              </w:numPr>
              <w:shd w:val="clear" w:color="auto" w:fill="FFFFFF"/>
              <w:jc w:val="both"/>
              <w:rPr>
                <w:rFonts w:asciiTheme="minorHAnsi" w:hAnsiTheme="minorHAnsi"/>
                <w:color w:val="000000" w:themeColor="text1"/>
                <w:sz w:val="20"/>
              </w:rPr>
            </w:pPr>
            <w:r w:rsidRPr="00312BAD">
              <w:rPr>
                <w:rFonts w:asciiTheme="minorHAnsi" w:hAnsiTheme="minorHAnsi"/>
                <w:b/>
                <w:color w:val="000000" w:themeColor="text1"/>
                <w:sz w:val="20"/>
              </w:rPr>
              <w:t xml:space="preserve">Social Protection: </w:t>
            </w:r>
            <w:r w:rsidRPr="00312BAD">
              <w:rPr>
                <w:rFonts w:asciiTheme="minorHAnsi" w:hAnsiTheme="minorHAnsi"/>
                <w:color w:val="000000" w:themeColor="text1"/>
                <w:sz w:val="20"/>
              </w:rPr>
              <w:t>Tuvalu’s trade policy framework formulated and endorsed by government, advocated for the benefits of trade to address growing hardship, promoting women in economic development and ensuring revenues from trade for improving social protection services</w:t>
            </w:r>
          </w:p>
          <w:p w14:paraId="0B0C5522" w14:textId="77777777" w:rsidR="009A54DC" w:rsidRPr="00312BAD" w:rsidRDefault="009A54DC" w:rsidP="009A54DC">
            <w:pPr>
              <w:pStyle w:val="BodyText2"/>
              <w:numPr>
                <w:ilvl w:val="0"/>
                <w:numId w:val="42"/>
              </w:numPr>
              <w:jc w:val="both"/>
              <w:rPr>
                <w:rFonts w:asciiTheme="minorHAnsi" w:hAnsiTheme="minorHAnsi"/>
                <w:b/>
                <w:color w:val="000000" w:themeColor="text1"/>
              </w:rPr>
            </w:pPr>
            <w:r w:rsidRPr="00312BAD">
              <w:rPr>
                <w:rFonts w:asciiTheme="minorHAnsi" w:hAnsiTheme="minorHAnsi"/>
                <w:b/>
                <w:color w:val="000000" w:themeColor="text1"/>
              </w:rPr>
              <w:t xml:space="preserve">Indicator share of women in non-agricultural wage employment; </w:t>
            </w:r>
          </w:p>
          <w:p w14:paraId="732ABB5C" w14:textId="77777777" w:rsidR="00235F0F" w:rsidRPr="00312BAD" w:rsidRDefault="0065639C" w:rsidP="009A54DC">
            <w:pPr>
              <w:pStyle w:val="BodyText2"/>
              <w:numPr>
                <w:ilvl w:val="0"/>
                <w:numId w:val="45"/>
              </w:numPr>
              <w:jc w:val="both"/>
              <w:rPr>
                <w:rFonts w:asciiTheme="minorHAnsi" w:hAnsiTheme="minorHAnsi"/>
                <w:color w:val="000000" w:themeColor="text1"/>
              </w:rPr>
            </w:pPr>
            <w:r w:rsidRPr="00312BAD">
              <w:rPr>
                <w:rFonts w:asciiTheme="minorHAnsi" w:hAnsiTheme="minorHAnsi"/>
                <w:color w:val="000000" w:themeColor="text1"/>
              </w:rPr>
              <w:t xml:space="preserve">Access to financial services Pacific Financial Inclusion Programme supported innovative financial products and digital services </w:t>
            </w:r>
            <w:r w:rsidR="008C7EA0" w:rsidRPr="00312BAD">
              <w:rPr>
                <w:rFonts w:asciiTheme="minorHAnsi" w:hAnsiTheme="minorHAnsi"/>
                <w:color w:val="000000" w:themeColor="text1"/>
              </w:rPr>
              <w:t>reached</w:t>
            </w:r>
            <w:r w:rsidRPr="00312BAD">
              <w:rPr>
                <w:rFonts w:asciiTheme="minorHAnsi" w:hAnsiTheme="minorHAnsi"/>
                <w:color w:val="000000" w:themeColor="text1"/>
              </w:rPr>
              <w:t xml:space="preserve"> rural and under-served markets in 6 countries. In 2016, the initiative reached a cumulative total of 1,121,381 low-income clients across the Pacific, surpassing the programme goal of 1 million beneficiaries. 42% of individuals supported by the programme are now active users on a monthly basis, </w:t>
            </w:r>
            <w:r w:rsidRPr="00312BAD">
              <w:rPr>
                <w:rFonts w:asciiTheme="minorHAnsi" w:hAnsiTheme="minorHAnsi"/>
                <w:color w:val="000000" w:themeColor="text1"/>
              </w:rPr>
              <w:lastRenderedPageBreak/>
              <w:t xml:space="preserve">which is higher than a global average. Over 60% of all clients are micro-insurance policyholders, while others participate in microfinance schemes and savings clubs. In Solomon Islands, women micro-entrepreneurs, who are part of the grassroots savings clubs, were able to not only access credit for the first time, but also loans to access solar power. </w:t>
            </w:r>
            <w:r w:rsidR="00235F0F" w:rsidRPr="00312BAD">
              <w:rPr>
                <w:rFonts w:asciiTheme="minorHAnsi" w:hAnsiTheme="minorHAnsi"/>
                <w:color w:val="000000" w:themeColor="text1"/>
              </w:rPr>
              <w:t>Approximately 800 women in Fiji, 200 women in Vanuatu and 250 women market vendors in Solomon Islands were trained on financial literacy and basic business management as part of the Markets for change project in collaboration with UN Women and Westpac Bank.</w:t>
            </w:r>
          </w:p>
          <w:p w14:paraId="4962B999" w14:textId="77777777" w:rsidR="009A54DC" w:rsidRPr="00312BAD" w:rsidRDefault="0065639C" w:rsidP="009A54DC">
            <w:pPr>
              <w:pStyle w:val="BodyText2"/>
              <w:numPr>
                <w:ilvl w:val="0"/>
                <w:numId w:val="42"/>
              </w:numPr>
              <w:jc w:val="both"/>
              <w:rPr>
                <w:rFonts w:asciiTheme="minorHAnsi" w:hAnsiTheme="minorHAnsi"/>
                <w:b/>
                <w:color w:val="000000" w:themeColor="text1"/>
              </w:rPr>
            </w:pPr>
            <w:r w:rsidRPr="00312BAD">
              <w:rPr>
                <w:rFonts w:asciiTheme="minorHAnsi" w:hAnsiTheme="minorHAnsi"/>
                <w:b/>
                <w:color w:val="000000" w:themeColor="text1"/>
              </w:rPr>
              <w:t xml:space="preserve">Indicator: </w:t>
            </w:r>
            <w:r w:rsidR="009A54DC" w:rsidRPr="00312BAD">
              <w:rPr>
                <w:rFonts w:asciiTheme="minorHAnsi" w:hAnsiTheme="minorHAnsi"/>
                <w:b/>
                <w:color w:val="000000" w:themeColor="text1"/>
              </w:rPr>
              <w:t>share of youth unemployment ratio</w:t>
            </w:r>
          </w:p>
          <w:p w14:paraId="6B77021D" w14:textId="77777777" w:rsidR="00EE0D60" w:rsidRPr="00312BAD" w:rsidRDefault="009D4880" w:rsidP="00C3062E">
            <w:pPr>
              <w:pStyle w:val="ListParagraph"/>
              <w:numPr>
                <w:ilvl w:val="0"/>
                <w:numId w:val="45"/>
              </w:numPr>
              <w:jc w:val="both"/>
              <w:rPr>
                <w:rFonts w:asciiTheme="minorHAnsi" w:hAnsiTheme="minorHAnsi"/>
                <w:color w:val="000000" w:themeColor="text1"/>
                <w:sz w:val="20"/>
              </w:rPr>
            </w:pPr>
            <w:r w:rsidRPr="00C3062E">
              <w:rPr>
                <w:rFonts w:asciiTheme="minorHAnsi" w:hAnsiTheme="minorHAnsi"/>
                <w:color w:val="000000" w:themeColor="text1"/>
                <w:sz w:val="20"/>
              </w:rPr>
              <w:t xml:space="preserve">To address the </w:t>
            </w:r>
            <w:r w:rsidR="00D54F2F" w:rsidRPr="00C3062E">
              <w:rPr>
                <w:rFonts w:asciiTheme="minorHAnsi" w:hAnsiTheme="minorHAnsi"/>
                <w:color w:val="000000" w:themeColor="text1"/>
                <w:sz w:val="20"/>
              </w:rPr>
              <w:t>Unemployed youth rate</w:t>
            </w:r>
            <w:r w:rsidR="00D54F2F" w:rsidRPr="00312BAD">
              <w:rPr>
                <w:rFonts w:asciiTheme="minorHAnsi" w:hAnsiTheme="minorHAnsi"/>
                <w:b/>
                <w:color w:val="000000" w:themeColor="text1"/>
                <w:sz w:val="20"/>
              </w:rPr>
              <w:t xml:space="preserve"> </w:t>
            </w:r>
            <w:r w:rsidR="00235F0F" w:rsidRPr="00312BAD">
              <w:rPr>
                <w:rFonts w:asciiTheme="minorHAnsi" w:hAnsiTheme="minorHAnsi"/>
                <w:color w:val="000000" w:themeColor="text1"/>
                <w:sz w:val="20"/>
              </w:rPr>
              <w:t xml:space="preserve">SDG Farm to Table project </w:t>
            </w:r>
            <w:r w:rsidRPr="00312BAD">
              <w:rPr>
                <w:rFonts w:asciiTheme="minorHAnsi" w:hAnsiTheme="minorHAnsi"/>
                <w:color w:val="000000" w:themeColor="text1"/>
                <w:sz w:val="20"/>
              </w:rPr>
              <w:t xml:space="preserve">was formulated for Fiji, Vanuatu and Samoa, </w:t>
            </w:r>
            <w:r w:rsidR="00235F0F" w:rsidRPr="00312BAD">
              <w:rPr>
                <w:rFonts w:asciiTheme="minorHAnsi" w:hAnsiTheme="minorHAnsi"/>
                <w:color w:val="000000" w:themeColor="text1"/>
                <w:sz w:val="20"/>
              </w:rPr>
              <w:t>the project received funds from the SDG Trust Funds ($1.</w:t>
            </w:r>
            <w:r w:rsidR="0065639C" w:rsidRPr="00312BAD">
              <w:rPr>
                <w:rFonts w:asciiTheme="minorHAnsi" w:hAnsiTheme="minorHAnsi"/>
                <w:color w:val="000000" w:themeColor="text1"/>
                <w:sz w:val="20"/>
              </w:rPr>
              <w:t xml:space="preserve">5 million) for the 3 countries </w:t>
            </w:r>
          </w:p>
          <w:p w14:paraId="4F990314" w14:textId="77777777" w:rsidR="009A54DC" w:rsidRPr="00312BAD" w:rsidRDefault="00235F0F" w:rsidP="009A54DC">
            <w:pPr>
              <w:pStyle w:val="ListParagraph"/>
              <w:numPr>
                <w:ilvl w:val="0"/>
                <w:numId w:val="45"/>
              </w:numPr>
              <w:jc w:val="both"/>
              <w:rPr>
                <w:rFonts w:asciiTheme="minorHAnsi" w:hAnsiTheme="minorHAnsi"/>
                <w:color w:val="000000" w:themeColor="text1"/>
                <w:sz w:val="20"/>
              </w:rPr>
            </w:pPr>
            <w:r w:rsidRPr="00312BAD">
              <w:rPr>
                <w:rFonts w:asciiTheme="minorHAnsi" w:hAnsiTheme="minorHAnsi"/>
                <w:color w:val="000000" w:themeColor="text1"/>
                <w:sz w:val="20"/>
              </w:rPr>
              <w:t xml:space="preserve">Training of youth on organic farming and employment (self and wage) was undertaken in the 3 countries. The project </w:t>
            </w:r>
            <w:r w:rsidR="006318B4">
              <w:rPr>
                <w:rFonts w:asciiTheme="minorHAnsi" w:hAnsiTheme="minorHAnsi"/>
                <w:color w:val="000000" w:themeColor="text1"/>
                <w:sz w:val="20"/>
              </w:rPr>
              <w:t xml:space="preserve">has trained </w:t>
            </w:r>
            <w:r w:rsidR="00997A81">
              <w:rPr>
                <w:rFonts w:asciiTheme="minorHAnsi" w:hAnsiTheme="minorHAnsi"/>
                <w:color w:val="000000" w:themeColor="text1"/>
                <w:sz w:val="20"/>
              </w:rPr>
              <w:t xml:space="preserve">200 </w:t>
            </w:r>
            <w:r w:rsidR="006318B4">
              <w:rPr>
                <w:rFonts w:asciiTheme="minorHAnsi" w:hAnsiTheme="minorHAnsi"/>
                <w:color w:val="000000" w:themeColor="text1"/>
                <w:sz w:val="20"/>
              </w:rPr>
              <w:t xml:space="preserve">youths </w:t>
            </w:r>
            <w:r w:rsidR="00997A81">
              <w:rPr>
                <w:rFonts w:asciiTheme="minorHAnsi" w:hAnsiTheme="minorHAnsi"/>
                <w:color w:val="000000" w:themeColor="text1"/>
                <w:sz w:val="20"/>
              </w:rPr>
              <w:t xml:space="preserve">in Fiji, </w:t>
            </w:r>
            <w:r w:rsidR="006318B4">
              <w:rPr>
                <w:rFonts w:asciiTheme="minorHAnsi" w:hAnsiTheme="minorHAnsi"/>
                <w:color w:val="000000" w:themeColor="text1"/>
                <w:sz w:val="20"/>
              </w:rPr>
              <w:t>approx.</w:t>
            </w:r>
            <w:r w:rsidR="00997A81">
              <w:rPr>
                <w:rFonts w:asciiTheme="minorHAnsi" w:hAnsiTheme="minorHAnsi"/>
                <w:color w:val="000000" w:themeColor="text1"/>
                <w:sz w:val="20"/>
              </w:rPr>
              <w:t xml:space="preserve"> </w:t>
            </w:r>
            <w:r w:rsidR="00B07DAA">
              <w:rPr>
                <w:rFonts w:asciiTheme="minorHAnsi" w:hAnsiTheme="minorHAnsi"/>
                <w:color w:val="000000" w:themeColor="text1"/>
                <w:sz w:val="20"/>
              </w:rPr>
              <w:t xml:space="preserve">437 households </w:t>
            </w:r>
            <w:r w:rsidR="006318B4">
              <w:rPr>
                <w:rFonts w:asciiTheme="minorHAnsi" w:hAnsiTheme="minorHAnsi"/>
                <w:color w:val="000000" w:themeColor="text1"/>
                <w:sz w:val="20"/>
              </w:rPr>
              <w:t>in Vanuatu.</w:t>
            </w:r>
          </w:p>
          <w:p w14:paraId="3C17E983" w14:textId="77777777" w:rsidR="003C409C" w:rsidRPr="00312BAD" w:rsidRDefault="008C7EA0" w:rsidP="008C7EA0">
            <w:pPr>
              <w:pStyle w:val="ListParagraph"/>
              <w:numPr>
                <w:ilvl w:val="0"/>
                <w:numId w:val="45"/>
              </w:numPr>
              <w:jc w:val="both"/>
              <w:rPr>
                <w:rFonts w:asciiTheme="minorHAnsi" w:hAnsiTheme="minorHAnsi"/>
                <w:color w:val="000000" w:themeColor="text1"/>
                <w:sz w:val="20"/>
              </w:rPr>
            </w:pPr>
            <w:r w:rsidRPr="00C3062E">
              <w:rPr>
                <w:rFonts w:asciiTheme="minorHAnsi" w:hAnsiTheme="minorHAnsi"/>
                <w:color w:val="000000" w:themeColor="text1"/>
                <w:sz w:val="20"/>
              </w:rPr>
              <w:t>Samoa:</w:t>
            </w:r>
            <w:r w:rsidR="001A3791" w:rsidRPr="00312BAD">
              <w:rPr>
                <w:rFonts w:asciiTheme="minorHAnsi" w:hAnsiTheme="minorHAnsi"/>
                <w:b/>
                <w:color w:val="000000" w:themeColor="text1"/>
                <w:sz w:val="20"/>
              </w:rPr>
              <w:t xml:space="preserve"> </w:t>
            </w:r>
            <w:r w:rsidR="001A3791" w:rsidRPr="00312BAD">
              <w:rPr>
                <w:rFonts w:asciiTheme="minorHAnsi" w:hAnsiTheme="minorHAnsi"/>
                <w:color w:val="000000" w:themeColor="text1"/>
                <w:sz w:val="20"/>
              </w:rPr>
              <w:t>unemployed youth</w:t>
            </w:r>
            <w:r w:rsidRPr="00312BAD">
              <w:rPr>
                <w:rFonts w:asciiTheme="minorHAnsi" w:hAnsiTheme="minorHAnsi"/>
                <w:color w:val="000000" w:themeColor="text1"/>
                <w:sz w:val="20"/>
              </w:rPr>
              <w:t>s</w:t>
            </w:r>
            <w:r w:rsidR="001A3791" w:rsidRPr="00312BAD">
              <w:rPr>
                <w:rFonts w:asciiTheme="minorHAnsi" w:hAnsiTheme="minorHAnsi"/>
                <w:color w:val="000000" w:themeColor="text1"/>
                <w:sz w:val="20"/>
              </w:rPr>
              <w:t xml:space="preserve"> </w:t>
            </w:r>
            <w:r w:rsidR="003C107B" w:rsidRPr="00312BAD">
              <w:rPr>
                <w:rFonts w:asciiTheme="minorHAnsi" w:hAnsiTheme="minorHAnsi"/>
                <w:color w:val="000000" w:themeColor="text1"/>
                <w:sz w:val="20"/>
              </w:rPr>
              <w:t>were</w:t>
            </w:r>
            <w:r w:rsidR="001A3791" w:rsidRPr="00312BAD">
              <w:rPr>
                <w:rFonts w:asciiTheme="minorHAnsi" w:hAnsiTheme="minorHAnsi"/>
                <w:color w:val="000000" w:themeColor="text1"/>
                <w:sz w:val="20"/>
              </w:rPr>
              <w:t xml:space="preserve"> trained in different type of skills and gained employment in the area of culinary, hospitality, wood crafting and carpentry.</w:t>
            </w:r>
          </w:p>
        </w:tc>
      </w:tr>
      <w:tr w:rsidR="00530FDE" w:rsidRPr="00DC7354" w14:paraId="1DB33094" w14:textId="77777777" w:rsidTr="00EF2695">
        <w:tc>
          <w:tcPr>
            <w:tcW w:w="14040" w:type="dxa"/>
            <w:gridSpan w:val="5"/>
          </w:tcPr>
          <w:p w14:paraId="73D49AB1" w14:textId="77777777" w:rsidR="00843006" w:rsidRPr="00AA71B4" w:rsidRDefault="00837C4B" w:rsidP="00EE1D60">
            <w:pPr>
              <w:pStyle w:val="BodyText2"/>
              <w:rPr>
                <w:rFonts w:asciiTheme="minorHAnsi" w:hAnsiTheme="minorHAnsi"/>
                <w:b/>
                <w:color w:val="000000" w:themeColor="text1"/>
              </w:rPr>
            </w:pPr>
            <w:r w:rsidRPr="00AA71B4">
              <w:rPr>
                <w:rFonts w:asciiTheme="minorHAnsi" w:hAnsiTheme="minorHAnsi"/>
                <w:b/>
                <w:color w:val="000000" w:themeColor="text1"/>
              </w:rPr>
              <w:lastRenderedPageBreak/>
              <w:t>UNDP Contribution:</w:t>
            </w:r>
          </w:p>
          <w:p w14:paraId="23130938" w14:textId="77777777" w:rsidR="00843006" w:rsidRPr="00312BAD" w:rsidRDefault="00843006" w:rsidP="00EE1D60">
            <w:pPr>
              <w:pStyle w:val="BodyText2"/>
              <w:rPr>
                <w:rFonts w:asciiTheme="minorHAnsi" w:hAnsiTheme="minorHAnsi"/>
                <w:color w:val="000000" w:themeColor="text1"/>
              </w:rPr>
            </w:pPr>
          </w:p>
          <w:p w14:paraId="2C555BFF" w14:textId="64D89CC8" w:rsidR="00B00E5C" w:rsidRPr="00F50F7F" w:rsidRDefault="0027237C" w:rsidP="00EE1D60">
            <w:pPr>
              <w:pStyle w:val="BodyText2"/>
              <w:rPr>
                <w:rFonts w:asciiTheme="minorHAnsi" w:hAnsiTheme="minorHAnsi"/>
                <w:color w:val="000000" w:themeColor="text1"/>
                <w:u w:val="single"/>
              </w:rPr>
            </w:pPr>
            <w:r w:rsidRPr="00F50F7F">
              <w:rPr>
                <w:rFonts w:asciiTheme="minorHAnsi" w:hAnsiTheme="minorHAnsi"/>
                <w:color w:val="000000" w:themeColor="text1"/>
                <w:u w:val="single"/>
              </w:rPr>
              <w:t>SRPD</w:t>
            </w:r>
            <w:r w:rsidR="00B00E5C" w:rsidRPr="00F50F7F">
              <w:rPr>
                <w:rFonts w:asciiTheme="minorHAnsi" w:hAnsiTheme="minorHAnsi"/>
                <w:color w:val="000000" w:themeColor="text1"/>
                <w:u w:val="single"/>
              </w:rPr>
              <w:t xml:space="preserve"> Outputs</w:t>
            </w:r>
            <w:r w:rsidR="00845340" w:rsidRPr="00F50F7F">
              <w:rPr>
                <w:rFonts w:asciiTheme="minorHAnsi" w:hAnsiTheme="minorHAnsi"/>
                <w:color w:val="000000" w:themeColor="text1"/>
                <w:u w:val="single"/>
              </w:rPr>
              <w:t>:</w:t>
            </w:r>
          </w:p>
          <w:p w14:paraId="192AA979" w14:textId="77777777" w:rsidR="00413096" w:rsidRPr="00312BAD" w:rsidRDefault="00413096" w:rsidP="008021A5">
            <w:pPr>
              <w:pStyle w:val="ListParagraph"/>
              <w:widowControl/>
              <w:numPr>
                <w:ilvl w:val="0"/>
                <w:numId w:val="34"/>
              </w:numPr>
              <w:rPr>
                <w:rFonts w:asciiTheme="minorHAnsi" w:hAnsiTheme="minorHAnsi"/>
                <w:color w:val="000000" w:themeColor="text1"/>
                <w:sz w:val="20"/>
              </w:rPr>
            </w:pPr>
            <w:r w:rsidRPr="00312BAD">
              <w:rPr>
                <w:rFonts w:asciiTheme="minorHAnsi" w:hAnsiTheme="minorHAnsi"/>
                <w:color w:val="000000" w:themeColor="text1"/>
                <w:sz w:val="20"/>
              </w:rPr>
              <w:t xml:space="preserve">Policy advisory support on the acceleration frameworks to achieve MDGs and other country-owned development goals were designed and implemented, specifically targeting women and youth </w:t>
            </w:r>
          </w:p>
          <w:p w14:paraId="14B45316" w14:textId="77777777" w:rsidR="00413096" w:rsidRPr="00312BAD" w:rsidRDefault="00413096" w:rsidP="008021A5">
            <w:pPr>
              <w:pStyle w:val="ListParagraph"/>
              <w:widowControl/>
              <w:numPr>
                <w:ilvl w:val="0"/>
                <w:numId w:val="34"/>
              </w:numPr>
              <w:rPr>
                <w:rFonts w:asciiTheme="minorHAnsi" w:hAnsiTheme="minorHAnsi"/>
                <w:color w:val="000000" w:themeColor="text1"/>
                <w:sz w:val="20"/>
              </w:rPr>
            </w:pPr>
            <w:r w:rsidRPr="00312BAD">
              <w:rPr>
                <w:rFonts w:asciiTheme="minorHAnsi" w:hAnsiTheme="minorHAnsi"/>
                <w:color w:val="000000" w:themeColor="text1"/>
                <w:sz w:val="20"/>
              </w:rPr>
              <w:t xml:space="preserve">Technical support was provided </w:t>
            </w:r>
            <w:r w:rsidR="004A1073" w:rsidRPr="00312BAD">
              <w:rPr>
                <w:rFonts w:asciiTheme="minorHAnsi" w:hAnsiTheme="minorHAnsi"/>
                <w:color w:val="000000" w:themeColor="text1"/>
                <w:sz w:val="20"/>
              </w:rPr>
              <w:t>to enhance</w:t>
            </w:r>
            <w:r w:rsidRPr="00312BAD">
              <w:rPr>
                <w:rFonts w:asciiTheme="minorHAnsi" w:hAnsiTheme="minorHAnsi"/>
                <w:color w:val="000000" w:themeColor="text1"/>
                <w:sz w:val="20"/>
              </w:rPr>
              <w:t xml:space="preserve"> strategic partnerships for acceleration of MDG achievement, implementation of inclusive policies, strengthened social protection systems, improved development effectiveness, expanded financial inclusion, effective public-private partnerships </w:t>
            </w:r>
          </w:p>
          <w:p w14:paraId="64E43B72" w14:textId="77777777" w:rsidR="00413096" w:rsidRPr="00312BAD" w:rsidRDefault="00413096" w:rsidP="008021A5">
            <w:pPr>
              <w:pStyle w:val="ListParagraph"/>
              <w:widowControl/>
              <w:numPr>
                <w:ilvl w:val="0"/>
                <w:numId w:val="34"/>
              </w:numPr>
              <w:rPr>
                <w:rFonts w:asciiTheme="minorHAnsi" w:hAnsiTheme="minorHAnsi"/>
                <w:color w:val="000000" w:themeColor="text1"/>
                <w:sz w:val="20"/>
              </w:rPr>
            </w:pPr>
            <w:r w:rsidRPr="00312BAD">
              <w:rPr>
                <w:rFonts w:asciiTheme="minorHAnsi" w:hAnsiTheme="minorHAnsi"/>
                <w:color w:val="000000" w:themeColor="text1"/>
                <w:sz w:val="20"/>
              </w:rPr>
              <w:t xml:space="preserve">Increased capacities for improved development effectiveness, including through nationally owned aid coordination mechanisms </w:t>
            </w:r>
          </w:p>
          <w:p w14:paraId="22C9770E" w14:textId="77777777" w:rsidR="00B00E5C" w:rsidRPr="00F50F7F" w:rsidRDefault="00B00E5C" w:rsidP="00EE1D60">
            <w:pPr>
              <w:pStyle w:val="BodyText2"/>
              <w:rPr>
                <w:rFonts w:asciiTheme="minorHAnsi" w:hAnsiTheme="minorHAnsi"/>
                <w:color w:val="000000" w:themeColor="text1"/>
                <w:u w:val="single"/>
              </w:rPr>
            </w:pPr>
            <w:r w:rsidRPr="00F50F7F">
              <w:rPr>
                <w:rFonts w:asciiTheme="minorHAnsi" w:hAnsiTheme="minorHAnsi"/>
                <w:color w:val="000000" w:themeColor="text1"/>
                <w:u w:val="single"/>
              </w:rPr>
              <w:t>Progress and Achievements</w:t>
            </w:r>
            <w:r w:rsidR="00845340" w:rsidRPr="00F50F7F">
              <w:rPr>
                <w:rFonts w:asciiTheme="minorHAnsi" w:hAnsiTheme="minorHAnsi"/>
                <w:color w:val="000000" w:themeColor="text1"/>
                <w:u w:val="single"/>
              </w:rPr>
              <w:t>:</w:t>
            </w:r>
          </w:p>
          <w:p w14:paraId="25E92A7B" w14:textId="77777777" w:rsidR="009C6732" w:rsidRPr="00312BAD" w:rsidRDefault="00257D02" w:rsidP="009C6732">
            <w:pPr>
              <w:pStyle w:val="ListParagraph"/>
              <w:widowControl/>
              <w:numPr>
                <w:ilvl w:val="0"/>
                <w:numId w:val="48"/>
              </w:numPr>
              <w:rPr>
                <w:rFonts w:asciiTheme="minorHAnsi" w:hAnsiTheme="minorHAnsi"/>
                <w:color w:val="000000" w:themeColor="text1"/>
                <w:sz w:val="20"/>
              </w:rPr>
            </w:pPr>
            <w:r w:rsidRPr="00312BAD">
              <w:rPr>
                <w:rFonts w:asciiTheme="minorHAnsi" w:hAnsiTheme="minorHAnsi"/>
                <w:color w:val="000000" w:themeColor="text1"/>
                <w:sz w:val="20"/>
              </w:rPr>
              <w:t xml:space="preserve">UNDP provided policy advisory support </w:t>
            </w:r>
            <w:r w:rsidR="009C6732" w:rsidRPr="00312BAD">
              <w:rPr>
                <w:rFonts w:asciiTheme="minorHAnsi" w:hAnsiTheme="minorHAnsi"/>
                <w:color w:val="000000" w:themeColor="text1"/>
                <w:sz w:val="20"/>
              </w:rPr>
              <w:t xml:space="preserve">on the acceleration frameworks to achieve MDGs. </w:t>
            </w:r>
            <w:r w:rsidR="00B71A2C" w:rsidRPr="00312BAD">
              <w:rPr>
                <w:rFonts w:asciiTheme="minorHAnsi" w:hAnsiTheme="minorHAnsi"/>
                <w:color w:val="000000" w:themeColor="text1"/>
                <w:sz w:val="20"/>
              </w:rPr>
              <w:t xml:space="preserve">Technical </w:t>
            </w:r>
            <w:r w:rsidR="008A782A" w:rsidRPr="00312BAD">
              <w:rPr>
                <w:rFonts w:asciiTheme="minorHAnsi" w:hAnsiTheme="minorHAnsi"/>
                <w:color w:val="000000" w:themeColor="text1"/>
                <w:sz w:val="20"/>
              </w:rPr>
              <w:t>assistance</w:t>
            </w:r>
            <w:r w:rsidR="0034765F" w:rsidRPr="00312BAD">
              <w:rPr>
                <w:rFonts w:asciiTheme="minorHAnsi" w:hAnsiTheme="minorHAnsi"/>
                <w:color w:val="000000" w:themeColor="text1"/>
                <w:sz w:val="20"/>
              </w:rPr>
              <w:t xml:space="preserve"> provided to COs in</w:t>
            </w:r>
            <w:r w:rsidR="009C6732" w:rsidRPr="00312BAD">
              <w:rPr>
                <w:rFonts w:asciiTheme="minorHAnsi" w:hAnsiTheme="minorHAnsi"/>
                <w:color w:val="000000" w:themeColor="text1"/>
                <w:sz w:val="20"/>
              </w:rPr>
              <w:t xml:space="preserve"> areas p</w:t>
            </w:r>
            <w:r w:rsidR="0034765F" w:rsidRPr="00312BAD">
              <w:rPr>
                <w:rFonts w:asciiTheme="minorHAnsi" w:hAnsiTheme="minorHAnsi"/>
                <w:color w:val="000000" w:themeColor="text1"/>
                <w:sz w:val="20"/>
              </w:rPr>
              <w:t xml:space="preserve">ertaining to Human Development, </w:t>
            </w:r>
            <w:r w:rsidR="009C6732" w:rsidRPr="00312BAD">
              <w:rPr>
                <w:rFonts w:asciiTheme="minorHAnsi" w:hAnsiTheme="minorHAnsi"/>
                <w:color w:val="000000" w:themeColor="text1"/>
                <w:sz w:val="20"/>
              </w:rPr>
              <w:t>MDG Achievement, National Development Strategies</w:t>
            </w:r>
            <w:r w:rsidR="00171ABE" w:rsidRPr="00312BAD">
              <w:rPr>
                <w:rFonts w:asciiTheme="minorHAnsi" w:hAnsiTheme="minorHAnsi"/>
                <w:color w:val="000000" w:themeColor="text1"/>
                <w:sz w:val="20"/>
              </w:rPr>
              <w:t xml:space="preserve"> </w:t>
            </w:r>
            <w:r w:rsidR="00B71A2C" w:rsidRPr="00312BAD">
              <w:rPr>
                <w:rFonts w:asciiTheme="minorHAnsi" w:hAnsiTheme="minorHAnsi"/>
                <w:color w:val="000000" w:themeColor="text1"/>
                <w:sz w:val="20"/>
              </w:rPr>
              <w:t>as well as</w:t>
            </w:r>
            <w:r w:rsidR="0034765F" w:rsidRPr="00312BAD">
              <w:rPr>
                <w:rFonts w:asciiTheme="minorHAnsi" w:hAnsiTheme="minorHAnsi"/>
                <w:color w:val="000000" w:themeColor="text1"/>
                <w:sz w:val="20"/>
              </w:rPr>
              <w:t xml:space="preserve"> to produce MDG reports. MAF designed and implemented in Tonga </w:t>
            </w:r>
            <w:r w:rsidR="009C6732" w:rsidRPr="00312BAD">
              <w:rPr>
                <w:rFonts w:asciiTheme="minorHAnsi" w:hAnsiTheme="minorHAnsi"/>
                <w:color w:val="000000" w:themeColor="text1"/>
                <w:sz w:val="20"/>
              </w:rPr>
              <w:t>and currently support is provided to SDGs on t</w:t>
            </w:r>
            <w:r w:rsidR="0034765F" w:rsidRPr="00312BAD">
              <w:rPr>
                <w:rFonts w:asciiTheme="minorHAnsi" w:hAnsiTheme="minorHAnsi"/>
                <w:color w:val="000000" w:themeColor="text1"/>
                <w:sz w:val="20"/>
              </w:rPr>
              <w:t>he unfinished business of MDGs.</w:t>
            </w:r>
          </w:p>
          <w:p w14:paraId="7D0F74B7" w14:textId="77777777" w:rsidR="009C6732" w:rsidRPr="00312BAD" w:rsidRDefault="00086514" w:rsidP="009C6732">
            <w:pPr>
              <w:pStyle w:val="BodyText2"/>
              <w:numPr>
                <w:ilvl w:val="0"/>
                <w:numId w:val="48"/>
              </w:numPr>
              <w:jc w:val="both"/>
              <w:rPr>
                <w:rFonts w:asciiTheme="minorHAnsi" w:hAnsiTheme="minorHAnsi"/>
                <w:color w:val="000000" w:themeColor="text1"/>
              </w:rPr>
            </w:pPr>
            <w:r w:rsidRPr="00312BAD">
              <w:rPr>
                <w:rFonts w:asciiTheme="minorHAnsi" w:hAnsiTheme="minorHAnsi"/>
                <w:color w:val="000000" w:themeColor="text1"/>
              </w:rPr>
              <w:lastRenderedPageBreak/>
              <w:t>Technical support</w:t>
            </w:r>
            <w:r w:rsidR="00B852D6" w:rsidRPr="00312BAD">
              <w:rPr>
                <w:rFonts w:asciiTheme="minorHAnsi" w:hAnsiTheme="minorHAnsi"/>
                <w:color w:val="000000" w:themeColor="text1"/>
              </w:rPr>
              <w:t xml:space="preserve"> provided</w:t>
            </w:r>
            <w:r w:rsidRPr="00312BAD">
              <w:rPr>
                <w:rFonts w:asciiTheme="minorHAnsi" w:hAnsiTheme="minorHAnsi"/>
                <w:color w:val="000000" w:themeColor="text1"/>
              </w:rPr>
              <w:t xml:space="preserve"> to </w:t>
            </w:r>
            <w:r w:rsidR="00B852D6" w:rsidRPr="00312BAD">
              <w:rPr>
                <w:rFonts w:asciiTheme="minorHAnsi" w:hAnsiTheme="minorHAnsi"/>
                <w:color w:val="000000" w:themeColor="text1"/>
              </w:rPr>
              <w:t>PIFS for annual MDGs Tracking report</w:t>
            </w:r>
            <w:r w:rsidRPr="00312BAD">
              <w:rPr>
                <w:rFonts w:asciiTheme="minorHAnsi" w:hAnsiTheme="minorHAnsi"/>
                <w:color w:val="000000" w:themeColor="text1"/>
              </w:rPr>
              <w:t xml:space="preserve"> in enhancing strategic partnerships for acceleration of MDGs achievement</w:t>
            </w:r>
            <w:r w:rsidR="00112612" w:rsidRPr="00312BAD">
              <w:rPr>
                <w:rFonts w:asciiTheme="minorHAnsi" w:hAnsiTheme="minorHAnsi"/>
                <w:color w:val="000000" w:themeColor="text1"/>
              </w:rPr>
              <w:t xml:space="preserve"> and to</w:t>
            </w:r>
            <w:r w:rsidRPr="00312BAD">
              <w:rPr>
                <w:rFonts w:asciiTheme="minorHAnsi" w:hAnsiTheme="minorHAnsi"/>
                <w:color w:val="000000" w:themeColor="text1"/>
              </w:rPr>
              <w:t xml:space="preserve"> </w:t>
            </w:r>
            <w:r w:rsidR="00B852D6" w:rsidRPr="00312BAD">
              <w:rPr>
                <w:rFonts w:asciiTheme="minorHAnsi" w:hAnsiTheme="minorHAnsi"/>
                <w:color w:val="000000" w:themeColor="text1"/>
              </w:rPr>
              <w:t>countries in aligning SDGs</w:t>
            </w:r>
            <w:r w:rsidR="009C6732" w:rsidRPr="00312BAD">
              <w:rPr>
                <w:rFonts w:asciiTheme="minorHAnsi" w:hAnsiTheme="minorHAnsi"/>
                <w:color w:val="000000" w:themeColor="text1"/>
              </w:rPr>
              <w:t xml:space="preserve"> with thei</w:t>
            </w:r>
            <w:r w:rsidRPr="00312BAD">
              <w:rPr>
                <w:rFonts w:asciiTheme="minorHAnsi" w:hAnsiTheme="minorHAnsi"/>
                <w:color w:val="000000" w:themeColor="text1"/>
              </w:rPr>
              <w:t>r national plans and strategies.</w:t>
            </w:r>
            <w:r w:rsidR="009C6732" w:rsidRPr="00312BAD">
              <w:rPr>
                <w:rFonts w:asciiTheme="minorHAnsi" w:hAnsiTheme="minorHAnsi"/>
                <w:color w:val="000000" w:themeColor="text1"/>
              </w:rPr>
              <w:t xml:space="preserve"> UNDP has started providing technical assistance and capacity building of national planning and budget ministries to ensure that both official and administrative data is appropriately disaggregated and available in a timely manner. While support has been given to Tonga and Palau, three countries (RMI, Nauru and Solomon Islands) are in the pipeline for similar support. UNDP is also providing technical assistance to RMI, Solomon Islands and Nauru in strengthening horizontal and vertical policy coherence. </w:t>
            </w:r>
          </w:p>
          <w:p w14:paraId="54FD8DFC" w14:textId="77777777" w:rsidR="00A8665A" w:rsidRPr="00312BAD" w:rsidRDefault="00257D02" w:rsidP="00086514">
            <w:pPr>
              <w:pStyle w:val="ListParagraph"/>
              <w:widowControl/>
              <w:numPr>
                <w:ilvl w:val="0"/>
                <w:numId w:val="48"/>
              </w:numPr>
              <w:rPr>
                <w:rFonts w:asciiTheme="minorHAnsi" w:hAnsiTheme="minorHAnsi"/>
                <w:color w:val="000000" w:themeColor="text1"/>
                <w:sz w:val="20"/>
              </w:rPr>
            </w:pPr>
            <w:r w:rsidRPr="00312BAD">
              <w:rPr>
                <w:rFonts w:asciiTheme="minorHAnsi" w:hAnsiTheme="minorHAnsi"/>
                <w:color w:val="000000" w:themeColor="text1"/>
                <w:sz w:val="20"/>
              </w:rPr>
              <w:t>UNDP u</w:t>
            </w:r>
            <w:r w:rsidR="00413096" w:rsidRPr="00312BAD">
              <w:rPr>
                <w:rFonts w:asciiTheme="minorHAnsi" w:hAnsiTheme="minorHAnsi"/>
                <w:color w:val="000000" w:themeColor="text1"/>
                <w:sz w:val="20"/>
              </w:rPr>
              <w:t>ndertook extensive research on poverty in the Pacific and buil</w:t>
            </w:r>
            <w:r w:rsidR="001F7AC8" w:rsidRPr="00312BAD">
              <w:rPr>
                <w:rFonts w:asciiTheme="minorHAnsi" w:hAnsiTheme="minorHAnsi"/>
                <w:color w:val="000000" w:themeColor="text1"/>
                <w:sz w:val="20"/>
              </w:rPr>
              <w:t>t</w:t>
            </w:r>
            <w:r w:rsidR="00413096" w:rsidRPr="00312BAD">
              <w:rPr>
                <w:rFonts w:asciiTheme="minorHAnsi" w:hAnsiTheme="minorHAnsi"/>
                <w:color w:val="000000" w:themeColor="text1"/>
                <w:sz w:val="20"/>
              </w:rPr>
              <w:t xml:space="preserve"> upon previous HIES analyses and work on poverty in the Pacific to develop ‘uniquely Pacific indicators of both poverty and progress’. HIES Analys</w:t>
            </w:r>
            <w:r w:rsidR="00086514" w:rsidRPr="00312BAD">
              <w:rPr>
                <w:rFonts w:asciiTheme="minorHAnsi" w:hAnsiTheme="minorHAnsi"/>
                <w:color w:val="000000" w:themeColor="text1"/>
                <w:sz w:val="20"/>
              </w:rPr>
              <w:t>is for countries (Palau, Nauru</w:t>
            </w:r>
            <w:r w:rsidR="00413096" w:rsidRPr="00312BAD">
              <w:rPr>
                <w:rFonts w:asciiTheme="minorHAnsi" w:hAnsiTheme="minorHAnsi"/>
                <w:color w:val="000000" w:themeColor="text1"/>
                <w:sz w:val="20"/>
              </w:rPr>
              <w:t>, Samoa</w:t>
            </w:r>
            <w:r w:rsidR="00086514" w:rsidRPr="00312BAD">
              <w:rPr>
                <w:rFonts w:asciiTheme="minorHAnsi" w:hAnsiTheme="minorHAnsi"/>
                <w:color w:val="000000" w:themeColor="text1"/>
                <w:sz w:val="20"/>
              </w:rPr>
              <w:t>, Vanuatu and Tonga</w:t>
            </w:r>
            <w:r w:rsidR="00413096" w:rsidRPr="00312BAD">
              <w:rPr>
                <w:rFonts w:asciiTheme="minorHAnsi" w:hAnsiTheme="minorHAnsi"/>
                <w:color w:val="000000" w:themeColor="text1"/>
                <w:sz w:val="20"/>
              </w:rPr>
              <w:t>) completed.  Poverty reports for Nauru, Samoa and Palau have been completed and submitted to respective Governments. RMI national development strategy</w:t>
            </w:r>
            <w:r w:rsidR="00A8665A" w:rsidRPr="00312BAD">
              <w:rPr>
                <w:rFonts w:asciiTheme="minorHAnsi" w:hAnsiTheme="minorHAnsi"/>
                <w:color w:val="000000" w:themeColor="text1"/>
                <w:sz w:val="20"/>
              </w:rPr>
              <w:t xml:space="preserve"> finalised</w:t>
            </w:r>
            <w:r w:rsidR="00413096" w:rsidRPr="00312BAD">
              <w:rPr>
                <w:rFonts w:asciiTheme="minorHAnsi" w:hAnsiTheme="minorHAnsi"/>
                <w:color w:val="000000" w:themeColor="text1"/>
                <w:sz w:val="20"/>
              </w:rPr>
              <w:t xml:space="preserve">.  </w:t>
            </w:r>
          </w:p>
          <w:p w14:paraId="1E3CDFFB" w14:textId="77777777" w:rsidR="00A8665A" w:rsidRPr="00312BAD" w:rsidRDefault="00A8665A" w:rsidP="00257D02">
            <w:pPr>
              <w:pStyle w:val="BodyText2"/>
              <w:numPr>
                <w:ilvl w:val="0"/>
                <w:numId w:val="48"/>
              </w:numPr>
              <w:jc w:val="both"/>
              <w:rPr>
                <w:rFonts w:asciiTheme="minorHAnsi" w:hAnsiTheme="minorHAnsi"/>
                <w:color w:val="000000" w:themeColor="text1"/>
              </w:rPr>
            </w:pPr>
            <w:r w:rsidRPr="00312BAD">
              <w:rPr>
                <w:rFonts w:asciiTheme="minorHAnsi" w:hAnsiTheme="minorHAnsi"/>
                <w:color w:val="000000" w:themeColor="text1"/>
              </w:rPr>
              <w:t xml:space="preserve">UNDP focused its support to the Pacific Island Countries (PICs) </w:t>
            </w:r>
            <w:r w:rsidR="001F7AC8" w:rsidRPr="00312BAD">
              <w:rPr>
                <w:rFonts w:asciiTheme="minorHAnsi" w:hAnsiTheme="minorHAnsi"/>
                <w:color w:val="000000" w:themeColor="text1"/>
              </w:rPr>
              <w:t xml:space="preserve">by </w:t>
            </w:r>
            <w:r w:rsidRPr="00312BAD">
              <w:rPr>
                <w:rFonts w:asciiTheme="minorHAnsi" w:hAnsiTheme="minorHAnsi"/>
                <w:color w:val="000000" w:themeColor="text1"/>
              </w:rPr>
              <w:t>putting in place the building blocks of SDG localization, including the introduction of tools for coordination, planning and budgeting, and data and monitoring, as well reporting of community level development results at the national level. Specifically, UNDP supported national consultations including mapping national development strategies and data systems with SDG targets and indicators in Palau, RMI, Fiji, Tonga, Vanuatu and PNG</w:t>
            </w:r>
          </w:p>
          <w:p w14:paraId="20695516" w14:textId="77777777" w:rsidR="00413096" w:rsidRPr="00312BAD" w:rsidRDefault="0016408A" w:rsidP="00257D02">
            <w:pPr>
              <w:pStyle w:val="BodyText2"/>
              <w:numPr>
                <w:ilvl w:val="0"/>
                <w:numId w:val="48"/>
              </w:numPr>
              <w:jc w:val="both"/>
              <w:rPr>
                <w:rFonts w:asciiTheme="minorHAnsi" w:hAnsiTheme="minorHAnsi"/>
                <w:color w:val="000000" w:themeColor="text1"/>
              </w:rPr>
            </w:pPr>
            <w:r w:rsidRPr="00312BAD">
              <w:rPr>
                <w:rFonts w:asciiTheme="minorHAnsi" w:hAnsiTheme="minorHAnsi"/>
                <w:color w:val="000000" w:themeColor="text1"/>
              </w:rPr>
              <w:t xml:space="preserve">UNDP published </w:t>
            </w:r>
            <w:r w:rsidR="001F7AC8" w:rsidRPr="00312BAD">
              <w:rPr>
                <w:rFonts w:asciiTheme="minorHAnsi" w:hAnsiTheme="minorHAnsi"/>
                <w:color w:val="000000" w:themeColor="text1"/>
              </w:rPr>
              <w:t>“</w:t>
            </w:r>
            <w:r w:rsidR="00413096" w:rsidRPr="00312BAD">
              <w:rPr>
                <w:rFonts w:asciiTheme="minorHAnsi" w:hAnsiTheme="minorHAnsi"/>
                <w:i/>
                <w:color w:val="000000" w:themeColor="text1"/>
              </w:rPr>
              <w:t xml:space="preserve">The state of </w:t>
            </w:r>
            <w:r w:rsidR="001F7AC8" w:rsidRPr="00312BAD">
              <w:rPr>
                <w:rFonts w:asciiTheme="minorHAnsi" w:hAnsiTheme="minorHAnsi"/>
                <w:i/>
                <w:color w:val="000000" w:themeColor="text1"/>
              </w:rPr>
              <w:t>H</w:t>
            </w:r>
            <w:r w:rsidR="00413096" w:rsidRPr="00312BAD">
              <w:rPr>
                <w:rFonts w:asciiTheme="minorHAnsi" w:hAnsiTheme="minorHAnsi"/>
                <w:i/>
                <w:color w:val="000000" w:themeColor="text1"/>
              </w:rPr>
              <w:t xml:space="preserve">uman </w:t>
            </w:r>
            <w:r w:rsidR="001F7AC8" w:rsidRPr="00312BAD">
              <w:rPr>
                <w:rFonts w:asciiTheme="minorHAnsi" w:hAnsiTheme="minorHAnsi"/>
                <w:i/>
                <w:color w:val="000000" w:themeColor="text1"/>
              </w:rPr>
              <w:t>D</w:t>
            </w:r>
            <w:r w:rsidR="00413096" w:rsidRPr="00312BAD">
              <w:rPr>
                <w:rFonts w:asciiTheme="minorHAnsi" w:hAnsiTheme="minorHAnsi"/>
                <w:i/>
                <w:color w:val="000000" w:themeColor="text1"/>
              </w:rPr>
              <w:t>evelopment in the Pacific</w:t>
            </w:r>
            <w:r w:rsidR="001F7AC8" w:rsidRPr="00312BAD">
              <w:rPr>
                <w:rFonts w:asciiTheme="minorHAnsi" w:hAnsiTheme="minorHAnsi"/>
                <w:i/>
                <w:color w:val="000000" w:themeColor="text1"/>
              </w:rPr>
              <w:t>”</w:t>
            </w:r>
            <w:r w:rsidR="001F7AC8" w:rsidRPr="00312BAD">
              <w:rPr>
                <w:rFonts w:asciiTheme="minorHAnsi" w:hAnsiTheme="minorHAnsi"/>
                <w:color w:val="000000" w:themeColor="text1"/>
              </w:rPr>
              <w:t>,</w:t>
            </w:r>
            <w:r w:rsidR="00413096" w:rsidRPr="00312BAD">
              <w:rPr>
                <w:rFonts w:asciiTheme="minorHAnsi" w:hAnsiTheme="minorHAnsi"/>
                <w:color w:val="000000" w:themeColor="text1"/>
              </w:rPr>
              <w:t xml:space="preserve"> report </w:t>
            </w:r>
            <w:r w:rsidRPr="00312BAD">
              <w:rPr>
                <w:rFonts w:asciiTheme="minorHAnsi" w:hAnsiTheme="minorHAnsi"/>
                <w:color w:val="000000" w:themeColor="text1"/>
              </w:rPr>
              <w:t>which</w:t>
            </w:r>
            <w:r w:rsidR="00413096" w:rsidRPr="00312BAD">
              <w:rPr>
                <w:rFonts w:asciiTheme="minorHAnsi" w:hAnsiTheme="minorHAnsi"/>
                <w:color w:val="000000" w:themeColor="text1"/>
              </w:rPr>
              <w:t xml:space="preserve"> shows that, inequality and exclusion are on the rise in many PICS and that most vulnerable people are likely to be women, youth, the disabled and the elderly, as well as those living in the outer islands and rural areas. This report informs the governments on dealing with the challenge of reversing this rising tide of vulnerability and exclusion while also providing safety nets and social protection for those at risk that will require Pacific governments to adopt new policy approaches and make some difficult choices.</w:t>
            </w:r>
          </w:p>
          <w:p w14:paraId="03F1E99D" w14:textId="77777777" w:rsidR="00AA758C" w:rsidRPr="00312BAD" w:rsidRDefault="00AA758C" w:rsidP="00257D02">
            <w:pPr>
              <w:pStyle w:val="BodyText2"/>
              <w:numPr>
                <w:ilvl w:val="0"/>
                <w:numId w:val="48"/>
              </w:numPr>
              <w:jc w:val="both"/>
              <w:rPr>
                <w:rFonts w:asciiTheme="minorHAnsi" w:hAnsiTheme="minorHAnsi"/>
                <w:color w:val="000000" w:themeColor="text1"/>
              </w:rPr>
            </w:pPr>
            <w:r w:rsidRPr="00312BAD">
              <w:rPr>
                <w:rFonts w:asciiTheme="minorHAnsi" w:hAnsiTheme="minorHAnsi"/>
                <w:color w:val="000000" w:themeColor="text1"/>
              </w:rPr>
              <w:t xml:space="preserve">In </w:t>
            </w:r>
            <w:r w:rsidR="001F7AC8" w:rsidRPr="00312BAD">
              <w:rPr>
                <w:rFonts w:asciiTheme="minorHAnsi" w:hAnsiTheme="minorHAnsi"/>
                <w:color w:val="000000" w:themeColor="text1"/>
              </w:rPr>
              <w:t>S</w:t>
            </w:r>
            <w:r w:rsidRPr="00312BAD">
              <w:rPr>
                <w:rFonts w:asciiTheme="minorHAnsi" w:hAnsiTheme="minorHAnsi"/>
                <w:color w:val="000000" w:themeColor="text1"/>
              </w:rPr>
              <w:t>amoa</w:t>
            </w:r>
            <w:r w:rsidR="001F7AC8" w:rsidRPr="00312BAD">
              <w:rPr>
                <w:rFonts w:asciiTheme="minorHAnsi" w:hAnsiTheme="minorHAnsi"/>
                <w:color w:val="000000" w:themeColor="text1"/>
              </w:rPr>
              <w:t>,</w:t>
            </w:r>
            <w:r w:rsidRPr="00312BAD">
              <w:rPr>
                <w:rFonts w:asciiTheme="minorHAnsi" w:hAnsiTheme="minorHAnsi"/>
                <w:color w:val="000000" w:themeColor="text1"/>
              </w:rPr>
              <w:t xml:space="preserve"> UNDP supported data collection, analysis and publication “Samoa Hardship and Poverty report 2016” which indicated 8% </w:t>
            </w:r>
            <w:r w:rsidR="001F7AC8" w:rsidRPr="00312BAD">
              <w:rPr>
                <w:rFonts w:asciiTheme="minorHAnsi" w:hAnsiTheme="minorHAnsi"/>
                <w:color w:val="000000" w:themeColor="text1"/>
              </w:rPr>
              <w:t>of the proportion</w:t>
            </w:r>
            <w:r w:rsidR="001A3791" w:rsidRPr="00312BAD">
              <w:rPr>
                <w:rFonts w:asciiTheme="minorHAnsi" w:hAnsiTheme="minorHAnsi"/>
                <w:color w:val="000000" w:themeColor="text1"/>
              </w:rPr>
              <w:t xml:space="preserve"> of </w:t>
            </w:r>
            <w:r w:rsidRPr="00312BAD">
              <w:rPr>
                <w:rFonts w:asciiTheme="minorHAnsi" w:hAnsiTheme="minorHAnsi"/>
                <w:color w:val="000000" w:themeColor="text1"/>
              </w:rPr>
              <w:t xml:space="preserve">population who live below the basic needs poverty line. </w:t>
            </w:r>
          </w:p>
          <w:p w14:paraId="729BDD7C" w14:textId="77777777" w:rsidR="00413096" w:rsidRPr="00312BAD" w:rsidRDefault="00413096" w:rsidP="00257D02">
            <w:pPr>
              <w:pStyle w:val="BodyText2"/>
              <w:numPr>
                <w:ilvl w:val="0"/>
                <w:numId w:val="48"/>
              </w:numPr>
              <w:jc w:val="both"/>
              <w:rPr>
                <w:rFonts w:asciiTheme="minorHAnsi" w:hAnsiTheme="minorHAnsi"/>
                <w:color w:val="000000" w:themeColor="text1"/>
              </w:rPr>
            </w:pPr>
            <w:r w:rsidRPr="00312BAD">
              <w:rPr>
                <w:rFonts w:asciiTheme="minorHAnsi" w:hAnsiTheme="minorHAnsi"/>
                <w:color w:val="000000" w:themeColor="text1"/>
              </w:rPr>
              <w:t>Supported the creation of meaningful employment and livelihoods for the poor and excluded through regional programs and technical assistance to COs, Regional Organisations and CROP agencies (eg Samoa)</w:t>
            </w:r>
            <w:r w:rsidR="009E3791" w:rsidRPr="00312BAD">
              <w:rPr>
                <w:rFonts w:asciiTheme="minorHAnsi" w:hAnsiTheme="minorHAnsi"/>
                <w:color w:val="000000" w:themeColor="text1"/>
              </w:rPr>
              <w:t xml:space="preserve">. </w:t>
            </w:r>
            <w:r w:rsidRPr="00312BAD">
              <w:rPr>
                <w:rFonts w:asciiTheme="minorHAnsi" w:hAnsiTheme="minorHAnsi"/>
                <w:color w:val="000000" w:themeColor="text1"/>
              </w:rPr>
              <w:t xml:space="preserve">Through UNDP’s technical and advisory support prorammes such as </w:t>
            </w:r>
            <w:r w:rsidRPr="00312BAD">
              <w:rPr>
                <w:rFonts w:asciiTheme="minorHAnsi" w:hAnsiTheme="minorHAnsi"/>
                <w:i/>
                <w:color w:val="000000" w:themeColor="text1"/>
              </w:rPr>
              <w:t xml:space="preserve">Markets for </w:t>
            </w:r>
            <w:r w:rsidR="001F7AC8" w:rsidRPr="00312BAD">
              <w:rPr>
                <w:rFonts w:asciiTheme="minorHAnsi" w:hAnsiTheme="minorHAnsi"/>
                <w:i/>
                <w:color w:val="000000" w:themeColor="text1"/>
              </w:rPr>
              <w:t>C</w:t>
            </w:r>
            <w:r w:rsidRPr="00312BAD">
              <w:rPr>
                <w:rFonts w:asciiTheme="minorHAnsi" w:hAnsiTheme="minorHAnsi"/>
                <w:i/>
                <w:color w:val="000000" w:themeColor="text1"/>
              </w:rPr>
              <w:t>hange Project</w:t>
            </w:r>
            <w:r w:rsidRPr="00312BAD">
              <w:rPr>
                <w:rFonts w:asciiTheme="minorHAnsi" w:hAnsiTheme="minorHAnsi"/>
                <w:color w:val="000000" w:themeColor="text1"/>
              </w:rPr>
              <w:t xml:space="preserve"> in Fiji, 2217 market vendors (89% women) in 10 marketplaces received basic financial literacy and business training, knowledge opportunities that were not otherwise available to them.  Additionally, through technical support the programme </w:t>
            </w:r>
            <w:r w:rsidRPr="00312BAD">
              <w:rPr>
                <w:rFonts w:asciiTheme="minorHAnsi" w:hAnsiTheme="minorHAnsi"/>
                <w:i/>
                <w:color w:val="000000" w:themeColor="text1"/>
              </w:rPr>
              <w:t>Fiji Engaging Youths in Organic - A Farm to Table Approach</w:t>
            </w:r>
            <w:r w:rsidR="001F7AC8" w:rsidRPr="00312BAD">
              <w:rPr>
                <w:rFonts w:asciiTheme="minorHAnsi" w:hAnsiTheme="minorHAnsi"/>
                <w:color w:val="000000" w:themeColor="text1"/>
              </w:rPr>
              <w:t>, o</w:t>
            </w:r>
            <w:r w:rsidRPr="00312BAD">
              <w:rPr>
                <w:rFonts w:asciiTheme="minorHAnsi" w:hAnsiTheme="minorHAnsi"/>
                <w:color w:val="000000" w:themeColor="text1"/>
              </w:rPr>
              <w:t>ut of 205 farmers that attended the Organic Awareness Meeting, 174 had completed Organic Interest Registration form.  81 (39%) of these young farmers have been trained and now connected to farm</w:t>
            </w:r>
            <w:r w:rsidR="001F7AC8" w:rsidRPr="00312BAD">
              <w:rPr>
                <w:rFonts w:asciiTheme="minorHAnsi" w:hAnsiTheme="minorHAnsi"/>
                <w:color w:val="000000" w:themeColor="text1"/>
              </w:rPr>
              <w:t>-</w:t>
            </w:r>
            <w:r w:rsidRPr="00312BAD">
              <w:rPr>
                <w:rFonts w:asciiTheme="minorHAnsi" w:hAnsiTheme="minorHAnsi"/>
                <w:color w:val="000000" w:themeColor="text1"/>
              </w:rPr>
              <w:t>to</w:t>
            </w:r>
            <w:r w:rsidR="001F7AC8" w:rsidRPr="00312BAD">
              <w:rPr>
                <w:rFonts w:asciiTheme="minorHAnsi" w:hAnsiTheme="minorHAnsi"/>
                <w:color w:val="000000" w:themeColor="text1"/>
              </w:rPr>
              <w:t>-</w:t>
            </w:r>
            <w:r w:rsidRPr="00312BAD">
              <w:rPr>
                <w:rFonts w:asciiTheme="minorHAnsi" w:hAnsiTheme="minorHAnsi"/>
                <w:color w:val="000000" w:themeColor="text1"/>
              </w:rPr>
              <w:t xml:space="preserve"> table supply chain.</w:t>
            </w:r>
          </w:p>
          <w:p w14:paraId="608CD9C0" w14:textId="77777777" w:rsidR="00D93287" w:rsidRPr="00312BAD" w:rsidRDefault="001F7AC8" w:rsidP="00257D02">
            <w:pPr>
              <w:pStyle w:val="BodyText2"/>
              <w:numPr>
                <w:ilvl w:val="0"/>
                <w:numId w:val="48"/>
              </w:numPr>
              <w:jc w:val="both"/>
              <w:rPr>
                <w:rFonts w:asciiTheme="minorHAnsi" w:hAnsiTheme="minorHAnsi"/>
                <w:color w:val="000000" w:themeColor="text1"/>
              </w:rPr>
            </w:pPr>
            <w:r w:rsidRPr="00312BAD">
              <w:rPr>
                <w:rFonts w:asciiTheme="minorHAnsi" w:hAnsiTheme="minorHAnsi"/>
                <w:color w:val="000000" w:themeColor="text1"/>
              </w:rPr>
              <w:t xml:space="preserve">With regards to the </w:t>
            </w:r>
            <w:r w:rsidR="00D93287" w:rsidRPr="00312BAD">
              <w:rPr>
                <w:rFonts w:asciiTheme="minorHAnsi" w:hAnsiTheme="minorHAnsi"/>
                <w:color w:val="000000" w:themeColor="text1"/>
              </w:rPr>
              <w:t>empowerment of women in the informal sector</w:t>
            </w:r>
            <w:r w:rsidRPr="00312BAD">
              <w:rPr>
                <w:rFonts w:asciiTheme="minorHAnsi" w:hAnsiTheme="minorHAnsi"/>
                <w:color w:val="000000" w:themeColor="text1"/>
              </w:rPr>
              <w:t>, in</w:t>
            </w:r>
            <w:r w:rsidR="00D93287" w:rsidRPr="00312BAD">
              <w:rPr>
                <w:rFonts w:asciiTheme="minorHAnsi" w:hAnsiTheme="minorHAnsi"/>
                <w:color w:val="000000" w:themeColor="text1"/>
              </w:rPr>
              <w:t xml:space="preserve"> collaboration with PIPSO and Pacific Cooperation Foundation, New Zealand, a pilot </w:t>
            </w:r>
            <w:r w:rsidR="00A8005F" w:rsidRPr="00312BAD">
              <w:rPr>
                <w:rFonts w:asciiTheme="minorHAnsi" w:hAnsiTheme="minorHAnsi"/>
                <w:color w:val="000000" w:themeColor="text1"/>
              </w:rPr>
              <w:t xml:space="preserve">of </w:t>
            </w:r>
            <w:r w:rsidR="00D93287" w:rsidRPr="00312BAD">
              <w:rPr>
                <w:rFonts w:asciiTheme="minorHAnsi" w:hAnsiTheme="minorHAnsi"/>
                <w:color w:val="000000" w:themeColor="text1"/>
              </w:rPr>
              <w:t>10 week “</w:t>
            </w:r>
            <w:r w:rsidR="00D93287" w:rsidRPr="00312BAD">
              <w:rPr>
                <w:rFonts w:asciiTheme="minorHAnsi" w:hAnsiTheme="minorHAnsi"/>
                <w:i/>
                <w:color w:val="000000" w:themeColor="text1"/>
              </w:rPr>
              <w:t>Grow Pacific E</w:t>
            </w:r>
            <w:r w:rsidRPr="00312BAD">
              <w:rPr>
                <w:rFonts w:asciiTheme="minorHAnsi" w:hAnsiTheme="minorHAnsi"/>
                <w:i/>
                <w:color w:val="000000" w:themeColor="text1"/>
              </w:rPr>
              <w:t>-</w:t>
            </w:r>
            <w:r w:rsidR="00D93287" w:rsidRPr="00312BAD">
              <w:rPr>
                <w:rFonts w:asciiTheme="minorHAnsi" w:hAnsiTheme="minorHAnsi"/>
                <w:i/>
                <w:color w:val="000000" w:themeColor="text1"/>
              </w:rPr>
              <w:t>commerce programme</w:t>
            </w:r>
            <w:r w:rsidR="00D93287" w:rsidRPr="00312BAD">
              <w:rPr>
                <w:rFonts w:asciiTheme="minorHAnsi" w:hAnsiTheme="minorHAnsi"/>
                <w:color w:val="000000" w:themeColor="text1"/>
              </w:rPr>
              <w:t>” was launched with training on digital platforms to grow online sales, building market data base and managing digital traffic and social media to maximize profitability and customer satisfaction. 12 women entrepreneurs from 5 countries (Fiji, Samoa, Solomon Islands, Tonga, Vanuatu) completed the training and are currently being supported in d</w:t>
            </w:r>
            <w:r w:rsidR="00065EFA" w:rsidRPr="00312BAD">
              <w:rPr>
                <w:rFonts w:asciiTheme="minorHAnsi" w:hAnsiTheme="minorHAnsi"/>
                <w:color w:val="000000" w:themeColor="text1"/>
              </w:rPr>
              <w:t>igitizing their businesses. T</w:t>
            </w:r>
            <w:r w:rsidR="00D93287" w:rsidRPr="00312BAD">
              <w:rPr>
                <w:rFonts w:asciiTheme="minorHAnsi" w:hAnsiTheme="minorHAnsi"/>
                <w:color w:val="000000" w:themeColor="text1"/>
              </w:rPr>
              <w:t>he P</w:t>
            </w:r>
            <w:r w:rsidR="00582355">
              <w:rPr>
                <w:rFonts w:asciiTheme="minorHAnsi" w:hAnsiTheme="minorHAnsi"/>
                <w:color w:val="000000" w:themeColor="text1"/>
              </w:rPr>
              <w:t>aO</w:t>
            </w:r>
            <w:r w:rsidR="0027237C">
              <w:rPr>
                <w:rFonts w:asciiTheme="minorHAnsi" w:hAnsiTheme="minorHAnsi"/>
                <w:color w:val="000000" w:themeColor="text1"/>
              </w:rPr>
              <w:t xml:space="preserve"> </w:t>
            </w:r>
            <w:r w:rsidR="00D93287" w:rsidRPr="00312BAD">
              <w:rPr>
                <w:rFonts w:asciiTheme="minorHAnsi" w:hAnsiTheme="minorHAnsi"/>
                <w:color w:val="000000" w:themeColor="text1"/>
              </w:rPr>
              <w:t xml:space="preserve">under the Market for Change programme in collaboration with UN Women has been supporting women in the informal sector as market vendors, to (a) develop financial literacy and business skills; (b) manage money and book-keeping; and (c) access to financial services including usage of digital financial products like </w:t>
            </w:r>
            <w:r w:rsidR="00D93287" w:rsidRPr="00312BAD">
              <w:rPr>
                <w:rFonts w:asciiTheme="minorHAnsi" w:hAnsiTheme="minorHAnsi"/>
                <w:i/>
                <w:color w:val="000000" w:themeColor="text1"/>
              </w:rPr>
              <w:t>“Mpaisa”.</w:t>
            </w:r>
            <w:r w:rsidR="00D93287" w:rsidRPr="00312BAD">
              <w:rPr>
                <w:rFonts w:asciiTheme="minorHAnsi" w:hAnsiTheme="minorHAnsi"/>
                <w:color w:val="000000" w:themeColor="text1"/>
              </w:rPr>
              <w:t xml:space="preserve"> Results from internal evaluation have shown significant increase in women market vendors’ skills in managing their personal and business funds but awareness on other financial products like micro insurance and micro savings is still tacking. The P</w:t>
            </w:r>
            <w:r w:rsidR="007D1B96">
              <w:rPr>
                <w:rFonts w:asciiTheme="minorHAnsi" w:hAnsiTheme="minorHAnsi"/>
                <w:color w:val="000000" w:themeColor="text1"/>
              </w:rPr>
              <w:t>a</w:t>
            </w:r>
            <w:r w:rsidR="00D93287" w:rsidRPr="00312BAD">
              <w:rPr>
                <w:rFonts w:asciiTheme="minorHAnsi" w:hAnsiTheme="minorHAnsi"/>
                <w:color w:val="000000" w:themeColor="text1"/>
              </w:rPr>
              <w:t>O is working closely with the DFAT-funded Pacific Financial Inclusion Programme (PFIP) on the feasibility of such products and customizing them to suit the needs of market vendors.</w:t>
            </w:r>
          </w:p>
          <w:p w14:paraId="168A96C2" w14:textId="77777777" w:rsidR="00437598" w:rsidRPr="00312BAD" w:rsidRDefault="008021A5" w:rsidP="00257D02">
            <w:pPr>
              <w:widowControl/>
              <w:numPr>
                <w:ilvl w:val="0"/>
                <w:numId w:val="48"/>
              </w:numPr>
              <w:contextualSpacing/>
              <w:jc w:val="both"/>
              <w:rPr>
                <w:rFonts w:asciiTheme="minorHAnsi" w:hAnsiTheme="minorHAnsi"/>
                <w:color w:val="000000" w:themeColor="text1"/>
                <w:sz w:val="20"/>
              </w:rPr>
            </w:pPr>
            <w:r w:rsidRPr="00312BAD">
              <w:rPr>
                <w:rFonts w:asciiTheme="minorHAnsi" w:hAnsiTheme="minorHAnsi"/>
                <w:color w:val="000000" w:themeColor="text1"/>
                <w:sz w:val="20"/>
              </w:rPr>
              <w:t>As founding member of Trade Pasifika (TP), the P</w:t>
            </w:r>
            <w:r w:rsidR="00466704" w:rsidRPr="00312BAD">
              <w:rPr>
                <w:rFonts w:asciiTheme="minorHAnsi" w:hAnsiTheme="minorHAnsi"/>
                <w:color w:val="000000" w:themeColor="text1"/>
                <w:sz w:val="20"/>
              </w:rPr>
              <w:t>acific Office</w:t>
            </w:r>
            <w:r w:rsidRPr="00312BAD">
              <w:rPr>
                <w:rFonts w:asciiTheme="minorHAnsi" w:hAnsiTheme="minorHAnsi"/>
                <w:color w:val="000000" w:themeColor="text1"/>
                <w:sz w:val="20"/>
              </w:rPr>
              <w:t xml:space="preserve"> collaborates with PIPSO and provide</w:t>
            </w:r>
            <w:r w:rsidR="00110213" w:rsidRPr="00312BAD">
              <w:rPr>
                <w:rFonts w:asciiTheme="minorHAnsi" w:hAnsiTheme="minorHAnsi"/>
                <w:color w:val="000000" w:themeColor="text1"/>
                <w:sz w:val="20"/>
              </w:rPr>
              <w:t>d</w:t>
            </w:r>
            <w:r w:rsidRPr="00312BAD">
              <w:rPr>
                <w:rFonts w:asciiTheme="minorHAnsi" w:hAnsiTheme="minorHAnsi"/>
                <w:color w:val="000000" w:themeColor="text1"/>
                <w:sz w:val="20"/>
              </w:rPr>
              <w:t xml:space="preserve"> support in organizing TP trade shows</w:t>
            </w:r>
            <w:r w:rsidR="00312BAD">
              <w:rPr>
                <w:rFonts w:asciiTheme="minorHAnsi" w:hAnsiTheme="minorHAnsi"/>
                <w:color w:val="000000" w:themeColor="text1"/>
                <w:sz w:val="20"/>
              </w:rPr>
              <w:t xml:space="preserve"> for p</w:t>
            </w:r>
            <w:r w:rsidR="00FA70A6">
              <w:rPr>
                <w:rFonts w:asciiTheme="minorHAnsi" w:hAnsiTheme="minorHAnsi"/>
                <w:color w:val="000000" w:themeColor="text1"/>
                <w:sz w:val="20"/>
              </w:rPr>
              <w:t>rivate sector participants</w:t>
            </w:r>
            <w:r w:rsidR="00312BAD">
              <w:rPr>
                <w:rFonts w:asciiTheme="minorHAnsi" w:hAnsiTheme="minorHAnsi"/>
                <w:color w:val="000000" w:themeColor="text1"/>
                <w:sz w:val="20"/>
              </w:rPr>
              <w:t xml:space="preserve"> of which</w:t>
            </w:r>
            <w:r w:rsidR="00FA70A6">
              <w:rPr>
                <w:rFonts w:asciiTheme="minorHAnsi" w:hAnsiTheme="minorHAnsi"/>
                <w:color w:val="000000" w:themeColor="text1"/>
                <w:sz w:val="20"/>
              </w:rPr>
              <w:t xml:space="preserve"> 25% </w:t>
            </w:r>
            <w:r w:rsidR="00312BAD">
              <w:rPr>
                <w:rFonts w:asciiTheme="minorHAnsi" w:hAnsiTheme="minorHAnsi"/>
                <w:color w:val="000000" w:themeColor="text1"/>
                <w:sz w:val="20"/>
              </w:rPr>
              <w:t xml:space="preserve">were </w:t>
            </w:r>
            <w:r w:rsidR="00FA70A6">
              <w:rPr>
                <w:rFonts w:asciiTheme="minorHAnsi" w:hAnsiTheme="minorHAnsi"/>
                <w:color w:val="000000" w:themeColor="text1"/>
                <w:sz w:val="20"/>
              </w:rPr>
              <w:t>women and 15% youth</w:t>
            </w:r>
            <w:r w:rsidR="00312BAD">
              <w:rPr>
                <w:rFonts w:asciiTheme="minorHAnsi" w:hAnsiTheme="minorHAnsi"/>
                <w:color w:val="000000" w:themeColor="text1"/>
                <w:sz w:val="20"/>
              </w:rPr>
              <w:t>;</w:t>
            </w:r>
            <w:r w:rsidR="0062344C">
              <w:rPr>
                <w:rFonts w:asciiTheme="minorHAnsi" w:hAnsiTheme="minorHAnsi"/>
                <w:color w:val="000000" w:themeColor="text1"/>
                <w:sz w:val="20"/>
              </w:rPr>
              <w:t xml:space="preserve"> </w:t>
            </w:r>
            <w:r w:rsidR="00312BAD">
              <w:rPr>
                <w:rFonts w:asciiTheme="minorHAnsi" w:hAnsiTheme="minorHAnsi"/>
                <w:color w:val="000000" w:themeColor="text1"/>
                <w:sz w:val="20"/>
              </w:rPr>
              <w:t xml:space="preserve">and in </w:t>
            </w:r>
            <w:r w:rsidR="0062344C">
              <w:rPr>
                <w:rFonts w:asciiTheme="minorHAnsi" w:hAnsiTheme="minorHAnsi"/>
                <w:color w:val="000000" w:themeColor="text1"/>
                <w:sz w:val="20"/>
              </w:rPr>
              <w:t>2016</w:t>
            </w:r>
            <w:r w:rsidR="00312BAD">
              <w:rPr>
                <w:rFonts w:asciiTheme="minorHAnsi" w:hAnsiTheme="minorHAnsi"/>
                <w:color w:val="000000" w:themeColor="text1"/>
                <w:sz w:val="20"/>
              </w:rPr>
              <w:t xml:space="preserve">, for </w:t>
            </w:r>
            <w:r w:rsidR="00724E36">
              <w:rPr>
                <w:rFonts w:asciiTheme="minorHAnsi" w:hAnsiTheme="minorHAnsi"/>
                <w:color w:val="000000" w:themeColor="text1"/>
                <w:sz w:val="20"/>
              </w:rPr>
              <w:t>12 business</w:t>
            </w:r>
            <w:r w:rsidR="00A8337D">
              <w:rPr>
                <w:rFonts w:asciiTheme="minorHAnsi" w:hAnsiTheme="minorHAnsi"/>
                <w:color w:val="000000" w:themeColor="text1"/>
                <w:sz w:val="20"/>
              </w:rPr>
              <w:t>es</w:t>
            </w:r>
            <w:r w:rsidR="00724E36">
              <w:rPr>
                <w:rFonts w:asciiTheme="minorHAnsi" w:hAnsiTheme="minorHAnsi"/>
                <w:color w:val="000000" w:themeColor="text1"/>
                <w:sz w:val="20"/>
              </w:rPr>
              <w:t xml:space="preserve"> across the pacific </w:t>
            </w:r>
            <w:r w:rsidR="00FA70A6">
              <w:rPr>
                <w:rFonts w:asciiTheme="minorHAnsi" w:hAnsiTheme="minorHAnsi"/>
                <w:color w:val="000000" w:themeColor="text1"/>
                <w:sz w:val="20"/>
              </w:rPr>
              <w:t>which included about 25% women</w:t>
            </w:r>
            <w:r w:rsidR="00312BAD">
              <w:rPr>
                <w:rFonts w:asciiTheme="minorHAnsi" w:hAnsiTheme="minorHAnsi"/>
                <w:color w:val="000000" w:themeColor="text1"/>
                <w:sz w:val="20"/>
              </w:rPr>
              <w:t>.</w:t>
            </w:r>
          </w:p>
          <w:p w14:paraId="5DC65B8E" w14:textId="0FF73187" w:rsidR="00B10D90" w:rsidRPr="00312BAD" w:rsidRDefault="00B10D90" w:rsidP="00257D02">
            <w:pPr>
              <w:widowControl/>
              <w:numPr>
                <w:ilvl w:val="0"/>
                <w:numId w:val="48"/>
              </w:numPr>
              <w:contextualSpacing/>
              <w:jc w:val="both"/>
              <w:rPr>
                <w:rFonts w:asciiTheme="minorHAnsi" w:hAnsiTheme="minorHAnsi"/>
                <w:color w:val="000000" w:themeColor="text1"/>
                <w:sz w:val="20"/>
              </w:rPr>
            </w:pPr>
            <w:r w:rsidRPr="00312BAD">
              <w:rPr>
                <w:rFonts w:asciiTheme="minorHAnsi" w:hAnsiTheme="minorHAnsi"/>
                <w:color w:val="000000" w:themeColor="text1"/>
                <w:sz w:val="20"/>
              </w:rPr>
              <w:lastRenderedPageBreak/>
              <w:t>UNDP provided technical assistance to Fiji on conducting Development Finance Assessments to capture internal and external resource flows. The Assessment has been completed and awaiting endorsement by the Government. UNDP PO has initiated a similar study in RMI</w:t>
            </w:r>
            <w:r w:rsidR="0062344C">
              <w:rPr>
                <w:rFonts w:asciiTheme="minorHAnsi" w:hAnsiTheme="minorHAnsi"/>
                <w:color w:val="000000" w:themeColor="text1"/>
                <w:sz w:val="20"/>
              </w:rPr>
              <w:t xml:space="preserve"> (RMI consultant</w:t>
            </w:r>
            <w:r w:rsidR="00B10F49">
              <w:rPr>
                <w:rFonts w:asciiTheme="minorHAnsi" w:hAnsiTheme="minorHAnsi"/>
                <w:color w:val="000000" w:themeColor="text1"/>
                <w:sz w:val="20"/>
              </w:rPr>
              <w:t xml:space="preserve"> has been identified and work will start mid 2017)</w:t>
            </w:r>
            <w:r w:rsidRPr="00312BAD">
              <w:rPr>
                <w:rFonts w:asciiTheme="minorHAnsi" w:hAnsiTheme="minorHAnsi"/>
                <w:color w:val="000000" w:themeColor="text1"/>
                <w:sz w:val="20"/>
              </w:rPr>
              <w:t>, while Tonga</w:t>
            </w:r>
            <w:r w:rsidR="00496084">
              <w:rPr>
                <w:rFonts w:asciiTheme="minorHAnsi" w:hAnsiTheme="minorHAnsi"/>
                <w:color w:val="000000" w:themeColor="text1"/>
                <w:sz w:val="20"/>
              </w:rPr>
              <w:t xml:space="preserve"> </w:t>
            </w:r>
            <w:r w:rsidR="00B10F49">
              <w:rPr>
                <w:rFonts w:asciiTheme="minorHAnsi" w:hAnsiTheme="minorHAnsi"/>
                <w:color w:val="000000" w:themeColor="text1"/>
                <w:sz w:val="20"/>
              </w:rPr>
              <w:t xml:space="preserve">(delays in Tonga DFA will now be conducted in Samoa – </w:t>
            </w:r>
            <w:r w:rsidR="0062344C">
              <w:rPr>
                <w:rFonts w:asciiTheme="minorHAnsi" w:hAnsiTheme="minorHAnsi"/>
                <w:color w:val="000000" w:themeColor="text1"/>
                <w:sz w:val="20"/>
              </w:rPr>
              <w:t>scheduled</w:t>
            </w:r>
            <w:r w:rsidR="00B10F49">
              <w:rPr>
                <w:rFonts w:asciiTheme="minorHAnsi" w:hAnsiTheme="minorHAnsi"/>
                <w:color w:val="000000" w:themeColor="text1"/>
                <w:sz w:val="20"/>
              </w:rPr>
              <w:t xml:space="preserve"> to </w:t>
            </w:r>
            <w:r w:rsidR="0062344C">
              <w:rPr>
                <w:rFonts w:asciiTheme="minorHAnsi" w:hAnsiTheme="minorHAnsi"/>
                <w:color w:val="000000" w:themeColor="text1"/>
                <w:sz w:val="20"/>
              </w:rPr>
              <w:t>begin</w:t>
            </w:r>
            <w:r w:rsidR="00B10F49">
              <w:rPr>
                <w:rFonts w:asciiTheme="minorHAnsi" w:hAnsiTheme="minorHAnsi"/>
                <w:color w:val="000000" w:themeColor="text1"/>
                <w:sz w:val="20"/>
              </w:rPr>
              <w:t xml:space="preserve"> in 2</w:t>
            </w:r>
            <w:r w:rsidR="00B10F49" w:rsidRPr="00312BAD">
              <w:rPr>
                <w:rFonts w:asciiTheme="minorHAnsi" w:hAnsiTheme="minorHAnsi"/>
                <w:color w:val="000000" w:themeColor="text1"/>
                <w:sz w:val="20"/>
                <w:vertAlign w:val="superscript"/>
              </w:rPr>
              <w:t>nd</w:t>
            </w:r>
            <w:r w:rsidR="00B10F49">
              <w:rPr>
                <w:rFonts w:asciiTheme="minorHAnsi" w:hAnsiTheme="minorHAnsi"/>
                <w:color w:val="000000" w:themeColor="text1"/>
                <w:sz w:val="20"/>
              </w:rPr>
              <w:t xml:space="preserve"> half of 2017)</w:t>
            </w:r>
            <w:r w:rsidRPr="00312BAD">
              <w:rPr>
                <w:rFonts w:asciiTheme="minorHAnsi" w:hAnsiTheme="minorHAnsi"/>
                <w:color w:val="000000" w:themeColor="text1"/>
                <w:sz w:val="20"/>
              </w:rPr>
              <w:t xml:space="preserve"> and few more countries have shown keen interest in DFAs. At the regional level, UNDP supported </w:t>
            </w:r>
            <w:r w:rsidR="00312BAD">
              <w:rPr>
                <w:rFonts w:asciiTheme="minorHAnsi" w:hAnsiTheme="minorHAnsi"/>
                <w:color w:val="000000" w:themeColor="text1"/>
                <w:sz w:val="20"/>
              </w:rPr>
              <w:t xml:space="preserve">the Pacific Island </w:t>
            </w:r>
            <w:r w:rsidR="00173C07">
              <w:rPr>
                <w:rFonts w:asciiTheme="minorHAnsi" w:hAnsiTheme="minorHAnsi"/>
                <w:color w:val="000000" w:themeColor="text1"/>
                <w:sz w:val="20"/>
              </w:rPr>
              <w:t xml:space="preserve">Forum </w:t>
            </w:r>
            <w:r w:rsidR="00173C07" w:rsidRPr="00312BAD">
              <w:rPr>
                <w:rFonts w:asciiTheme="minorHAnsi" w:hAnsiTheme="minorHAnsi"/>
                <w:color w:val="000000" w:themeColor="text1"/>
                <w:sz w:val="20"/>
              </w:rPr>
              <w:t>in</w:t>
            </w:r>
            <w:r w:rsidRPr="00312BAD">
              <w:rPr>
                <w:rFonts w:asciiTheme="minorHAnsi" w:hAnsiTheme="minorHAnsi"/>
                <w:color w:val="000000" w:themeColor="text1"/>
                <w:sz w:val="20"/>
              </w:rPr>
              <w:t xml:space="preserve"> the design and implementation of the SDG Roadmap, the selection of regional SDG indicators and means of implementation of SDGs in the Pacific</w:t>
            </w:r>
            <w:r w:rsidR="00C3062E">
              <w:rPr>
                <w:rFonts w:asciiTheme="minorHAnsi" w:hAnsiTheme="minorHAnsi"/>
                <w:color w:val="000000" w:themeColor="text1"/>
                <w:sz w:val="20"/>
              </w:rPr>
              <w:t>.</w:t>
            </w:r>
          </w:p>
        </w:tc>
      </w:tr>
      <w:tr w:rsidR="003B037A" w:rsidRPr="00DC7354" w14:paraId="1740E1DC" w14:textId="77777777" w:rsidTr="00EF2695">
        <w:tc>
          <w:tcPr>
            <w:tcW w:w="3060" w:type="dxa"/>
            <w:shd w:val="clear" w:color="auto" w:fill="95B3D7" w:themeFill="accent1" w:themeFillTint="99"/>
          </w:tcPr>
          <w:p w14:paraId="7E5B5702" w14:textId="6F061689" w:rsidR="003B037A" w:rsidRPr="00860C13" w:rsidRDefault="0027237C" w:rsidP="00EF2695">
            <w:pPr>
              <w:pStyle w:val="BodyText2"/>
              <w:jc w:val="both"/>
              <w:rPr>
                <w:rFonts w:asciiTheme="minorHAnsi" w:hAnsiTheme="minorHAnsi"/>
                <w:b/>
                <w:color w:val="000000" w:themeColor="text1"/>
              </w:rPr>
            </w:pPr>
            <w:r>
              <w:rPr>
                <w:rFonts w:asciiTheme="minorHAnsi" w:hAnsiTheme="minorHAnsi"/>
                <w:b/>
                <w:color w:val="000000" w:themeColor="text1"/>
              </w:rPr>
              <w:lastRenderedPageBreak/>
              <w:t>SRPD</w:t>
            </w:r>
            <w:r w:rsidR="00EF2695" w:rsidRPr="00860C13">
              <w:rPr>
                <w:rFonts w:asciiTheme="minorHAnsi" w:hAnsiTheme="minorHAnsi"/>
                <w:b/>
                <w:color w:val="000000" w:themeColor="text1"/>
              </w:rPr>
              <w:t xml:space="preserve"> Outcome </w:t>
            </w:r>
            <w:r>
              <w:rPr>
                <w:rFonts w:asciiTheme="minorHAnsi" w:hAnsiTheme="minorHAnsi"/>
                <w:b/>
                <w:color w:val="000000" w:themeColor="text1"/>
              </w:rPr>
              <w:t>2</w:t>
            </w:r>
          </w:p>
          <w:p w14:paraId="1125DF3E" w14:textId="579B66CD" w:rsidR="00EF2695" w:rsidRPr="0058303C" w:rsidRDefault="00EF2695" w:rsidP="00EF2695">
            <w:pPr>
              <w:pStyle w:val="BodyText2"/>
              <w:jc w:val="both"/>
              <w:rPr>
                <w:rFonts w:asciiTheme="minorHAnsi" w:hAnsiTheme="minorHAnsi"/>
                <w:b/>
                <w:color w:val="000000" w:themeColor="text1"/>
              </w:rPr>
            </w:pPr>
          </w:p>
          <w:p w14:paraId="74F1F635" w14:textId="77777777" w:rsidR="00BB4336" w:rsidRPr="0058303C" w:rsidRDefault="00BB4336" w:rsidP="00EF2695">
            <w:pPr>
              <w:pStyle w:val="BodyText2"/>
              <w:jc w:val="both"/>
              <w:rPr>
                <w:rFonts w:asciiTheme="minorHAnsi" w:hAnsiTheme="minorHAnsi"/>
                <w:b/>
                <w:color w:val="000000" w:themeColor="text1"/>
              </w:rPr>
            </w:pPr>
          </w:p>
          <w:p w14:paraId="017F414D" w14:textId="77777777" w:rsidR="00EF2695" w:rsidRPr="0058303C" w:rsidRDefault="00EF2695" w:rsidP="00EF2695">
            <w:pPr>
              <w:pStyle w:val="BodyText2"/>
              <w:jc w:val="both"/>
              <w:rPr>
                <w:rFonts w:asciiTheme="minorHAnsi" w:hAnsiTheme="minorHAnsi"/>
                <w:color w:val="FF0000"/>
              </w:rPr>
            </w:pPr>
            <w:r w:rsidRPr="0058303C">
              <w:rPr>
                <w:rFonts w:asciiTheme="minorHAnsi" w:hAnsiTheme="minorHAnsi"/>
                <w:color w:val="000000" w:themeColor="text1"/>
              </w:rPr>
              <w:t>Regional, national, local and traditional governance systems are strengthened, respecting and upholding human rights, especially women’s rights, in line with international standards.</w:t>
            </w:r>
          </w:p>
        </w:tc>
        <w:tc>
          <w:tcPr>
            <w:tcW w:w="1530" w:type="dxa"/>
            <w:gridSpan w:val="2"/>
            <w:shd w:val="clear" w:color="auto" w:fill="auto"/>
          </w:tcPr>
          <w:p w14:paraId="09F8C5C6" w14:textId="34F2FB99" w:rsidR="003B037A" w:rsidRPr="0058303C" w:rsidRDefault="003122CE">
            <w:pPr>
              <w:pStyle w:val="BodyText2"/>
              <w:rPr>
                <w:rFonts w:asciiTheme="minorHAnsi" w:hAnsiTheme="minorHAnsi"/>
              </w:rPr>
            </w:pPr>
            <w:r>
              <w:rPr>
                <w:rFonts w:asciiTheme="minorHAnsi" w:hAnsiTheme="minorHAnsi"/>
              </w:rPr>
              <w:t>See section III, page 11</w:t>
            </w:r>
          </w:p>
        </w:tc>
        <w:tc>
          <w:tcPr>
            <w:tcW w:w="3960" w:type="dxa"/>
            <w:tcBorders>
              <w:left w:val="single" w:sz="4" w:space="0" w:color="auto"/>
            </w:tcBorders>
          </w:tcPr>
          <w:p w14:paraId="27C7E325" w14:textId="77777777" w:rsidR="00D701C0" w:rsidRPr="00312BAD" w:rsidRDefault="00D701C0" w:rsidP="0059123E">
            <w:pPr>
              <w:pStyle w:val="BodyText2"/>
              <w:numPr>
                <w:ilvl w:val="0"/>
                <w:numId w:val="36"/>
              </w:numPr>
              <w:rPr>
                <w:rFonts w:asciiTheme="minorHAnsi" w:hAnsiTheme="minorHAnsi"/>
                <w:color w:val="000000" w:themeColor="text1"/>
              </w:rPr>
            </w:pPr>
            <w:r w:rsidRPr="00312BAD">
              <w:rPr>
                <w:rFonts w:asciiTheme="minorHAnsi" w:hAnsiTheme="minorHAnsi"/>
                <w:color w:val="000000" w:themeColor="text1"/>
              </w:rPr>
              <w:t>Number of countries that pass legislation and introduce policies to increase parliamentary accountability and transparency and address key human rights and anti-corruption issues; number of countries that develop service delivery mechanisms to ensure greater equity and inclusion of the most vulnerable in the population</w:t>
            </w:r>
          </w:p>
          <w:p w14:paraId="3A61D9D9" w14:textId="77777777" w:rsidR="00D701C0" w:rsidRPr="00312BAD" w:rsidRDefault="00D701C0" w:rsidP="00D701C0">
            <w:pPr>
              <w:pStyle w:val="BodyText2"/>
              <w:rPr>
                <w:rFonts w:asciiTheme="minorHAnsi" w:hAnsiTheme="minorHAnsi"/>
                <w:color w:val="000000" w:themeColor="text1"/>
              </w:rPr>
            </w:pPr>
          </w:p>
          <w:p w14:paraId="56EF1C08" w14:textId="77777777" w:rsidR="00D701C0" w:rsidRPr="00312BAD" w:rsidRDefault="00D701C0" w:rsidP="00D701C0">
            <w:pPr>
              <w:pStyle w:val="BodyText2"/>
              <w:rPr>
                <w:rFonts w:asciiTheme="minorHAnsi" w:hAnsiTheme="minorHAnsi"/>
                <w:color w:val="000000" w:themeColor="text1"/>
              </w:rPr>
            </w:pPr>
            <w:r w:rsidRPr="00312BAD">
              <w:rPr>
                <w:rFonts w:asciiTheme="minorHAnsi" w:hAnsiTheme="minorHAnsi"/>
                <w:color w:val="000000" w:themeColor="text1"/>
              </w:rPr>
              <w:t>Baseline: 2011 or latest available data</w:t>
            </w:r>
          </w:p>
          <w:p w14:paraId="2E1337EC" w14:textId="77777777" w:rsidR="000B698F" w:rsidRPr="00312BAD" w:rsidRDefault="00D701C0" w:rsidP="00D701C0">
            <w:pPr>
              <w:pStyle w:val="BodyText2"/>
              <w:jc w:val="both"/>
              <w:rPr>
                <w:rFonts w:asciiTheme="minorHAnsi" w:hAnsiTheme="minorHAnsi"/>
                <w:color w:val="000000" w:themeColor="text1"/>
              </w:rPr>
            </w:pPr>
            <w:r w:rsidRPr="00312BAD">
              <w:rPr>
                <w:rFonts w:asciiTheme="minorHAnsi" w:hAnsiTheme="minorHAnsi"/>
                <w:color w:val="000000" w:themeColor="text1"/>
              </w:rPr>
              <w:t>Target: To be determined, on country basis</w:t>
            </w:r>
          </w:p>
        </w:tc>
        <w:tc>
          <w:tcPr>
            <w:tcW w:w="5490" w:type="dxa"/>
            <w:shd w:val="clear" w:color="auto" w:fill="auto"/>
          </w:tcPr>
          <w:p w14:paraId="084B910C" w14:textId="77777777" w:rsidR="0061097B" w:rsidRPr="00312BAD" w:rsidRDefault="0061097B" w:rsidP="00663607">
            <w:pPr>
              <w:pStyle w:val="BodyText2"/>
              <w:numPr>
                <w:ilvl w:val="0"/>
                <w:numId w:val="45"/>
              </w:numPr>
              <w:jc w:val="both"/>
              <w:rPr>
                <w:rStyle w:val="answertext"/>
                <w:rFonts w:asciiTheme="minorHAnsi" w:hAnsiTheme="minorHAnsi"/>
                <w:i/>
                <w:color w:val="000000" w:themeColor="text1"/>
              </w:rPr>
            </w:pPr>
            <w:r w:rsidRPr="00C3062E">
              <w:rPr>
                <w:rStyle w:val="answertext"/>
                <w:rFonts w:asciiTheme="minorHAnsi" w:hAnsiTheme="minorHAnsi"/>
                <w:color w:val="000000" w:themeColor="text1"/>
              </w:rPr>
              <w:t>In Samoa</w:t>
            </w:r>
            <w:r w:rsidRPr="00312BAD">
              <w:rPr>
                <w:rStyle w:val="answertext"/>
                <w:rFonts w:asciiTheme="minorHAnsi" w:hAnsiTheme="minorHAnsi"/>
                <w:color w:val="000000" w:themeColor="text1"/>
              </w:rPr>
              <w:t xml:space="preserve">, the office of the Clerk of the Legislative assembly has issued a number of standing orders that will lead to increased transparency of the parliament by making use of an online system for publishing parliamentary documents. This </w:t>
            </w:r>
            <w:r w:rsidR="007B2A37" w:rsidRPr="00312BAD">
              <w:rPr>
                <w:rStyle w:val="answertext"/>
                <w:rFonts w:asciiTheme="minorHAnsi" w:hAnsiTheme="minorHAnsi"/>
                <w:color w:val="000000" w:themeColor="text1"/>
              </w:rPr>
              <w:t xml:space="preserve">has improved </w:t>
            </w:r>
            <w:r w:rsidRPr="00312BAD">
              <w:rPr>
                <w:rStyle w:val="answertext"/>
                <w:rFonts w:asciiTheme="minorHAnsi" w:hAnsiTheme="minorHAnsi"/>
                <w:color w:val="000000" w:themeColor="text1"/>
              </w:rPr>
              <w:t xml:space="preserve">improve the accountability of the assembly both in substantive quality and timeliness of statements. </w:t>
            </w:r>
          </w:p>
          <w:p w14:paraId="56081D19" w14:textId="02513BEA" w:rsidR="0059123E" w:rsidRPr="00312BAD" w:rsidRDefault="00A67A21" w:rsidP="00B61FFB">
            <w:pPr>
              <w:pStyle w:val="BodyText2"/>
              <w:numPr>
                <w:ilvl w:val="0"/>
                <w:numId w:val="45"/>
              </w:numPr>
              <w:jc w:val="both"/>
              <w:rPr>
                <w:rStyle w:val="answertext"/>
                <w:rFonts w:asciiTheme="minorHAnsi" w:hAnsiTheme="minorHAnsi"/>
                <w:i/>
                <w:color w:val="000000" w:themeColor="text1"/>
              </w:rPr>
            </w:pPr>
            <w:r w:rsidRPr="00312BAD">
              <w:rPr>
                <w:rStyle w:val="answertext"/>
                <w:rFonts w:asciiTheme="minorHAnsi" w:hAnsiTheme="minorHAnsi"/>
                <w:color w:val="000000" w:themeColor="text1"/>
              </w:rPr>
              <w:t>UNDP continued to strengthen governance systems in the Pacific through targeted support to parliamentarians and sub-national authorities, including training and orientation on roles, functions and services. In 2016, this work</w:t>
            </w:r>
            <w:r w:rsidR="00922E07" w:rsidRPr="00312BAD">
              <w:rPr>
                <w:rStyle w:val="answertext"/>
                <w:rFonts w:asciiTheme="minorHAnsi" w:hAnsiTheme="minorHAnsi"/>
                <w:color w:val="000000" w:themeColor="text1"/>
              </w:rPr>
              <w:t xml:space="preserve"> covered 60% of MPs in Fiji, 80% in RMI, </w:t>
            </w:r>
            <w:r w:rsidRPr="00312BAD">
              <w:rPr>
                <w:rStyle w:val="answertext"/>
                <w:rFonts w:asciiTheme="minorHAnsi" w:hAnsiTheme="minorHAnsi"/>
                <w:color w:val="000000" w:themeColor="text1"/>
              </w:rPr>
              <w:t>75% in Vanuatu</w:t>
            </w:r>
            <w:r w:rsidR="00922E07" w:rsidRPr="00312BAD">
              <w:rPr>
                <w:rStyle w:val="answertext"/>
                <w:rFonts w:asciiTheme="minorHAnsi" w:hAnsiTheme="minorHAnsi"/>
                <w:color w:val="000000" w:themeColor="text1"/>
              </w:rPr>
              <w:t xml:space="preserve">, 24% in Solomon </w:t>
            </w:r>
            <w:r w:rsidR="00173C07" w:rsidRPr="00312BAD">
              <w:rPr>
                <w:rStyle w:val="answertext"/>
                <w:rFonts w:asciiTheme="minorHAnsi" w:hAnsiTheme="minorHAnsi"/>
                <w:color w:val="000000" w:themeColor="text1"/>
              </w:rPr>
              <w:t>Islands, 50</w:t>
            </w:r>
            <w:r w:rsidRPr="00312BAD">
              <w:rPr>
                <w:rStyle w:val="answertext"/>
                <w:rFonts w:asciiTheme="minorHAnsi" w:hAnsiTheme="minorHAnsi"/>
                <w:color w:val="000000" w:themeColor="text1"/>
              </w:rPr>
              <w:t xml:space="preserve">% in </w:t>
            </w:r>
            <w:r w:rsidR="00173C07" w:rsidRPr="00312BAD">
              <w:rPr>
                <w:rStyle w:val="answertext"/>
                <w:rFonts w:asciiTheme="minorHAnsi" w:hAnsiTheme="minorHAnsi"/>
                <w:color w:val="000000" w:themeColor="text1"/>
              </w:rPr>
              <w:t>Kiribati and</w:t>
            </w:r>
            <w:r w:rsidR="00922E07" w:rsidRPr="00312BAD">
              <w:rPr>
                <w:rStyle w:val="answertext"/>
                <w:rFonts w:asciiTheme="minorHAnsi" w:hAnsiTheme="minorHAnsi"/>
                <w:color w:val="000000" w:themeColor="text1"/>
              </w:rPr>
              <w:t xml:space="preserve"> 47% in Nauru. </w:t>
            </w:r>
            <w:r w:rsidRPr="00312BAD">
              <w:rPr>
                <w:rStyle w:val="answertext"/>
                <w:rFonts w:asciiTheme="minorHAnsi" w:hAnsiTheme="minorHAnsi"/>
                <w:color w:val="000000" w:themeColor="text1"/>
              </w:rPr>
              <w:t xml:space="preserve">In Fiji, following years of military rule, UNDP supported </w:t>
            </w:r>
            <w:r w:rsidR="00FD35A3">
              <w:rPr>
                <w:rStyle w:val="answertext"/>
                <w:rFonts w:asciiTheme="minorHAnsi" w:hAnsiTheme="minorHAnsi"/>
                <w:color w:val="000000" w:themeColor="text1"/>
              </w:rPr>
              <w:t>6</w:t>
            </w:r>
            <w:r w:rsidR="00AE1449">
              <w:rPr>
                <w:rStyle w:val="answertext"/>
                <w:rFonts w:asciiTheme="minorHAnsi" w:hAnsiTheme="minorHAnsi"/>
                <w:color w:val="000000" w:themeColor="text1"/>
              </w:rPr>
              <w:t xml:space="preserve"> Fiji</w:t>
            </w:r>
            <w:r w:rsidR="00FD35A3">
              <w:rPr>
                <w:rStyle w:val="answertext"/>
                <w:rFonts w:asciiTheme="minorHAnsi" w:hAnsiTheme="minorHAnsi"/>
                <w:color w:val="000000" w:themeColor="text1"/>
              </w:rPr>
              <w:t xml:space="preserve"> </w:t>
            </w:r>
            <w:r w:rsidR="0020517B">
              <w:rPr>
                <w:rStyle w:val="answertext"/>
                <w:rFonts w:asciiTheme="minorHAnsi" w:hAnsiTheme="minorHAnsi"/>
                <w:color w:val="000000" w:themeColor="text1"/>
              </w:rPr>
              <w:t>P</w:t>
            </w:r>
            <w:r w:rsidR="0001282F">
              <w:rPr>
                <w:rStyle w:val="answertext"/>
                <w:rFonts w:asciiTheme="minorHAnsi" w:hAnsiTheme="minorHAnsi"/>
                <w:color w:val="000000" w:themeColor="text1"/>
              </w:rPr>
              <w:t xml:space="preserve">arliament </w:t>
            </w:r>
            <w:r w:rsidR="0020517B">
              <w:rPr>
                <w:rStyle w:val="answertext"/>
                <w:rFonts w:asciiTheme="minorHAnsi" w:hAnsiTheme="minorHAnsi"/>
                <w:color w:val="000000" w:themeColor="text1"/>
              </w:rPr>
              <w:t xml:space="preserve">standing </w:t>
            </w:r>
            <w:r w:rsidR="00FD35A3">
              <w:rPr>
                <w:rStyle w:val="answertext"/>
                <w:rFonts w:asciiTheme="minorHAnsi" w:hAnsiTheme="minorHAnsi"/>
                <w:color w:val="000000" w:themeColor="text1"/>
              </w:rPr>
              <w:t>Committees</w:t>
            </w:r>
            <w:r w:rsidR="00A8337D">
              <w:rPr>
                <w:rStyle w:val="answertext"/>
                <w:rFonts w:asciiTheme="minorHAnsi" w:hAnsiTheme="minorHAnsi"/>
                <w:color w:val="000000" w:themeColor="text1"/>
              </w:rPr>
              <w:t xml:space="preserve"> </w:t>
            </w:r>
            <w:r w:rsidR="00FD35A3">
              <w:rPr>
                <w:rStyle w:val="answertext"/>
                <w:rFonts w:asciiTheme="minorHAnsi" w:hAnsiTheme="minorHAnsi"/>
                <w:color w:val="000000" w:themeColor="text1"/>
              </w:rPr>
              <w:t>(</w:t>
            </w:r>
            <w:r w:rsidR="00ED1561">
              <w:rPr>
                <w:rStyle w:val="answertext"/>
                <w:rFonts w:asciiTheme="minorHAnsi" w:hAnsiTheme="minorHAnsi"/>
                <w:color w:val="000000" w:themeColor="text1"/>
              </w:rPr>
              <w:t>Economic affairs,</w:t>
            </w:r>
            <w:r w:rsidR="00090A69">
              <w:rPr>
                <w:rStyle w:val="answertext"/>
                <w:rFonts w:asciiTheme="minorHAnsi" w:hAnsiTheme="minorHAnsi"/>
                <w:color w:val="000000" w:themeColor="text1"/>
              </w:rPr>
              <w:t xml:space="preserve"> public accounts, social affairs, foreign </w:t>
            </w:r>
            <w:r w:rsidR="0020517B">
              <w:rPr>
                <w:rStyle w:val="answertext"/>
                <w:rFonts w:asciiTheme="minorHAnsi" w:hAnsiTheme="minorHAnsi"/>
                <w:color w:val="000000" w:themeColor="text1"/>
              </w:rPr>
              <w:t>affairs &amp; defense, justice law &amp; human</w:t>
            </w:r>
            <w:r w:rsidR="00090A69">
              <w:rPr>
                <w:rStyle w:val="answertext"/>
                <w:rFonts w:asciiTheme="minorHAnsi" w:hAnsiTheme="minorHAnsi"/>
                <w:color w:val="000000" w:themeColor="text1"/>
              </w:rPr>
              <w:t xml:space="preserve"> rights, </w:t>
            </w:r>
            <w:r w:rsidR="0020517B">
              <w:rPr>
                <w:rStyle w:val="answertext"/>
                <w:rFonts w:asciiTheme="minorHAnsi" w:hAnsiTheme="minorHAnsi"/>
                <w:color w:val="000000" w:themeColor="text1"/>
              </w:rPr>
              <w:t xml:space="preserve">and </w:t>
            </w:r>
            <w:r w:rsidR="00090A69">
              <w:rPr>
                <w:rStyle w:val="answertext"/>
                <w:rFonts w:asciiTheme="minorHAnsi" w:hAnsiTheme="minorHAnsi"/>
                <w:color w:val="000000" w:themeColor="text1"/>
              </w:rPr>
              <w:t>natural resources</w:t>
            </w:r>
            <w:r w:rsidR="00FD35A3">
              <w:rPr>
                <w:rStyle w:val="answertext"/>
                <w:rFonts w:asciiTheme="minorHAnsi" w:hAnsiTheme="minorHAnsi"/>
                <w:color w:val="000000" w:themeColor="text1"/>
              </w:rPr>
              <w:t>)</w:t>
            </w:r>
            <w:r w:rsidR="00090A69">
              <w:rPr>
                <w:rStyle w:val="answertext"/>
                <w:rFonts w:asciiTheme="minorHAnsi" w:hAnsiTheme="minorHAnsi"/>
                <w:color w:val="000000" w:themeColor="text1"/>
              </w:rPr>
              <w:t xml:space="preserve"> </w:t>
            </w:r>
            <w:r w:rsidRPr="00312BAD">
              <w:rPr>
                <w:rStyle w:val="answertext"/>
                <w:rFonts w:asciiTheme="minorHAnsi" w:hAnsiTheme="minorHAnsi"/>
                <w:color w:val="000000" w:themeColor="text1"/>
              </w:rPr>
              <w:t xml:space="preserve">to re-establish their functions building on open and participatory processes. </w:t>
            </w:r>
          </w:p>
          <w:p w14:paraId="10513A93" w14:textId="33F8CA99" w:rsidR="00AA758C" w:rsidRPr="00312BAD" w:rsidRDefault="00A67A21" w:rsidP="00B61FFB">
            <w:pPr>
              <w:pStyle w:val="BodyText2"/>
              <w:numPr>
                <w:ilvl w:val="0"/>
                <w:numId w:val="45"/>
              </w:numPr>
              <w:jc w:val="both"/>
              <w:rPr>
                <w:rFonts w:asciiTheme="minorHAnsi" w:hAnsiTheme="minorHAnsi"/>
                <w:i/>
                <w:color w:val="000000" w:themeColor="text1"/>
              </w:rPr>
            </w:pPr>
            <w:r w:rsidRPr="00312BAD">
              <w:rPr>
                <w:rStyle w:val="answertext"/>
                <w:rFonts w:asciiTheme="minorHAnsi" w:hAnsiTheme="minorHAnsi"/>
                <w:color w:val="000000" w:themeColor="text1"/>
              </w:rPr>
              <w:t>UNDP trained CSOs on eng</w:t>
            </w:r>
            <w:r w:rsidR="00922E07" w:rsidRPr="00312BAD">
              <w:rPr>
                <w:rStyle w:val="answertext"/>
                <w:rFonts w:asciiTheme="minorHAnsi" w:hAnsiTheme="minorHAnsi"/>
                <w:color w:val="000000" w:themeColor="text1"/>
              </w:rPr>
              <w:t>aging with the committees</w:t>
            </w:r>
            <w:r w:rsidR="00090A69">
              <w:rPr>
                <w:rStyle w:val="answertext"/>
                <w:rFonts w:asciiTheme="minorHAnsi" w:hAnsiTheme="minorHAnsi"/>
                <w:color w:val="000000" w:themeColor="text1"/>
              </w:rPr>
              <w:t xml:space="preserve"> (in </w:t>
            </w:r>
            <w:r w:rsidR="0020517B">
              <w:rPr>
                <w:rStyle w:val="answertext"/>
                <w:rFonts w:asciiTheme="minorHAnsi" w:hAnsiTheme="minorHAnsi"/>
                <w:color w:val="000000" w:themeColor="text1"/>
              </w:rPr>
              <w:t>Fiji</w:t>
            </w:r>
            <w:r w:rsidR="00090A69">
              <w:rPr>
                <w:rStyle w:val="answertext"/>
                <w:rFonts w:asciiTheme="minorHAnsi" w:hAnsiTheme="minorHAnsi"/>
                <w:color w:val="000000" w:themeColor="text1"/>
              </w:rPr>
              <w:t xml:space="preserve"> 4 </w:t>
            </w:r>
            <w:r w:rsidR="004A230D">
              <w:rPr>
                <w:rStyle w:val="answertext"/>
                <w:rFonts w:asciiTheme="minorHAnsi" w:hAnsiTheme="minorHAnsi"/>
                <w:color w:val="000000" w:themeColor="text1"/>
              </w:rPr>
              <w:t>divisional</w:t>
            </w:r>
            <w:r w:rsidR="00090A69">
              <w:rPr>
                <w:rStyle w:val="answertext"/>
                <w:rFonts w:asciiTheme="minorHAnsi" w:hAnsiTheme="minorHAnsi"/>
                <w:color w:val="000000" w:themeColor="text1"/>
              </w:rPr>
              <w:t xml:space="preserve"> information sharing with CSOs, on the work of the parliament and how to engage </w:t>
            </w:r>
            <w:r w:rsidR="0020517B">
              <w:rPr>
                <w:rStyle w:val="answertext"/>
                <w:rFonts w:asciiTheme="minorHAnsi" w:hAnsiTheme="minorHAnsi"/>
                <w:color w:val="000000" w:themeColor="text1"/>
              </w:rPr>
              <w:t>effectively</w:t>
            </w:r>
            <w:r w:rsidR="00090A69">
              <w:rPr>
                <w:rStyle w:val="answertext"/>
                <w:rFonts w:asciiTheme="minorHAnsi" w:hAnsiTheme="minorHAnsi"/>
                <w:color w:val="000000" w:themeColor="text1"/>
              </w:rPr>
              <w:t xml:space="preserve"> with the parliament through the work of the standing </w:t>
            </w:r>
            <w:r w:rsidR="0020517B">
              <w:rPr>
                <w:rStyle w:val="answertext"/>
                <w:rFonts w:asciiTheme="minorHAnsi" w:hAnsiTheme="minorHAnsi"/>
                <w:color w:val="000000" w:themeColor="text1"/>
              </w:rPr>
              <w:t>committees</w:t>
            </w:r>
            <w:r w:rsidR="007B6524">
              <w:rPr>
                <w:rStyle w:val="answertext"/>
                <w:rFonts w:asciiTheme="minorHAnsi" w:hAnsiTheme="minorHAnsi"/>
                <w:color w:val="000000" w:themeColor="text1"/>
              </w:rPr>
              <w:t>,</w:t>
            </w:r>
            <w:r w:rsidR="00C3062E">
              <w:rPr>
                <w:rStyle w:val="answertext"/>
                <w:rFonts w:asciiTheme="minorHAnsi" w:hAnsiTheme="minorHAnsi"/>
                <w:color w:val="000000" w:themeColor="text1"/>
              </w:rPr>
              <w:t xml:space="preserve"> </w:t>
            </w:r>
            <w:r w:rsidRPr="00312BAD">
              <w:rPr>
                <w:rStyle w:val="answertext"/>
                <w:rFonts w:asciiTheme="minorHAnsi" w:hAnsiTheme="minorHAnsi"/>
                <w:color w:val="000000" w:themeColor="text1"/>
              </w:rPr>
              <w:t>and supported the Parliament in conducting community co</w:t>
            </w:r>
            <w:r w:rsidR="00922E07" w:rsidRPr="00312BAD">
              <w:rPr>
                <w:rStyle w:val="answertext"/>
                <w:rFonts w:asciiTheme="minorHAnsi" w:hAnsiTheme="minorHAnsi"/>
                <w:color w:val="000000" w:themeColor="text1"/>
              </w:rPr>
              <w:t>nsultations in remote areas</w:t>
            </w:r>
            <w:r w:rsidRPr="00312BAD">
              <w:rPr>
                <w:rStyle w:val="answertext"/>
                <w:rFonts w:asciiTheme="minorHAnsi" w:hAnsiTheme="minorHAnsi"/>
                <w:color w:val="000000" w:themeColor="text1"/>
              </w:rPr>
              <w:t xml:space="preserve">. As a key contribution towards SRPD outcome on legislation and accountability, UNDP introduced </w:t>
            </w:r>
            <w:r w:rsidR="007B6524">
              <w:rPr>
                <w:rStyle w:val="answertext"/>
                <w:rFonts w:asciiTheme="minorHAnsi" w:hAnsiTheme="minorHAnsi"/>
                <w:color w:val="000000" w:themeColor="text1"/>
              </w:rPr>
              <w:t xml:space="preserve">around 6 </w:t>
            </w:r>
            <w:r w:rsidRPr="00312BAD">
              <w:rPr>
                <w:rStyle w:val="answertext"/>
                <w:rFonts w:asciiTheme="minorHAnsi" w:hAnsiTheme="minorHAnsi"/>
                <w:color w:val="000000" w:themeColor="text1"/>
              </w:rPr>
              <w:t xml:space="preserve"> </w:t>
            </w:r>
            <w:r w:rsidR="00013F47">
              <w:rPr>
                <w:rStyle w:val="answertext"/>
                <w:rFonts w:asciiTheme="minorHAnsi" w:hAnsiTheme="minorHAnsi"/>
                <w:color w:val="000000" w:themeColor="text1"/>
              </w:rPr>
              <w:t xml:space="preserve"> </w:t>
            </w:r>
            <w:r w:rsidRPr="00312BAD">
              <w:rPr>
                <w:rStyle w:val="answertext"/>
                <w:rFonts w:asciiTheme="minorHAnsi" w:hAnsiTheme="minorHAnsi"/>
                <w:color w:val="000000" w:themeColor="text1"/>
              </w:rPr>
              <w:t>Speaker’s Debate</w:t>
            </w:r>
            <w:r w:rsidR="007B6524">
              <w:rPr>
                <w:rStyle w:val="answertext"/>
                <w:rFonts w:asciiTheme="minorHAnsi" w:hAnsiTheme="minorHAnsi"/>
                <w:color w:val="000000" w:themeColor="text1"/>
              </w:rPr>
              <w:t>s</w:t>
            </w:r>
            <w:r w:rsidRPr="00312BAD">
              <w:rPr>
                <w:rStyle w:val="answertext"/>
                <w:rFonts w:asciiTheme="minorHAnsi" w:hAnsiTheme="minorHAnsi"/>
                <w:color w:val="000000" w:themeColor="text1"/>
              </w:rPr>
              <w:t xml:space="preserve">, which gathered policymakers, CSOs and the public in Fiji to deliberate issues such as climate change and gender-based violence. In an environment where discussion of opposing views is rare, these </w:t>
            </w:r>
            <w:r w:rsidRPr="00312BAD">
              <w:rPr>
                <w:rStyle w:val="answertext"/>
                <w:rFonts w:asciiTheme="minorHAnsi" w:hAnsiTheme="minorHAnsi"/>
                <w:color w:val="000000" w:themeColor="text1"/>
              </w:rPr>
              <w:lastRenderedPageBreak/>
              <w:t>debates contributed to greater awareness among policymakers of public concerns</w:t>
            </w:r>
          </w:p>
        </w:tc>
      </w:tr>
      <w:tr w:rsidR="00700521" w:rsidRPr="00DC7354" w14:paraId="79B23E4F" w14:textId="77777777" w:rsidTr="00EF2695">
        <w:tc>
          <w:tcPr>
            <w:tcW w:w="14040" w:type="dxa"/>
            <w:gridSpan w:val="5"/>
          </w:tcPr>
          <w:p w14:paraId="2F258133" w14:textId="77777777" w:rsidR="00700521" w:rsidRPr="00AA71B4" w:rsidRDefault="00700521" w:rsidP="00366AD1">
            <w:pPr>
              <w:pStyle w:val="BodyText2"/>
              <w:rPr>
                <w:rStyle w:val="answertext"/>
                <w:rFonts w:asciiTheme="minorHAnsi" w:hAnsiTheme="minorHAnsi"/>
                <w:b/>
              </w:rPr>
            </w:pPr>
            <w:r w:rsidRPr="00AA71B4">
              <w:rPr>
                <w:rStyle w:val="answertext"/>
                <w:rFonts w:asciiTheme="minorHAnsi" w:hAnsiTheme="minorHAnsi"/>
                <w:b/>
              </w:rPr>
              <w:lastRenderedPageBreak/>
              <w:t>UNDP Contribution:</w:t>
            </w:r>
          </w:p>
          <w:p w14:paraId="4CDA57EB" w14:textId="77777777" w:rsidR="008B06DD" w:rsidRPr="00AA71B4" w:rsidRDefault="008B06DD" w:rsidP="00366AD1">
            <w:pPr>
              <w:pStyle w:val="BodyText2"/>
              <w:rPr>
                <w:rStyle w:val="answertext"/>
                <w:rFonts w:asciiTheme="minorHAnsi" w:hAnsiTheme="minorHAnsi"/>
                <w:b/>
              </w:rPr>
            </w:pPr>
          </w:p>
          <w:p w14:paraId="6F6BBCC4" w14:textId="6A81109E" w:rsidR="008B06DD" w:rsidRPr="00F50F7F" w:rsidRDefault="0027237C" w:rsidP="00612159">
            <w:pPr>
              <w:pStyle w:val="BodyText2"/>
              <w:rPr>
                <w:rStyle w:val="answertext"/>
                <w:rFonts w:asciiTheme="minorHAnsi" w:hAnsiTheme="minorHAnsi"/>
                <w:u w:val="single"/>
              </w:rPr>
            </w:pPr>
            <w:r w:rsidRPr="00F50F7F">
              <w:rPr>
                <w:rStyle w:val="answertext"/>
                <w:rFonts w:asciiTheme="minorHAnsi" w:hAnsiTheme="minorHAnsi"/>
                <w:u w:val="single"/>
              </w:rPr>
              <w:t>SRPD</w:t>
            </w:r>
            <w:r w:rsidR="008B06DD" w:rsidRPr="00F50F7F">
              <w:rPr>
                <w:rStyle w:val="answertext"/>
                <w:rFonts w:asciiTheme="minorHAnsi" w:hAnsiTheme="minorHAnsi"/>
                <w:u w:val="single"/>
              </w:rPr>
              <w:t xml:space="preserve"> Outputs</w:t>
            </w:r>
            <w:r w:rsidR="00845340" w:rsidRPr="00F50F7F">
              <w:rPr>
                <w:rStyle w:val="answertext"/>
                <w:rFonts w:asciiTheme="minorHAnsi" w:hAnsiTheme="minorHAnsi"/>
                <w:u w:val="single"/>
              </w:rPr>
              <w:t>:</w:t>
            </w:r>
          </w:p>
          <w:p w14:paraId="0C960B30" w14:textId="77777777" w:rsidR="00A67A21" w:rsidRPr="00312BAD" w:rsidRDefault="00A67A21" w:rsidP="00A67A21">
            <w:pPr>
              <w:pStyle w:val="Default"/>
              <w:rPr>
                <w:rStyle w:val="answertext"/>
                <w:rFonts w:asciiTheme="minorHAnsi" w:hAnsiTheme="minorHAnsi"/>
                <w:sz w:val="20"/>
                <w:szCs w:val="20"/>
              </w:rPr>
            </w:pPr>
            <w:r w:rsidRPr="00312BAD">
              <w:rPr>
                <w:rStyle w:val="answertext"/>
                <w:rFonts w:asciiTheme="minorHAnsi" w:hAnsiTheme="minorHAnsi"/>
                <w:sz w:val="20"/>
                <w:szCs w:val="20"/>
              </w:rPr>
              <w:t xml:space="preserve">a) Parliamentary capacities strengthened to legislate for and improve local service delivery; reviewed and allocated appropriate budgets; and </w:t>
            </w:r>
            <w:r w:rsidR="000600FE" w:rsidRPr="00312BAD">
              <w:rPr>
                <w:rStyle w:val="answertext"/>
                <w:rFonts w:asciiTheme="minorHAnsi" w:hAnsiTheme="minorHAnsi"/>
                <w:sz w:val="20"/>
                <w:szCs w:val="20"/>
              </w:rPr>
              <w:t>ensuring</w:t>
            </w:r>
            <w:r w:rsidRPr="00312BAD">
              <w:rPr>
                <w:rStyle w:val="answertext"/>
                <w:rFonts w:asciiTheme="minorHAnsi" w:hAnsiTheme="minorHAnsi"/>
                <w:sz w:val="20"/>
                <w:szCs w:val="20"/>
              </w:rPr>
              <w:t xml:space="preserve"> effective legislative oversight of government decision-making </w:t>
            </w:r>
          </w:p>
          <w:p w14:paraId="7337E556" w14:textId="77777777" w:rsidR="00A67A21" w:rsidRPr="00312BAD" w:rsidRDefault="00A67A21" w:rsidP="00A67A21">
            <w:pPr>
              <w:pStyle w:val="Default"/>
              <w:rPr>
                <w:rStyle w:val="answertext"/>
                <w:rFonts w:asciiTheme="minorHAnsi" w:hAnsiTheme="minorHAnsi"/>
                <w:sz w:val="20"/>
                <w:szCs w:val="20"/>
              </w:rPr>
            </w:pPr>
            <w:r w:rsidRPr="00312BAD">
              <w:rPr>
                <w:rStyle w:val="answertext"/>
                <w:rFonts w:asciiTheme="minorHAnsi" w:hAnsiTheme="minorHAnsi"/>
                <w:sz w:val="20"/>
                <w:szCs w:val="20"/>
              </w:rPr>
              <w:t xml:space="preserve">(b) Enhanced institutional arrangements that support decentralization and improve basic service delivery and community resilience </w:t>
            </w:r>
          </w:p>
          <w:p w14:paraId="4265F739" w14:textId="77777777" w:rsidR="00A67A21" w:rsidRPr="00312BAD" w:rsidRDefault="00A67A21" w:rsidP="00A67A21">
            <w:pPr>
              <w:pStyle w:val="Default"/>
              <w:rPr>
                <w:rStyle w:val="answertext"/>
                <w:rFonts w:asciiTheme="minorHAnsi" w:hAnsiTheme="minorHAnsi"/>
                <w:sz w:val="20"/>
                <w:szCs w:val="20"/>
              </w:rPr>
            </w:pPr>
            <w:r w:rsidRPr="00312BAD">
              <w:rPr>
                <w:rStyle w:val="answertext"/>
                <w:rFonts w:asciiTheme="minorHAnsi" w:hAnsiTheme="minorHAnsi"/>
                <w:sz w:val="20"/>
                <w:szCs w:val="20"/>
              </w:rPr>
              <w:t xml:space="preserve">(c) Improved capacity to promote social cohesion and institutional strengthening for countries in post-conflict transition </w:t>
            </w:r>
          </w:p>
          <w:p w14:paraId="5CCA1D99" w14:textId="77777777" w:rsidR="00A67A21" w:rsidRPr="00312BAD" w:rsidRDefault="00A67A21" w:rsidP="00A67A21">
            <w:pPr>
              <w:pStyle w:val="Default"/>
              <w:rPr>
                <w:rStyle w:val="answertext"/>
                <w:rFonts w:asciiTheme="minorHAnsi" w:hAnsiTheme="minorHAnsi"/>
                <w:sz w:val="20"/>
                <w:szCs w:val="20"/>
              </w:rPr>
            </w:pPr>
            <w:r w:rsidRPr="00312BAD">
              <w:rPr>
                <w:rStyle w:val="answertext"/>
                <w:rFonts w:asciiTheme="minorHAnsi" w:hAnsiTheme="minorHAnsi"/>
                <w:sz w:val="20"/>
                <w:szCs w:val="20"/>
              </w:rPr>
              <w:t xml:space="preserve">(d) Civic education programmes developed and social accountability partnerships promoted to increase the delivery of services at the community level </w:t>
            </w:r>
          </w:p>
          <w:p w14:paraId="50DE52E5" w14:textId="77777777" w:rsidR="00C052EF" w:rsidRPr="00312BAD" w:rsidRDefault="00A67A21" w:rsidP="00D54E0A">
            <w:pPr>
              <w:pStyle w:val="Default"/>
              <w:rPr>
                <w:rStyle w:val="answertext"/>
                <w:rFonts w:asciiTheme="minorHAnsi" w:hAnsiTheme="minorHAnsi"/>
                <w:sz w:val="20"/>
                <w:szCs w:val="20"/>
              </w:rPr>
            </w:pPr>
            <w:r w:rsidRPr="00312BAD">
              <w:rPr>
                <w:rStyle w:val="answertext"/>
                <w:rFonts w:asciiTheme="minorHAnsi" w:hAnsiTheme="minorHAnsi"/>
                <w:sz w:val="20"/>
                <w:szCs w:val="20"/>
              </w:rPr>
              <w:t xml:space="preserve">(e) Increased national commitment to security sector reform, anti-corruption, freedom of information, and human rights-based approaches to development </w:t>
            </w:r>
          </w:p>
          <w:p w14:paraId="7C1EECA3" w14:textId="77777777" w:rsidR="00700521" w:rsidRPr="00F50F7F" w:rsidRDefault="008B06DD" w:rsidP="00D54E0A">
            <w:pPr>
              <w:pStyle w:val="Default"/>
              <w:rPr>
                <w:rStyle w:val="answertext"/>
                <w:rFonts w:asciiTheme="minorHAnsi" w:hAnsiTheme="minorHAnsi"/>
                <w:sz w:val="20"/>
                <w:szCs w:val="20"/>
                <w:u w:val="single"/>
              </w:rPr>
            </w:pPr>
            <w:r w:rsidRPr="00F50F7F">
              <w:rPr>
                <w:rStyle w:val="answertext"/>
                <w:rFonts w:asciiTheme="minorHAnsi" w:hAnsiTheme="minorHAnsi"/>
                <w:sz w:val="20"/>
                <w:szCs w:val="20"/>
                <w:u w:val="single"/>
              </w:rPr>
              <w:t>Progress and Achievements</w:t>
            </w:r>
            <w:r w:rsidR="00845340" w:rsidRPr="00F50F7F">
              <w:rPr>
                <w:rStyle w:val="answertext"/>
                <w:rFonts w:asciiTheme="minorHAnsi" w:hAnsiTheme="minorHAnsi"/>
                <w:sz w:val="20"/>
                <w:szCs w:val="20"/>
                <w:u w:val="single"/>
              </w:rPr>
              <w:t>:</w:t>
            </w:r>
          </w:p>
          <w:p w14:paraId="49691410" w14:textId="77777777" w:rsidR="00EE46EF" w:rsidRPr="00312BAD" w:rsidRDefault="00A80BB7" w:rsidP="00EE46EF">
            <w:pPr>
              <w:pStyle w:val="BodyText2"/>
              <w:numPr>
                <w:ilvl w:val="0"/>
                <w:numId w:val="37"/>
              </w:numPr>
              <w:jc w:val="both"/>
              <w:rPr>
                <w:rStyle w:val="answertext"/>
                <w:rFonts w:asciiTheme="minorHAnsi" w:hAnsiTheme="minorHAnsi"/>
              </w:rPr>
            </w:pPr>
            <w:r w:rsidRPr="00312BAD">
              <w:rPr>
                <w:rStyle w:val="answertext"/>
                <w:rFonts w:asciiTheme="minorHAnsi" w:hAnsiTheme="minorHAnsi"/>
              </w:rPr>
              <w:t xml:space="preserve">To </w:t>
            </w:r>
            <w:r w:rsidR="00D011DC" w:rsidRPr="00312BAD">
              <w:rPr>
                <w:rStyle w:val="answertext"/>
                <w:rFonts w:asciiTheme="minorHAnsi" w:hAnsiTheme="minorHAnsi"/>
              </w:rPr>
              <w:t xml:space="preserve">strengthen </w:t>
            </w:r>
            <w:r w:rsidRPr="00312BAD">
              <w:rPr>
                <w:rStyle w:val="answertext"/>
                <w:rFonts w:asciiTheme="minorHAnsi" w:hAnsiTheme="minorHAnsi"/>
              </w:rPr>
              <w:t>the capacity of Pacific recipient parliaments, UNDP facilitated learning with partners such as the Commonwealth Parliamentary Association (CPA), Inter-Parliamentary Union, and Twinning parliament arrangements with New Zealand Parliament and the Federal and S</w:t>
            </w:r>
            <w:r w:rsidR="00EE46EF" w:rsidRPr="00312BAD">
              <w:rPr>
                <w:rStyle w:val="answertext"/>
                <w:rFonts w:asciiTheme="minorHAnsi" w:hAnsiTheme="minorHAnsi"/>
              </w:rPr>
              <w:t>tate legislatures of Australia.</w:t>
            </w:r>
          </w:p>
          <w:p w14:paraId="5F33848D" w14:textId="5FB2CAE0" w:rsidR="00EE46EF" w:rsidRPr="00312BAD" w:rsidRDefault="00D011DC" w:rsidP="00EE46EF">
            <w:pPr>
              <w:pStyle w:val="BodyText2"/>
              <w:numPr>
                <w:ilvl w:val="0"/>
                <w:numId w:val="37"/>
              </w:numPr>
              <w:jc w:val="both"/>
              <w:rPr>
                <w:rStyle w:val="answertext"/>
                <w:rFonts w:asciiTheme="minorHAnsi" w:hAnsiTheme="minorHAnsi"/>
              </w:rPr>
            </w:pPr>
            <w:r w:rsidRPr="00312BAD">
              <w:rPr>
                <w:rStyle w:val="answertext"/>
                <w:rFonts w:asciiTheme="minorHAnsi" w:hAnsiTheme="minorHAnsi"/>
              </w:rPr>
              <w:t xml:space="preserve">UNDP enhanced </w:t>
            </w:r>
            <w:r w:rsidR="00A80BB7" w:rsidRPr="00312BAD">
              <w:rPr>
                <w:rStyle w:val="answertext"/>
                <w:rFonts w:asciiTheme="minorHAnsi" w:hAnsiTheme="minorHAnsi"/>
              </w:rPr>
              <w:t xml:space="preserve">Parliaments </w:t>
            </w:r>
            <w:r w:rsidRPr="00312BAD">
              <w:rPr>
                <w:rStyle w:val="answertext"/>
                <w:rFonts w:asciiTheme="minorHAnsi" w:hAnsiTheme="minorHAnsi"/>
              </w:rPr>
              <w:t>institutional arrangements</w:t>
            </w:r>
            <w:r w:rsidR="00A80BB7" w:rsidRPr="00312BAD">
              <w:rPr>
                <w:rStyle w:val="answertext"/>
                <w:rFonts w:asciiTheme="minorHAnsi" w:hAnsiTheme="minorHAnsi"/>
              </w:rPr>
              <w:t xml:space="preserve"> through advice, placements and attachments with Parliaments in Australia &amp; New Zealand, professional development programme, and design and implementation of operating procedures drawing on lessons learnt from New Zealand, Australia and other similar sized parliaments. UNDP assisted Parliaments to discharge their mandates through ongoing professional development for staff. As a result, in-house capa</w:t>
            </w:r>
            <w:r w:rsidR="00C82F26">
              <w:rPr>
                <w:rStyle w:val="answertext"/>
                <w:rFonts w:asciiTheme="minorHAnsi" w:hAnsiTheme="minorHAnsi"/>
              </w:rPr>
              <w:t>cities of Fiji Parliament was</w:t>
            </w:r>
            <w:r w:rsidR="00A80BB7" w:rsidRPr="00312BAD">
              <w:rPr>
                <w:rStyle w:val="answertext"/>
                <w:rFonts w:asciiTheme="minorHAnsi" w:hAnsiTheme="minorHAnsi"/>
              </w:rPr>
              <w:t xml:space="preserve"> improved that support was phased out in 2016 at the request of Parliament - a positive sign since 90% of Parliament Staff had nil Parliamentary experience nor administ</w:t>
            </w:r>
            <w:r w:rsidR="00E34439" w:rsidRPr="00312BAD">
              <w:rPr>
                <w:rStyle w:val="answertext"/>
                <w:rFonts w:asciiTheme="minorHAnsi" w:hAnsiTheme="minorHAnsi"/>
              </w:rPr>
              <w:t>rative and human resource</w:t>
            </w:r>
            <w:r w:rsidR="00F223EA" w:rsidRPr="00312BAD">
              <w:rPr>
                <w:rStyle w:val="answertext"/>
                <w:rFonts w:asciiTheme="minorHAnsi" w:hAnsiTheme="minorHAnsi"/>
              </w:rPr>
              <w:t xml:space="preserve"> at the start</w:t>
            </w:r>
            <w:r w:rsidR="00AA758C" w:rsidRPr="00312BAD">
              <w:rPr>
                <w:rStyle w:val="answertext"/>
                <w:rFonts w:asciiTheme="minorHAnsi" w:hAnsiTheme="minorHAnsi"/>
              </w:rPr>
              <w:t>;</w:t>
            </w:r>
          </w:p>
          <w:p w14:paraId="5670EDC9" w14:textId="77777777" w:rsidR="00AA758C" w:rsidRPr="00312BAD" w:rsidRDefault="00AA758C" w:rsidP="00EE46EF">
            <w:pPr>
              <w:pStyle w:val="BodyText2"/>
              <w:numPr>
                <w:ilvl w:val="0"/>
                <w:numId w:val="37"/>
              </w:numPr>
              <w:jc w:val="both"/>
              <w:rPr>
                <w:rStyle w:val="answertext"/>
                <w:rFonts w:asciiTheme="minorHAnsi" w:hAnsiTheme="minorHAnsi"/>
              </w:rPr>
            </w:pPr>
            <w:r w:rsidRPr="00312BAD">
              <w:rPr>
                <w:rStyle w:val="answertext"/>
                <w:rFonts w:asciiTheme="minorHAnsi" w:hAnsiTheme="minorHAnsi"/>
              </w:rPr>
              <w:t xml:space="preserve">In Samoa, the parliament benefited from a number of positions supported by UNDP such as i) information and communication Technology manager, ii) Community outreach manager; and iii) International Relations manager who supports partnership between the parliament and other international partners including international organizations. </w:t>
            </w:r>
          </w:p>
          <w:p w14:paraId="455F2CAF" w14:textId="77777777" w:rsidR="00EE46EF" w:rsidRPr="00312BAD" w:rsidRDefault="00A80BB7" w:rsidP="00EE46EF">
            <w:pPr>
              <w:pStyle w:val="BodyText2"/>
              <w:numPr>
                <w:ilvl w:val="0"/>
                <w:numId w:val="37"/>
              </w:numPr>
              <w:jc w:val="both"/>
              <w:rPr>
                <w:rStyle w:val="answertext"/>
                <w:rFonts w:asciiTheme="minorHAnsi" w:hAnsiTheme="minorHAnsi"/>
              </w:rPr>
            </w:pPr>
            <w:r w:rsidRPr="00312BAD">
              <w:rPr>
                <w:rStyle w:val="answertext"/>
                <w:rFonts w:asciiTheme="minorHAnsi" w:hAnsiTheme="minorHAnsi"/>
              </w:rPr>
              <w:t xml:space="preserve">Parliamentary Committees in Fiji and Solomon island undertook their roles with UNDP advice and facilitation of international comparative experience and best practices, especially in the design of inclusive and participatory committee consultation processes. </w:t>
            </w:r>
          </w:p>
          <w:p w14:paraId="6F42084B" w14:textId="77777777" w:rsidR="00805C7D" w:rsidRPr="00312BAD" w:rsidRDefault="00A80BB7" w:rsidP="00805C7D">
            <w:pPr>
              <w:pStyle w:val="BodyText2"/>
              <w:numPr>
                <w:ilvl w:val="0"/>
                <w:numId w:val="37"/>
              </w:numPr>
              <w:jc w:val="both"/>
              <w:rPr>
                <w:rStyle w:val="answertext"/>
                <w:rFonts w:asciiTheme="minorHAnsi" w:hAnsiTheme="minorHAnsi"/>
              </w:rPr>
            </w:pPr>
            <w:r w:rsidRPr="00312BAD">
              <w:rPr>
                <w:rStyle w:val="answertext"/>
                <w:rFonts w:asciiTheme="minorHAnsi" w:hAnsiTheme="minorHAnsi"/>
              </w:rPr>
              <w:t xml:space="preserve">UNDP contributed to increased access of the poor &amp; remote rural communities to social and legal services. 1034 people (49% women) engaged with a mobile service delivery team in partnership between UNDP, the Ministry of Women, Children and Poverty Alleviation, Legal Aid Commission and Fiji Human Rights and Anti-Discrimination Commission. Exit surveys showed that 80% of participants had greater understanding of economic, social and legal rights, including gender, due to this initiative. While the numbers may be significantly small, UNDP support ensured that the furthest and remotest part of Fiji accessed social and legal services not otherwise easily available, in line with SDGs aim to </w:t>
            </w:r>
            <w:r w:rsidRPr="00312BAD">
              <w:rPr>
                <w:rStyle w:val="answertext"/>
                <w:rFonts w:asciiTheme="minorHAnsi" w:hAnsiTheme="minorHAnsi"/>
                <w:i/>
              </w:rPr>
              <w:t>leave no one behind</w:t>
            </w:r>
            <w:r w:rsidRPr="00312BAD">
              <w:rPr>
                <w:rStyle w:val="answertext"/>
                <w:rFonts w:asciiTheme="minorHAnsi" w:hAnsiTheme="minorHAnsi"/>
              </w:rPr>
              <w:t>.</w:t>
            </w:r>
          </w:p>
          <w:p w14:paraId="53451377" w14:textId="6A3CD3C7" w:rsidR="00805C7D" w:rsidRPr="00312BAD" w:rsidRDefault="00805C7D" w:rsidP="00805C7D">
            <w:pPr>
              <w:pStyle w:val="BodyText2"/>
              <w:numPr>
                <w:ilvl w:val="0"/>
                <w:numId w:val="37"/>
              </w:numPr>
              <w:jc w:val="both"/>
              <w:rPr>
                <w:rStyle w:val="answertext"/>
                <w:rFonts w:asciiTheme="minorHAnsi" w:hAnsiTheme="minorHAnsi"/>
              </w:rPr>
            </w:pPr>
            <w:r w:rsidRPr="00312BAD">
              <w:rPr>
                <w:rStyle w:val="answertext"/>
                <w:rFonts w:asciiTheme="minorHAnsi" w:hAnsiTheme="minorHAnsi"/>
                <w:i/>
              </w:rPr>
              <w:t>Fiji Strengthening Youth Participation in Democracy Project</w:t>
            </w:r>
            <w:r w:rsidRPr="00312BAD">
              <w:rPr>
                <w:rStyle w:val="answertext"/>
                <w:rFonts w:asciiTheme="minorHAnsi" w:hAnsiTheme="minorHAnsi"/>
              </w:rPr>
              <w:t xml:space="preserve"> from inception in 2012 supported the institutional strengthening of the </w:t>
            </w:r>
            <w:r w:rsidR="00623F26">
              <w:rPr>
                <w:rStyle w:val="answertext"/>
                <w:rFonts w:asciiTheme="minorHAnsi" w:hAnsiTheme="minorHAnsi"/>
              </w:rPr>
              <w:t>National Youth Council of Fiji,</w:t>
            </w:r>
            <w:r w:rsidRPr="00312BAD">
              <w:rPr>
                <w:rStyle w:val="answertext"/>
                <w:rFonts w:asciiTheme="minorHAnsi" w:hAnsiTheme="minorHAnsi"/>
              </w:rPr>
              <w:t xml:space="preserve"> through formal registration under the Fiji Charitable Trusts Organisation to get the youth council legally recognized. In 2016, Project supported the recovery processes following massive devastation during Tropical Cyclone Winston through a Youth </w:t>
            </w:r>
            <w:r w:rsidRPr="00312BAD">
              <w:rPr>
                <w:rStyle w:val="answertext"/>
                <w:rFonts w:asciiTheme="minorHAnsi" w:hAnsiTheme="minorHAnsi"/>
                <w:i/>
              </w:rPr>
              <w:t xml:space="preserve">Cash for </w:t>
            </w:r>
            <w:r w:rsidR="007C06D8" w:rsidRPr="00312BAD">
              <w:rPr>
                <w:rStyle w:val="answertext"/>
                <w:rFonts w:asciiTheme="minorHAnsi" w:hAnsiTheme="minorHAnsi"/>
                <w:i/>
              </w:rPr>
              <w:t xml:space="preserve">Work </w:t>
            </w:r>
            <w:r w:rsidR="007C06D8" w:rsidRPr="00312BAD">
              <w:rPr>
                <w:rStyle w:val="answertext"/>
                <w:rFonts w:asciiTheme="minorHAnsi" w:hAnsiTheme="minorHAnsi"/>
              </w:rPr>
              <w:t>Programme</w:t>
            </w:r>
            <w:r w:rsidRPr="00312BAD">
              <w:rPr>
                <w:rStyle w:val="answertext"/>
                <w:rFonts w:asciiTheme="minorHAnsi" w:hAnsiTheme="minorHAnsi"/>
              </w:rPr>
              <w:t xml:space="preserve"> in Koro Island for debris clearance and management. About two hundred and seventy-three (273) youths were engaged in the </w:t>
            </w:r>
            <w:r w:rsidRPr="00312BAD">
              <w:rPr>
                <w:rStyle w:val="answertext"/>
                <w:rFonts w:asciiTheme="minorHAnsi" w:hAnsiTheme="minorHAnsi"/>
                <w:i/>
              </w:rPr>
              <w:t>Cash for Work</w:t>
            </w:r>
            <w:r w:rsidRPr="00312BAD">
              <w:rPr>
                <w:rStyle w:val="answertext"/>
                <w:rFonts w:asciiTheme="minorHAnsi" w:hAnsiTheme="minorHAnsi"/>
              </w:rPr>
              <w:t xml:space="preserve"> program from eight villages</w:t>
            </w:r>
            <w:r w:rsidR="00F223EA" w:rsidRPr="00312BAD">
              <w:rPr>
                <w:rStyle w:val="answertext"/>
                <w:rFonts w:asciiTheme="minorHAnsi" w:hAnsiTheme="minorHAnsi"/>
              </w:rPr>
              <w:t>,</w:t>
            </w:r>
            <w:r w:rsidRPr="00312BAD">
              <w:rPr>
                <w:rStyle w:val="answertext"/>
                <w:rFonts w:asciiTheme="minorHAnsi" w:hAnsiTheme="minorHAnsi"/>
              </w:rPr>
              <w:t xml:space="preserve"> </w:t>
            </w:r>
            <w:r w:rsidR="00F223EA" w:rsidRPr="00312BAD">
              <w:rPr>
                <w:rStyle w:val="answertext"/>
                <w:rFonts w:asciiTheme="minorHAnsi" w:hAnsiTheme="minorHAnsi"/>
              </w:rPr>
              <w:t xml:space="preserve">of which </w:t>
            </w:r>
            <w:r w:rsidRPr="00312BAD">
              <w:rPr>
                <w:rStyle w:val="answertext"/>
                <w:rFonts w:asciiTheme="minorHAnsi" w:hAnsiTheme="minorHAnsi"/>
              </w:rPr>
              <w:t>twenty-one percent (21%) were females and around seventy-nine percent (79%) were males. The cash for work programme provided the youths with immediate temporary livelihood through cash to clear the debris.</w:t>
            </w:r>
          </w:p>
          <w:p w14:paraId="1C089D91" w14:textId="77777777" w:rsidR="008173A4" w:rsidRPr="00312BAD" w:rsidRDefault="00805C7D" w:rsidP="006668F6">
            <w:pPr>
              <w:pStyle w:val="BodyText2"/>
              <w:numPr>
                <w:ilvl w:val="0"/>
                <w:numId w:val="37"/>
              </w:numPr>
              <w:jc w:val="both"/>
              <w:rPr>
                <w:rStyle w:val="answertext"/>
                <w:rFonts w:asciiTheme="minorHAnsi" w:hAnsiTheme="minorHAnsi"/>
              </w:rPr>
            </w:pPr>
            <w:r w:rsidRPr="00312BAD">
              <w:rPr>
                <w:rStyle w:val="answertext"/>
                <w:rFonts w:asciiTheme="minorHAnsi" w:hAnsiTheme="minorHAnsi"/>
              </w:rPr>
              <w:lastRenderedPageBreak/>
              <w:t xml:space="preserve">Increased national commitment to security sector reform, anti-corruption, freedom of information, and human rights-based approaches to development Progress and Achievements </w:t>
            </w:r>
            <w:r w:rsidR="00AF1A34" w:rsidRPr="00312BAD">
              <w:rPr>
                <w:rStyle w:val="answertext"/>
                <w:rFonts w:asciiTheme="minorHAnsi" w:hAnsiTheme="minorHAnsi"/>
              </w:rPr>
              <w:t>Responding to direct requests from the Parliaments of PNG and Bougainville, through the UNDP PNG Country Office (CO), the PO facilitated ICT assessments of both legislatures to examine current capacity and provided recommendations on ways in which ICT could improve the effectiveness of the institutions. Additionally, the PO provided technical and organizational input into a training session for selected Bougainville and PNG MPs and Parliament staff in Fiji that focussed on the role of MPs in their work in the legislature and in their wider community roles. In Niue, the PO responded to a request for training for the Parliament and Public Accounts Committee on financial oversight, through a joint intervention by the Regional Programme and the United Nations Pacific Regional Anti-Corruption Project (UN-PRAC).</w:t>
            </w:r>
          </w:p>
          <w:p w14:paraId="11917548" w14:textId="77777777" w:rsidR="006668F6" w:rsidRPr="00312BAD" w:rsidRDefault="008173A4" w:rsidP="006668F6">
            <w:pPr>
              <w:pStyle w:val="BodyText2"/>
              <w:numPr>
                <w:ilvl w:val="0"/>
                <w:numId w:val="37"/>
              </w:numPr>
              <w:jc w:val="both"/>
              <w:rPr>
                <w:rStyle w:val="answertext"/>
                <w:rFonts w:asciiTheme="minorHAnsi" w:hAnsiTheme="minorHAnsi"/>
              </w:rPr>
            </w:pPr>
            <w:r w:rsidRPr="00312BAD">
              <w:rPr>
                <w:rStyle w:val="answertext"/>
                <w:rFonts w:asciiTheme="minorHAnsi" w:hAnsiTheme="minorHAnsi"/>
              </w:rPr>
              <w:t xml:space="preserve">Fiji Rights, Empowerment &amp; Cohesion for rural &amp; urban </w:t>
            </w:r>
            <w:r w:rsidRPr="00312BAD">
              <w:rPr>
                <w:rStyle w:val="answertext"/>
                <w:rFonts w:asciiTheme="minorHAnsi" w:hAnsiTheme="minorHAnsi"/>
                <w:i/>
              </w:rPr>
              <w:t xml:space="preserve">Fijians </w:t>
            </w:r>
            <w:r w:rsidR="00623F26">
              <w:rPr>
                <w:rStyle w:val="answertext"/>
                <w:rFonts w:asciiTheme="minorHAnsi" w:hAnsiTheme="minorHAnsi"/>
                <w:i/>
              </w:rPr>
              <w:t>Rights, Empowerment and Cohesion project (REACH),</w:t>
            </w:r>
            <w:r w:rsidRPr="00312BAD">
              <w:rPr>
                <w:rStyle w:val="answertext"/>
                <w:rFonts w:asciiTheme="minorHAnsi" w:hAnsiTheme="minorHAnsi"/>
              </w:rPr>
              <w:t xml:space="preserve"> during 2015 and 2016 mobile teams, comprised of representatives from the Legal Aid Commission and Ministry of Women, Children and Poverty Alleviation, and UNDP; raised the awareness of 1,275 people (547 women and 572 men and 156 children), with approximately 90% of participants reporting increased knowledge and awareness. Importantly the mobile teams delivered 855 services to the people who attended these presentations that were conducted in 55 remote rural communities across Northern Division and Central Division</w:t>
            </w:r>
          </w:p>
          <w:p w14:paraId="144D0813" w14:textId="77777777" w:rsidR="006668F6" w:rsidRPr="00312BAD" w:rsidRDefault="00DD4B39" w:rsidP="006668F6">
            <w:pPr>
              <w:pStyle w:val="BodyText2"/>
              <w:numPr>
                <w:ilvl w:val="0"/>
                <w:numId w:val="37"/>
              </w:numPr>
              <w:jc w:val="both"/>
              <w:rPr>
                <w:rStyle w:val="answertext"/>
                <w:rFonts w:asciiTheme="minorHAnsi" w:hAnsiTheme="minorHAnsi"/>
              </w:rPr>
            </w:pPr>
            <w:r w:rsidRPr="00312BAD">
              <w:rPr>
                <w:rStyle w:val="answertext"/>
                <w:rFonts w:asciiTheme="minorHAnsi" w:hAnsiTheme="minorHAnsi"/>
              </w:rPr>
              <w:t xml:space="preserve">UNDP’s comparative advantage as a significant player in the health sector is based on its experience in multi-sectoral approach to HIV/AIDs and its Intellectual capital on the analysis of NCDs and other health issues from as a socio-economic/development angel rather than through a narrow bio-medical scope, which leads to greater focus on the diseases’ underlying causes/ socio-economic determinants. In addition, as the Principal Recipient (PR) of the Global Fund for AIDS, Tuberculosis and Malaria (GFATM) in the Pacific (and globally in about 25 countries), UNDP leveraged GF grants for health systems strengthening beyond HIV, TB and malaria and played a role in strengthening the normative agenda for example, implementing people centered policies and human-rights based approaches. </w:t>
            </w:r>
          </w:p>
          <w:p w14:paraId="6A3B8E3A" w14:textId="77777777" w:rsidR="006668F6" w:rsidRPr="00312BAD" w:rsidRDefault="00DD4B39" w:rsidP="006668F6">
            <w:pPr>
              <w:pStyle w:val="BodyText2"/>
              <w:numPr>
                <w:ilvl w:val="0"/>
                <w:numId w:val="37"/>
              </w:numPr>
              <w:jc w:val="both"/>
              <w:rPr>
                <w:rStyle w:val="answertext"/>
                <w:rFonts w:asciiTheme="minorHAnsi" w:hAnsiTheme="minorHAnsi"/>
              </w:rPr>
            </w:pPr>
            <w:r w:rsidRPr="00312BAD">
              <w:rPr>
                <w:rStyle w:val="answertext"/>
                <w:rFonts w:asciiTheme="minorHAnsi" w:hAnsiTheme="minorHAnsi"/>
              </w:rPr>
              <w:t xml:space="preserve">With the support of DFAT, UNDP PO contributed to regional efforts aimed at strengthening multi-sectoral action on Non-Communicable Diseases (NCDs). More specifically, UNDP pooled resources with WHO, SPC and other partners, to develop capacities for legislative and regulatory approaches to NCDs and promote greater policy coherence between health and trade.  </w:t>
            </w:r>
          </w:p>
          <w:p w14:paraId="09CC324C" w14:textId="77777777" w:rsidR="00DD4B39" w:rsidRPr="00312BAD" w:rsidRDefault="00DD4B39" w:rsidP="006668F6">
            <w:pPr>
              <w:pStyle w:val="BodyText2"/>
              <w:numPr>
                <w:ilvl w:val="0"/>
                <w:numId w:val="37"/>
              </w:numPr>
              <w:jc w:val="both"/>
              <w:rPr>
                <w:rStyle w:val="answertext"/>
                <w:rFonts w:asciiTheme="minorHAnsi" w:hAnsiTheme="minorHAnsi"/>
              </w:rPr>
            </w:pPr>
            <w:r w:rsidRPr="00312BAD">
              <w:rPr>
                <w:rStyle w:val="answertext"/>
                <w:rFonts w:asciiTheme="minorHAnsi" w:hAnsiTheme="minorHAnsi"/>
              </w:rPr>
              <w:t xml:space="preserve">UNDP played a broker role between health and other sectors such as trade and the law, which is a role not played by any other agency. Through UNDP’s efforts, NCDs are now being analyzed as a socio-economic/ development issue rather than a bio-medical health issue only. </w:t>
            </w:r>
          </w:p>
        </w:tc>
      </w:tr>
      <w:tr w:rsidR="008156B4" w:rsidRPr="008156B4" w14:paraId="6D240E84" w14:textId="77777777" w:rsidTr="00EF2695">
        <w:tc>
          <w:tcPr>
            <w:tcW w:w="3060" w:type="dxa"/>
            <w:shd w:val="clear" w:color="auto" w:fill="95B3D7" w:themeFill="accent1" w:themeFillTint="99"/>
          </w:tcPr>
          <w:p w14:paraId="0A139745" w14:textId="60B01DA2" w:rsidR="00EF2695" w:rsidRPr="0058303C" w:rsidRDefault="0027237C" w:rsidP="007F7914">
            <w:pPr>
              <w:pStyle w:val="BodyText2"/>
              <w:rPr>
                <w:rFonts w:asciiTheme="minorHAnsi" w:hAnsiTheme="minorHAnsi"/>
                <w:b/>
                <w:color w:val="000000" w:themeColor="text1"/>
              </w:rPr>
            </w:pPr>
            <w:r>
              <w:rPr>
                <w:rFonts w:asciiTheme="minorHAnsi" w:hAnsiTheme="minorHAnsi"/>
                <w:b/>
                <w:color w:val="000000" w:themeColor="text1"/>
              </w:rPr>
              <w:lastRenderedPageBreak/>
              <w:t>SRPD</w:t>
            </w:r>
            <w:r w:rsidR="00EF2695" w:rsidRPr="00860C13">
              <w:rPr>
                <w:rFonts w:asciiTheme="minorHAnsi" w:hAnsiTheme="minorHAnsi"/>
                <w:b/>
                <w:color w:val="000000" w:themeColor="text1"/>
              </w:rPr>
              <w:t xml:space="preserve"> Outcome </w:t>
            </w:r>
            <w:r>
              <w:rPr>
                <w:rFonts w:asciiTheme="minorHAnsi" w:hAnsiTheme="minorHAnsi"/>
                <w:b/>
                <w:color w:val="000000" w:themeColor="text1"/>
              </w:rPr>
              <w:t>3</w:t>
            </w:r>
          </w:p>
          <w:p w14:paraId="2C9EF966" w14:textId="77777777" w:rsidR="00BB4336" w:rsidRPr="0058303C" w:rsidRDefault="00BB4336" w:rsidP="007F7914">
            <w:pPr>
              <w:pStyle w:val="BodyText2"/>
              <w:rPr>
                <w:rFonts w:asciiTheme="minorHAnsi" w:hAnsiTheme="minorHAnsi"/>
                <w:b/>
                <w:color w:val="000000" w:themeColor="text1"/>
              </w:rPr>
            </w:pPr>
          </w:p>
          <w:p w14:paraId="69D294E5" w14:textId="77777777" w:rsidR="00C052EF" w:rsidRPr="0058303C" w:rsidRDefault="001527BE" w:rsidP="00C052EF">
            <w:pPr>
              <w:rPr>
                <w:rFonts w:asciiTheme="minorHAnsi" w:hAnsiTheme="minorHAnsi" w:cs="Segoe UI"/>
                <w:color w:val="FF0000"/>
                <w:sz w:val="20"/>
              </w:rPr>
            </w:pPr>
            <w:r w:rsidRPr="0058303C">
              <w:rPr>
                <w:rFonts w:asciiTheme="minorHAnsi" w:hAnsiTheme="minorHAnsi" w:cs="Segoe UI"/>
                <w:color w:val="000000" w:themeColor="text1"/>
                <w:sz w:val="20"/>
              </w:rPr>
              <w:t>Increased women’s participation through legislation and policies that advance women’s leadership at all levels</w:t>
            </w:r>
            <w:r w:rsidRPr="0058303C">
              <w:rPr>
                <w:rFonts w:asciiTheme="minorHAnsi" w:hAnsiTheme="minorHAnsi" w:cs="Segoe UI"/>
                <w:color w:val="FF0000"/>
                <w:sz w:val="20"/>
              </w:rPr>
              <w:t>.</w:t>
            </w:r>
          </w:p>
          <w:p w14:paraId="4EA70309" w14:textId="77777777" w:rsidR="00EF2695" w:rsidRPr="00312BAD" w:rsidRDefault="00EF2695" w:rsidP="00A80BB7">
            <w:pPr>
              <w:ind w:firstLine="720"/>
              <w:jc w:val="right"/>
              <w:rPr>
                <w:rFonts w:asciiTheme="minorHAnsi" w:hAnsiTheme="minorHAnsi"/>
                <w:sz w:val="20"/>
              </w:rPr>
            </w:pPr>
          </w:p>
        </w:tc>
        <w:tc>
          <w:tcPr>
            <w:tcW w:w="1530" w:type="dxa"/>
            <w:gridSpan w:val="2"/>
            <w:shd w:val="clear" w:color="auto" w:fill="auto"/>
          </w:tcPr>
          <w:p w14:paraId="782C550C" w14:textId="5F6DC82F" w:rsidR="00EF2695" w:rsidRPr="00860C13" w:rsidRDefault="003122CE" w:rsidP="007F7914">
            <w:pPr>
              <w:pStyle w:val="BodyText2"/>
              <w:rPr>
                <w:rFonts w:asciiTheme="minorHAnsi" w:hAnsiTheme="minorHAnsi"/>
              </w:rPr>
            </w:pPr>
            <w:r>
              <w:rPr>
                <w:rFonts w:asciiTheme="minorHAnsi" w:hAnsiTheme="minorHAnsi"/>
              </w:rPr>
              <w:t>See section III, page 11</w:t>
            </w:r>
          </w:p>
        </w:tc>
        <w:tc>
          <w:tcPr>
            <w:tcW w:w="3960" w:type="dxa"/>
            <w:tcBorders>
              <w:left w:val="single" w:sz="4" w:space="0" w:color="auto"/>
            </w:tcBorders>
          </w:tcPr>
          <w:p w14:paraId="57C792F6" w14:textId="77777777" w:rsidR="00D701C0" w:rsidRPr="00312BAD" w:rsidRDefault="0059123E" w:rsidP="00D701C0">
            <w:pPr>
              <w:pStyle w:val="BodyText2"/>
              <w:jc w:val="both"/>
              <w:rPr>
                <w:rFonts w:asciiTheme="minorHAnsi" w:hAnsiTheme="minorHAnsi" w:cs="Segoe UI"/>
                <w:color w:val="000000" w:themeColor="text1"/>
              </w:rPr>
            </w:pPr>
            <w:r w:rsidRPr="00312BAD">
              <w:rPr>
                <w:rFonts w:asciiTheme="minorHAnsi" w:hAnsiTheme="minorHAnsi" w:cs="Segoe UI"/>
                <w:color w:val="000000" w:themeColor="text1"/>
              </w:rPr>
              <w:t xml:space="preserve">a. </w:t>
            </w:r>
            <w:r w:rsidR="00D701C0" w:rsidRPr="00312BAD">
              <w:rPr>
                <w:rFonts w:asciiTheme="minorHAnsi" w:hAnsiTheme="minorHAnsi" w:cs="Segoe UI"/>
                <w:color w:val="000000" w:themeColor="text1"/>
              </w:rPr>
              <w:t>Number of women in national parliaments and provincial or local councils and in leadership positions in public and private sectors; Human Development Report gender development index</w:t>
            </w:r>
          </w:p>
          <w:p w14:paraId="1E5DCCE6" w14:textId="77777777" w:rsidR="00D701C0" w:rsidRPr="00312BAD" w:rsidRDefault="00D701C0" w:rsidP="00D701C0">
            <w:pPr>
              <w:pStyle w:val="BodyText2"/>
              <w:jc w:val="both"/>
              <w:rPr>
                <w:rFonts w:asciiTheme="minorHAnsi" w:hAnsiTheme="minorHAnsi" w:cs="Segoe UI"/>
                <w:color w:val="000000" w:themeColor="text1"/>
              </w:rPr>
            </w:pPr>
          </w:p>
          <w:p w14:paraId="0F8A4BC1" w14:textId="77777777" w:rsidR="00D701C0" w:rsidRPr="00312BAD" w:rsidRDefault="00D701C0" w:rsidP="00D701C0">
            <w:pPr>
              <w:pStyle w:val="BodyText2"/>
              <w:jc w:val="both"/>
              <w:rPr>
                <w:rFonts w:asciiTheme="minorHAnsi" w:hAnsiTheme="minorHAnsi" w:cs="Segoe UI"/>
                <w:color w:val="000000" w:themeColor="text1"/>
              </w:rPr>
            </w:pPr>
            <w:r w:rsidRPr="00312BAD">
              <w:rPr>
                <w:rFonts w:asciiTheme="minorHAnsi" w:hAnsiTheme="minorHAnsi" w:cs="Segoe UI"/>
                <w:color w:val="000000" w:themeColor="text1"/>
              </w:rPr>
              <w:t>Baseline: 2011 or latest available data</w:t>
            </w:r>
          </w:p>
          <w:p w14:paraId="4788E76E" w14:textId="77777777" w:rsidR="00EF2695" w:rsidRPr="00312BAD" w:rsidRDefault="00D701C0" w:rsidP="00D701C0">
            <w:pPr>
              <w:pStyle w:val="BodyText2"/>
              <w:jc w:val="both"/>
              <w:rPr>
                <w:rFonts w:asciiTheme="minorHAnsi" w:hAnsiTheme="minorHAnsi" w:cs="Segoe UI"/>
                <w:color w:val="000000" w:themeColor="text1"/>
              </w:rPr>
            </w:pPr>
            <w:r w:rsidRPr="00312BAD">
              <w:rPr>
                <w:rFonts w:asciiTheme="minorHAnsi" w:hAnsiTheme="minorHAnsi" w:cs="Segoe UI"/>
                <w:color w:val="000000" w:themeColor="text1"/>
              </w:rPr>
              <w:t>Target: To be determined, on country basis</w:t>
            </w:r>
          </w:p>
          <w:p w14:paraId="6A234944" w14:textId="77777777" w:rsidR="00C052EF" w:rsidRPr="00312BAD" w:rsidRDefault="00C052EF" w:rsidP="00C052EF">
            <w:pPr>
              <w:pStyle w:val="BodyText2"/>
              <w:tabs>
                <w:tab w:val="left" w:pos="1335"/>
              </w:tabs>
              <w:jc w:val="both"/>
              <w:rPr>
                <w:rFonts w:asciiTheme="minorHAnsi" w:hAnsiTheme="minorHAnsi" w:cs="Segoe UI"/>
                <w:color w:val="000000" w:themeColor="text1"/>
              </w:rPr>
            </w:pPr>
          </w:p>
        </w:tc>
        <w:tc>
          <w:tcPr>
            <w:tcW w:w="5490" w:type="dxa"/>
            <w:shd w:val="clear" w:color="auto" w:fill="auto"/>
          </w:tcPr>
          <w:p w14:paraId="66BE9B87" w14:textId="1B37CF59" w:rsidR="00EF2695" w:rsidRPr="00312BAD" w:rsidRDefault="00E51321" w:rsidP="00B61FFB">
            <w:pPr>
              <w:pStyle w:val="BodyText2"/>
              <w:numPr>
                <w:ilvl w:val="0"/>
                <w:numId w:val="45"/>
              </w:numPr>
              <w:jc w:val="both"/>
              <w:rPr>
                <w:rStyle w:val="answertext"/>
                <w:rFonts w:asciiTheme="minorHAnsi" w:hAnsiTheme="minorHAnsi"/>
                <w:i/>
                <w:color w:val="000000" w:themeColor="text1"/>
              </w:rPr>
            </w:pPr>
            <w:r w:rsidRPr="00312BAD">
              <w:rPr>
                <w:rStyle w:val="answertext"/>
                <w:rFonts w:asciiTheme="minorHAnsi" w:hAnsiTheme="minorHAnsi"/>
                <w:color w:val="000000" w:themeColor="text1"/>
              </w:rPr>
              <w:t xml:space="preserve">There </w:t>
            </w:r>
            <w:r w:rsidR="00A67A21" w:rsidRPr="00312BAD">
              <w:rPr>
                <w:rStyle w:val="answertext"/>
                <w:rFonts w:asciiTheme="minorHAnsi" w:hAnsiTheme="minorHAnsi"/>
                <w:color w:val="000000" w:themeColor="text1"/>
              </w:rPr>
              <w:t>is no ongoing projects linked to this outcome</w:t>
            </w:r>
            <w:r w:rsidRPr="00312BAD">
              <w:rPr>
                <w:rStyle w:val="answertext"/>
                <w:rFonts w:asciiTheme="minorHAnsi" w:hAnsiTheme="minorHAnsi"/>
                <w:color w:val="000000" w:themeColor="text1"/>
              </w:rPr>
              <w:t xml:space="preserve"> as</w:t>
            </w:r>
            <w:r w:rsidR="00A67A21" w:rsidRPr="00312BAD">
              <w:rPr>
                <w:rStyle w:val="answertext"/>
                <w:rFonts w:asciiTheme="minorHAnsi" w:hAnsiTheme="minorHAnsi"/>
                <w:color w:val="000000" w:themeColor="text1"/>
              </w:rPr>
              <w:t xml:space="preserve"> women's political participation is fully integrated in projects under Outcome </w:t>
            </w:r>
            <w:r w:rsidR="00B61FFB">
              <w:rPr>
                <w:rStyle w:val="answertext"/>
                <w:rFonts w:asciiTheme="minorHAnsi" w:hAnsiTheme="minorHAnsi"/>
                <w:color w:val="000000" w:themeColor="text1"/>
              </w:rPr>
              <w:t>1</w:t>
            </w:r>
            <w:r w:rsidRPr="00312BAD">
              <w:rPr>
                <w:rStyle w:val="answertext"/>
                <w:rFonts w:asciiTheme="minorHAnsi" w:hAnsiTheme="minorHAnsi"/>
                <w:color w:val="000000" w:themeColor="text1"/>
              </w:rPr>
              <w:t>.</w:t>
            </w:r>
            <w:r w:rsidR="00A67A21" w:rsidRPr="00312BAD">
              <w:rPr>
                <w:rStyle w:val="answertext"/>
                <w:rFonts w:asciiTheme="minorHAnsi" w:hAnsiTheme="minorHAnsi"/>
                <w:color w:val="000000" w:themeColor="text1"/>
              </w:rPr>
              <w:t xml:space="preserve"> Working with Pacific Governments to promote and discuss the legal framework to support Temporary Special Measures (TSMs) including gender quota, remains a challenge for UNDP in its effort to increase women's political participation</w:t>
            </w:r>
            <w:r w:rsidRPr="00312BAD">
              <w:rPr>
                <w:rStyle w:val="answertext"/>
                <w:rFonts w:asciiTheme="minorHAnsi" w:hAnsiTheme="minorHAnsi"/>
                <w:color w:val="000000" w:themeColor="text1"/>
              </w:rPr>
              <w:t>.  The</w:t>
            </w:r>
            <w:r w:rsidR="00A67A21" w:rsidRPr="00312BAD">
              <w:rPr>
                <w:rStyle w:val="answertext"/>
                <w:rFonts w:asciiTheme="minorHAnsi" w:hAnsiTheme="minorHAnsi"/>
                <w:color w:val="000000" w:themeColor="text1"/>
              </w:rPr>
              <w:t xml:space="preserve"> new UNDP knowledge product on this issue should assist in facilitating national and regional discussions. UNDP has started work with Solomon Island political parties to review party structures and possible strategies to support women candidates during the 3 phase</w:t>
            </w:r>
            <w:r w:rsidRPr="00312BAD">
              <w:rPr>
                <w:rStyle w:val="answertext"/>
                <w:rFonts w:asciiTheme="minorHAnsi" w:hAnsiTheme="minorHAnsi"/>
                <w:color w:val="000000" w:themeColor="text1"/>
              </w:rPr>
              <w:t>s</w:t>
            </w:r>
            <w:r w:rsidR="00A67A21" w:rsidRPr="00312BAD">
              <w:rPr>
                <w:rStyle w:val="answertext"/>
                <w:rFonts w:asciiTheme="minorHAnsi" w:hAnsiTheme="minorHAnsi"/>
                <w:color w:val="000000" w:themeColor="text1"/>
              </w:rPr>
              <w:t xml:space="preserve"> of the electoral cycle. Thi</w:t>
            </w:r>
            <w:r w:rsidR="007B3775" w:rsidRPr="00312BAD">
              <w:rPr>
                <w:rStyle w:val="answertext"/>
                <w:rFonts w:asciiTheme="minorHAnsi" w:hAnsiTheme="minorHAnsi"/>
                <w:color w:val="000000" w:themeColor="text1"/>
              </w:rPr>
              <w:t>s work will be scaled up</w:t>
            </w:r>
            <w:r w:rsidR="00A67A21" w:rsidRPr="00312BAD">
              <w:rPr>
                <w:rStyle w:val="answertext"/>
                <w:rFonts w:asciiTheme="minorHAnsi" w:hAnsiTheme="minorHAnsi"/>
                <w:color w:val="000000" w:themeColor="text1"/>
              </w:rPr>
              <w:t xml:space="preserve">, as political parties prepare for 2018 national elections to </w:t>
            </w:r>
            <w:r w:rsidR="00A67A21" w:rsidRPr="00312BAD">
              <w:rPr>
                <w:rStyle w:val="answertext"/>
                <w:rFonts w:asciiTheme="minorHAnsi" w:hAnsiTheme="minorHAnsi"/>
                <w:color w:val="000000" w:themeColor="text1"/>
              </w:rPr>
              <w:lastRenderedPageBreak/>
              <w:t xml:space="preserve">fulfill the mandatory 10% quota of women candidates endorsed to stand for party in the elections. Providing support for establishment of a women caucus has had no movement in the 10 countries </w:t>
            </w:r>
            <w:r w:rsidRPr="00312BAD">
              <w:rPr>
                <w:rStyle w:val="answertext"/>
                <w:rFonts w:asciiTheme="minorHAnsi" w:hAnsiTheme="minorHAnsi"/>
                <w:color w:val="000000" w:themeColor="text1"/>
              </w:rPr>
              <w:t xml:space="preserve">which </w:t>
            </w:r>
            <w:r w:rsidR="00A67A21" w:rsidRPr="00312BAD">
              <w:rPr>
                <w:rStyle w:val="answertext"/>
                <w:rFonts w:asciiTheme="minorHAnsi" w:hAnsiTheme="minorHAnsi"/>
                <w:color w:val="000000" w:themeColor="text1"/>
              </w:rPr>
              <w:t>UNDP Pacific Office in Fiji is working in. This is due in part to the fact that there are no women MPs</w:t>
            </w:r>
            <w:r w:rsidRPr="00312BAD">
              <w:rPr>
                <w:rStyle w:val="answertext"/>
                <w:rFonts w:asciiTheme="minorHAnsi" w:hAnsiTheme="minorHAnsi"/>
                <w:color w:val="000000" w:themeColor="text1"/>
              </w:rPr>
              <w:t>,</w:t>
            </w:r>
            <w:r w:rsidR="00A67A21" w:rsidRPr="00312BAD">
              <w:rPr>
                <w:rStyle w:val="answertext"/>
                <w:rFonts w:asciiTheme="minorHAnsi" w:hAnsiTheme="minorHAnsi"/>
                <w:color w:val="000000" w:themeColor="text1"/>
              </w:rPr>
              <w:t xml:space="preserve"> with the exception of Fiji and RMI.</w:t>
            </w:r>
          </w:p>
          <w:p w14:paraId="3961847A" w14:textId="77777777" w:rsidR="00231EF9" w:rsidRPr="00312BAD" w:rsidRDefault="00231EF9" w:rsidP="00B61FFB">
            <w:pPr>
              <w:pStyle w:val="BodyText2"/>
              <w:numPr>
                <w:ilvl w:val="0"/>
                <w:numId w:val="45"/>
              </w:numPr>
              <w:jc w:val="both"/>
              <w:rPr>
                <w:rFonts w:asciiTheme="minorHAnsi" w:hAnsiTheme="minorHAnsi"/>
                <w:i/>
                <w:color w:val="000000" w:themeColor="text1"/>
              </w:rPr>
            </w:pPr>
            <w:r w:rsidRPr="00312BAD">
              <w:rPr>
                <w:rStyle w:val="answertext"/>
                <w:rFonts w:asciiTheme="minorHAnsi" w:hAnsiTheme="minorHAnsi"/>
              </w:rPr>
              <w:t xml:space="preserve">Through UNDP support, the number of women candidate during the last election in Samoa has increased by 200%. Through the enactment of the special measure, Samoa managed to fill the 10% quota of women in the parliament. </w:t>
            </w:r>
          </w:p>
        </w:tc>
      </w:tr>
      <w:tr w:rsidR="00A80BB7" w:rsidRPr="00920DBC" w14:paraId="3A5BD607" w14:textId="77777777" w:rsidTr="00A80BB7">
        <w:tc>
          <w:tcPr>
            <w:tcW w:w="14040" w:type="dxa"/>
            <w:gridSpan w:val="5"/>
            <w:shd w:val="clear" w:color="auto" w:fill="auto"/>
          </w:tcPr>
          <w:p w14:paraId="1B4DC1C3" w14:textId="77777777" w:rsidR="00A80BB7" w:rsidRPr="00860C13" w:rsidRDefault="00A80BB7" w:rsidP="00A80BB7">
            <w:pPr>
              <w:pStyle w:val="BodyText2"/>
              <w:rPr>
                <w:rFonts w:asciiTheme="minorHAnsi" w:hAnsiTheme="minorHAnsi"/>
                <w:b/>
              </w:rPr>
            </w:pPr>
            <w:r w:rsidRPr="00860C13">
              <w:rPr>
                <w:rFonts w:asciiTheme="minorHAnsi" w:hAnsiTheme="minorHAnsi"/>
                <w:b/>
              </w:rPr>
              <w:lastRenderedPageBreak/>
              <w:t>UNDP Contribution:</w:t>
            </w:r>
          </w:p>
          <w:p w14:paraId="110F0739" w14:textId="471A5695" w:rsidR="00A80BB7" w:rsidRPr="00312BAD" w:rsidRDefault="0027237C" w:rsidP="00A80BB7">
            <w:pPr>
              <w:pStyle w:val="BodyText2"/>
              <w:rPr>
                <w:rFonts w:asciiTheme="minorHAnsi" w:hAnsiTheme="minorHAnsi"/>
                <w:color w:val="000000" w:themeColor="text1"/>
              </w:rPr>
            </w:pPr>
            <w:r>
              <w:rPr>
                <w:rFonts w:asciiTheme="minorHAnsi" w:hAnsiTheme="minorHAnsi"/>
                <w:color w:val="000000" w:themeColor="text1"/>
                <w:u w:val="single"/>
              </w:rPr>
              <w:t>SRPD</w:t>
            </w:r>
            <w:r w:rsidR="00A80BB7" w:rsidRPr="00312BAD">
              <w:rPr>
                <w:rFonts w:asciiTheme="minorHAnsi" w:hAnsiTheme="minorHAnsi"/>
                <w:color w:val="000000" w:themeColor="text1"/>
                <w:u w:val="single"/>
              </w:rPr>
              <w:t xml:space="preserve"> Outputs</w:t>
            </w:r>
            <w:r w:rsidR="00A80BB7" w:rsidRPr="00312BAD">
              <w:rPr>
                <w:rFonts w:asciiTheme="minorHAnsi" w:hAnsiTheme="minorHAnsi"/>
                <w:color w:val="000000" w:themeColor="text1"/>
              </w:rPr>
              <w:t>:</w:t>
            </w:r>
          </w:p>
          <w:p w14:paraId="4D3F1588" w14:textId="77777777" w:rsidR="00A80BB7" w:rsidRPr="00312BAD" w:rsidRDefault="00A67A21" w:rsidP="00A67A21">
            <w:pPr>
              <w:pStyle w:val="Default"/>
              <w:numPr>
                <w:ilvl w:val="0"/>
                <w:numId w:val="35"/>
              </w:numPr>
              <w:rPr>
                <w:rFonts w:asciiTheme="minorHAnsi" w:hAnsiTheme="minorHAnsi"/>
                <w:color w:val="000000" w:themeColor="text1"/>
                <w:sz w:val="20"/>
                <w:szCs w:val="20"/>
              </w:rPr>
            </w:pPr>
            <w:r w:rsidRPr="00312BAD">
              <w:rPr>
                <w:rFonts w:asciiTheme="minorHAnsi" w:hAnsiTheme="minorHAnsi"/>
                <w:color w:val="000000" w:themeColor="text1"/>
                <w:sz w:val="20"/>
                <w:szCs w:val="20"/>
              </w:rPr>
              <w:t xml:space="preserve">Special measures adopted in some countries to support increased participation of women in parliament, or other efforts towards women political empowerment and leadership development based on country contexts, </w:t>
            </w:r>
            <w:r w:rsidR="00A6124A">
              <w:rPr>
                <w:rFonts w:asciiTheme="minorHAnsi" w:hAnsiTheme="minorHAnsi"/>
                <w:color w:val="000000" w:themeColor="text1"/>
                <w:sz w:val="20"/>
                <w:szCs w:val="20"/>
              </w:rPr>
              <w:t>and</w:t>
            </w:r>
            <w:r w:rsidR="00A6124A" w:rsidRPr="00312BAD">
              <w:rPr>
                <w:rFonts w:asciiTheme="minorHAnsi" w:hAnsiTheme="minorHAnsi"/>
                <w:color w:val="000000" w:themeColor="text1"/>
                <w:sz w:val="20"/>
                <w:szCs w:val="20"/>
              </w:rPr>
              <w:t xml:space="preserve"> </w:t>
            </w:r>
            <w:r w:rsidRPr="00312BAD">
              <w:rPr>
                <w:rFonts w:asciiTheme="minorHAnsi" w:hAnsiTheme="minorHAnsi"/>
                <w:color w:val="000000" w:themeColor="text1"/>
                <w:sz w:val="20"/>
                <w:szCs w:val="20"/>
              </w:rPr>
              <w:t xml:space="preserve">implemented. Women’s capacity and enabling policies, and the legal environment for women’s productive participation in the market and in the informal economy, are enhanced. </w:t>
            </w:r>
          </w:p>
          <w:p w14:paraId="0829EC82" w14:textId="77777777" w:rsidR="00A80BB7" w:rsidRPr="00312BAD" w:rsidRDefault="00A80BB7" w:rsidP="00A80BB7">
            <w:pPr>
              <w:pStyle w:val="BodyText2"/>
              <w:rPr>
                <w:rFonts w:asciiTheme="minorHAnsi" w:hAnsiTheme="minorHAnsi"/>
                <w:color w:val="000000" w:themeColor="text1"/>
              </w:rPr>
            </w:pPr>
            <w:r w:rsidRPr="00312BAD">
              <w:rPr>
                <w:rFonts w:asciiTheme="minorHAnsi" w:hAnsiTheme="minorHAnsi"/>
                <w:color w:val="000000" w:themeColor="text1"/>
                <w:u w:val="single"/>
              </w:rPr>
              <w:t>Progress and Achievements</w:t>
            </w:r>
            <w:r w:rsidRPr="00312BAD">
              <w:rPr>
                <w:rFonts w:asciiTheme="minorHAnsi" w:hAnsiTheme="minorHAnsi"/>
                <w:color w:val="000000" w:themeColor="text1"/>
              </w:rPr>
              <w:t>:</w:t>
            </w:r>
          </w:p>
          <w:p w14:paraId="4B62F27F" w14:textId="77777777" w:rsidR="0059123E" w:rsidRPr="00312BAD" w:rsidRDefault="00A80BB7" w:rsidP="00A80BB7">
            <w:pPr>
              <w:pStyle w:val="ListParagraph"/>
              <w:numPr>
                <w:ilvl w:val="0"/>
                <w:numId w:val="32"/>
              </w:numPr>
              <w:rPr>
                <w:rStyle w:val="answertext"/>
                <w:rFonts w:asciiTheme="minorHAnsi" w:hAnsiTheme="minorHAnsi"/>
                <w:color w:val="000000" w:themeColor="text1"/>
                <w:sz w:val="20"/>
              </w:rPr>
            </w:pPr>
            <w:r w:rsidRPr="00312BAD">
              <w:rPr>
                <w:rStyle w:val="answertext"/>
                <w:rFonts w:asciiTheme="minorHAnsi" w:hAnsiTheme="minorHAnsi"/>
                <w:color w:val="000000" w:themeColor="text1"/>
                <w:sz w:val="20"/>
              </w:rPr>
              <w:t>UNDP's results were through; Practice Parliaments for women in Fiji, Nauru and Tuvalu to encourage greater participation at the highest levels of decision making. UNDP, in partnership with the respective parliaments</w:t>
            </w:r>
            <w:r w:rsidR="00A6124A">
              <w:rPr>
                <w:rStyle w:val="answertext"/>
                <w:rFonts w:asciiTheme="minorHAnsi" w:hAnsiTheme="minorHAnsi"/>
                <w:color w:val="000000" w:themeColor="text1"/>
                <w:sz w:val="20"/>
              </w:rPr>
              <w:t>,</w:t>
            </w:r>
            <w:r w:rsidRPr="00312BAD">
              <w:rPr>
                <w:rStyle w:val="answertext"/>
                <w:rFonts w:asciiTheme="minorHAnsi" w:hAnsiTheme="minorHAnsi"/>
                <w:color w:val="000000" w:themeColor="text1"/>
                <w:sz w:val="20"/>
              </w:rPr>
              <w:t xml:space="preserve"> trained 90 women leaders (Fiji 50, Nauru 23, Tuvalu 17)</w:t>
            </w:r>
            <w:r w:rsidR="00A6124A">
              <w:rPr>
                <w:rStyle w:val="answertext"/>
                <w:rFonts w:asciiTheme="minorHAnsi" w:hAnsiTheme="minorHAnsi"/>
                <w:color w:val="000000" w:themeColor="text1"/>
                <w:sz w:val="20"/>
              </w:rPr>
              <w:t>.</w:t>
            </w:r>
            <w:r w:rsidRPr="00312BAD">
              <w:rPr>
                <w:rStyle w:val="answertext"/>
                <w:rFonts w:asciiTheme="minorHAnsi" w:hAnsiTheme="minorHAnsi"/>
                <w:color w:val="000000" w:themeColor="text1"/>
                <w:sz w:val="20"/>
              </w:rPr>
              <w:t xml:space="preserve"> Knowledge products to improve knowledge in the region on Temporary Special Measures &amp; Training Manual for Women Practice Parliament produced showcasing success stories and lessons learn</w:t>
            </w:r>
            <w:r w:rsidR="00A6124A">
              <w:rPr>
                <w:rStyle w:val="answertext"/>
                <w:rFonts w:asciiTheme="minorHAnsi" w:hAnsiTheme="minorHAnsi"/>
                <w:color w:val="000000" w:themeColor="text1"/>
                <w:sz w:val="20"/>
              </w:rPr>
              <w:t>t</w:t>
            </w:r>
            <w:r w:rsidRPr="00312BAD">
              <w:rPr>
                <w:rStyle w:val="answertext"/>
                <w:rFonts w:asciiTheme="minorHAnsi" w:hAnsiTheme="minorHAnsi"/>
                <w:color w:val="000000" w:themeColor="text1"/>
                <w:sz w:val="20"/>
              </w:rPr>
              <w:t xml:space="preserve"> from the Pacific in implementing Temporary Special Measures. The products provide</w:t>
            </w:r>
            <w:r w:rsidR="00A6124A">
              <w:rPr>
                <w:rStyle w:val="answertext"/>
                <w:rFonts w:asciiTheme="minorHAnsi" w:hAnsiTheme="minorHAnsi"/>
                <w:color w:val="000000" w:themeColor="text1"/>
                <w:sz w:val="20"/>
              </w:rPr>
              <w:t>d</w:t>
            </w:r>
            <w:r w:rsidRPr="00312BAD">
              <w:rPr>
                <w:rStyle w:val="answertext"/>
                <w:rFonts w:asciiTheme="minorHAnsi" w:hAnsiTheme="minorHAnsi"/>
                <w:color w:val="000000" w:themeColor="text1"/>
                <w:sz w:val="20"/>
              </w:rPr>
              <w:t xml:space="preserve"> invaluable training and experience for women leaders on parliamentary work, drawing on UNDP's experience in the Pacific since 2011. It is expected to inspire women's political participation. Training programme for Political parties in </w:t>
            </w:r>
            <w:r w:rsidR="0059123E" w:rsidRPr="00312BAD">
              <w:rPr>
                <w:rStyle w:val="answertext"/>
                <w:rFonts w:asciiTheme="minorHAnsi" w:hAnsiTheme="minorHAnsi"/>
                <w:color w:val="000000" w:themeColor="text1"/>
                <w:sz w:val="20"/>
              </w:rPr>
              <w:t>Solomon Islands</w:t>
            </w:r>
            <w:r w:rsidRPr="00312BAD">
              <w:rPr>
                <w:rStyle w:val="answertext"/>
                <w:rFonts w:asciiTheme="minorHAnsi" w:hAnsiTheme="minorHAnsi"/>
                <w:color w:val="000000" w:themeColor="text1"/>
                <w:sz w:val="20"/>
              </w:rPr>
              <w:t xml:space="preserve"> to empower </w:t>
            </w:r>
            <w:r w:rsidR="00A6124A">
              <w:rPr>
                <w:rStyle w:val="answertext"/>
                <w:rFonts w:asciiTheme="minorHAnsi" w:hAnsiTheme="minorHAnsi"/>
                <w:color w:val="000000" w:themeColor="text1"/>
                <w:sz w:val="20"/>
              </w:rPr>
              <w:t>w</w:t>
            </w:r>
            <w:r w:rsidRPr="00312BAD">
              <w:rPr>
                <w:rStyle w:val="answertext"/>
                <w:rFonts w:asciiTheme="minorHAnsi" w:hAnsiTheme="minorHAnsi"/>
                <w:color w:val="000000" w:themeColor="text1"/>
                <w:sz w:val="20"/>
              </w:rPr>
              <w:t xml:space="preserve">omen within their own party across the 3 phases of the electoral cycle helped political parties identify strategies to implement mandatory provisions of the Solomon Islands Integrity Act 2014, which sets a 10% quota for women candidate to contest elections under a political party, </w:t>
            </w:r>
            <w:r w:rsidR="00A6124A">
              <w:rPr>
                <w:rStyle w:val="answertext"/>
                <w:rFonts w:asciiTheme="minorHAnsi" w:hAnsiTheme="minorHAnsi"/>
                <w:color w:val="000000" w:themeColor="text1"/>
                <w:sz w:val="20"/>
              </w:rPr>
              <w:t>and encourages</w:t>
            </w:r>
            <w:r w:rsidRPr="00312BAD">
              <w:rPr>
                <w:rStyle w:val="answertext"/>
                <w:rFonts w:asciiTheme="minorHAnsi" w:hAnsiTheme="minorHAnsi"/>
                <w:color w:val="000000" w:themeColor="text1"/>
                <w:sz w:val="20"/>
              </w:rPr>
              <w:t xml:space="preserve"> political parties structure at all level </w:t>
            </w:r>
            <w:r w:rsidR="00A6124A">
              <w:rPr>
                <w:rStyle w:val="answertext"/>
                <w:rFonts w:asciiTheme="minorHAnsi" w:hAnsiTheme="minorHAnsi"/>
                <w:color w:val="000000" w:themeColor="text1"/>
                <w:sz w:val="20"/>
              </w:rPr>
              <w:t>to be</w:t>
            </w:r>
            <w:r w:rsidR="00A6124A" w:rsidRPr="00312BAD">
              <w:rPr>
                <w:rStyle w:val="answertext"/>
                <w:rFonts w:asciiTheme="minorHAnsi" w:hAnsiTheme="minorHAnsi"/>
                <w:color w:val="000000" w:themeColor="text1"/>
                <w:sz w:val="20"/>
              </w:rPr>
              <w:t xml:space="preserve"> </w:t>
            </w:r>
            <w:r w:rsidRPr="00312BAD">
              <w:rPr>
                <w:rStyle w:val="answertext"/>
                <w:rFonts w:asciiTheme="minorHAnsi" w:hAnsiTheme="minorHAnsi"/>
                <w:color w:val="000000" w:themeColor="text1"/>
                <w:sz w:val="20"/>
              </w:rPr>
              <w:t>representative.</w:t>
            </w:r>
          </w:p>
          <w:p w14:paraId="2DFDBF9D" w14:textId="77777777" w:rsidR="00A67A21" w:rsidRPr="00312BAD" w:rsidRDefault="00A67A21" w:rsidP="00A80BB7">
            <w:pPr>
              <w:pStyle w:val="ListParagraph"/>
              <w:numPr>
                <w:ilvl w:val="0"/>
                <w:numId w:val="32"/>
              </w:numPr>
              <w:rPr>
                <w:rStyle w:val="answertext"/>
                <w:rFonts w:asciiTheme="minorHAnsi" w:hAnsiTheme="minorHAnsi"/>
                <w:color w:val="FF0000"/>
                <w:sz w:val="20"/>
              </w:rPr>
            </w:pPr>
            <w:r w:rsidRPr="00312BAD">
              <w:rPr>
                <w:rStyle w:val="answertext"/>
                <w:rFonts w:asciiTheme="minorHAnsi" w:hAnsiTheme="minorHAnsi"/>
                <w:color w:val="000000" w:themeColor="text1"/>
                <w:sz w:val="20"/>
              </w:rPr>
              <w:t xml:space="preserve">UNDP targeted potential women leaders in rural and urban areas, working with CSOs and women's groups and political party commissions, elections office and parliaments to provide a conducive environment to support &amp; promote women's political participation. In the Solomon Island, this resulted in political parties taking steps to meet the Political Parties Integrity Act for a 10% female candidate quota for the 2018 election </w:t>
            </w:r>
          </w:p>
          <w:p w14:paraId="7AACBCD4" w14:textId="77777777" w:rsidR="00231EF9" w:rsidRPr="00312BAD" w:rsidRDefault="00231EF9" w:rsidP="00A80BB7">
            <w:pPr>
              <w:pStyle w:val="ListParagraph"/>
              <w:numPr>
                <w:ilvl w:val="0"/>
                <w:numId w:val="32"/>
              </w:numPr>
              <w:rPr>
                <w:rFonts w:asciiTheme="minorHAnsi" w:hAnsiTheme="minorHAnsi"/>
                <w:color w:val="FF0000"/>
                <w:sz w:val="20"/>
              </w:rPr>
            </w:pPr>
            <w:r w:rsidRPr="00312BAD">
              <w:rPr>
                <w:rStyle w:val="answertext"/>
                <w:rFonts w:asciiTheme="minorHAnsi" w:hAnsiTheme="minorHAnsi"/>
                <w:color w:val="000000" w:themeColor="text1"/>
                <w:sz w:val="20"/>
              </w:rPr>
              <w:t>The special measure has been adopted in Samoa to ensure a minimum 10% quota of women in the parliament. This measure was activated in the last election and women ha</w:t>
            </w:r>
            <w:r w:rsidR="00A6124A">
              <w:rPr>
                <w:rStyle w:val="answertext"/>
                <w:rFonts w:asciiTheme="minorHAnsi" w:hAnsiTheme="minorHAnsi"/>
                <w:color w:val="000000" w:themeColor="text1"/>
                <w:sz w:val="20"/>
              </w:rPr>
              <w:t>ve</w:t>
            </w:r>
            <w:r w:rsidRPr="00312BAD">
              <w:rPr>
                <w:rStyle w:val="answertext"/>
                <w:rFonts w:asciiTheme="minorHAnsi" w:hAnsiTheme="minorHAnsi"/>
                <w:color w:val="000000" w:themeColor="text1"/>
                <w:sz w:val="20"/>
              </w:rPr>
              <w:t xml:space="preserve"> 10% representative in Samoan parliament since 2016. </w:t>
            </w:r>
          </w:p>
          <w:p w14:paraId="4FD50634" w14:textId="77777777" w:rsidR="00A80BB7" w:rsidRPr="00860C13" w:rsidRDefault="00A80BB7" w:rsidP="00A80BB7">
            <w:pPr>
              <w:pStyle w:val="BodyText2"/>
              <w:ind w:left="360"/>
              <w:rPr>
                <w:rFonts w:asciiTheme="minorHAnsi" w:hAnsiTheme="minorHAnsi"/>
                <w:i/>
              </w:rPr>
            </w:pPr>
          </w:p>
        </w:tc>
      </w:tr>
    </w:tbl>
    <w:p w14:paraId="702E9BEA" w14:textId="77777777" w:rsidR="00D9192E" w:rsidRDefault="00D9192E"/>
    <w:p w14:paraId="472043E3" w14:textId="77777777" w:rsidR="00C052EF" w:rsidRDefault="00C052EF" w:rsidP="00C052EF">
      <w:pPr>
        <w:pStyle w:val="BodyText2"/>
        <w:rPr>
          <w:rFonts w:asciiTheme="minorHAnsi" w:hAnsiTheme="minorHAnsi"/>
          <w:u w:val="single"/>
        </w:rPr>
      </w:pPr>
    </w:p>
    <w:p w14:paraId="3BD93A40" w14:textId="77777777" w:rsidR="00C052EF" w:rsidRDefault="00C052EF"/>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90"/>
      </w:tblGrid>
      <w:tr w:rsidR="003930A0" w:rsidRPr="00803719" w14:paraId="7BAC8FD5" w14:textId="77777777" w:rsidTr="007F7914">
        <w:tc>
          <w:tcPr>
            <w:tcW w:w="3060" w:type="dxa"/>
            <w:shd w:val="clear" w:color="auto" w:fill="95B3D7" w:themeFill="accent1" w:themeFillTint="99"/>
          </w:tcPr>
          <w:p w14:paraId="179C7A7A" w14:textId="7A5AE964" w:rsidR="003E5840" w:rsidRPr="00A6124A" w:rsidRDefault="00580282" w:rsidP="003E5840">
            <w:pPr>
              <w:pStyle w:val="BodyText2"/>
              <w:rPr>
                <w:rFonts w:asciiTheme="minorHAnsi" w:hAnsiTheme="minorHAnsi"/>
                <w:b/>
                <w:color w:val="000000" w:themeColor="text1"/>
              </w:rPr>
            </w:pPr>
            <w:r>
              <w:rPr>
                <w:rFonts w:asciiTheme="minorHAnsi" w:hAnsiTheme="minorHAnsi"/>
                <w:b/>
                <w:color w:val="000000" w:themeColor="text1"/>
              </w:rPr>
              <w:lastRenderedPageBreak/>
              <w:t>SRPD</w:t>
            </w:r>
            <w:r w:rsidR="00EB43DD" w:rsidRPr="00860C13">
              <w:rPr>
                <w:rFonts w:asciiTheme="minorHAnsi" w:hAnsiTheme="minorHAnsi"/>
                <w:b/>
                <w:color w:val="000000" w:themeColor="text1"/>
              </w:rPr>
              <w:t xml:space="preserve"> Outcome</w:t>
            </w:r>
            <w:r w:rsidR="00DD5220" w:rsidRPr="00860C13">
              <w:rPr>
                <w:rFonts w:asciiTheme="minorHAnsi" w:hAnsiTheme="minorHAnsi"/>
                <w:b/>
                <w:color w:val="000000" w:themeColor="text1"/>
              </w:rPr>
              <w:t xml:space="preserve"> </w:t>
            </w:r>
            <w:r w:rsidR="003E5840" w:rsidRPr="00860C13">
              <w:rPr>
                <w:rFonts w:asciiTheme="minorHAnsi" w:hAnsiTheme="minorHAnsi"/>
                <w:b/>
                <w:color w:val="000000" w:themeColor="text1"/>
              </w:rPr>
              <w:t>4</w:t>
            </w:r>
          </w:p>
          <w:p w14:paraId="691349E6" w14:textId="226A2C89" w:rsidR="00DD5220" w:rsidRPr="00C4361C" w:rsidRDefault="003930A0" w:rsidP="007F7914">
            <w:pPr>
              <w:pStyle w:val="BodyText2"/>
              <w:rPr>
                <w:rFonts w:asciiTheme="minorHAnsi" w:hAnsiTheme="minorHAnsi"/>
                <w:b/>
                <w:color w:val="000000" w:themeColor="text1"/>
              </w:rPr>
            </w:pPr>
            <w:r w:rsidRPr="00C4361C">
              <w:rPr>
                <w:rFonts w:asciiTheme="minorHAnsi" w:hAnsiTheme="minorHAnsi"/>
                <w:b/>
                <w:color w:val="000000" w:themeColor="text1"/>
              </w:rPr>
              <w:t xml:space="preserve"> </w:t>
            </w:r>
          </w:p>
          <w:p w14:paraId="2406E382" w14:textId="77777777" w:rsidR="00BB4336" w:rsidRPr="00C4361C" w:rsidRDefault="00BB4336" w:rsidP="007F7914">
            <w:pPr>
              <w:pStyle w:val="BodyText2"/>
              <w:rPr>
                <w:rFonts w:asciiTheme="minorHAnsi" w:hAnsiTheme="minorHAnsi"/>
                <w:b/>
                <w:color w:val="000000" w:themeColor="text1"/>
              </w:rPr>
            </w:pPr>
          </w:p>
          <w:p w14:paraId="3752BBBB" w14:textId="77777777" w:rsidR="003930A0" w:rsidRPr="00C4361C" w:rsidRDefault="003930A0" w:rsidP="007F7914">
            <w:pPr>
              <w:pStyle w:val="BodyText2"/>
              <w:rPr>
                <w:rFonts w:asciiTheme="minorHAnsi" w:hAnsiTheme="minorHAnsi"/>
                <w:b/>
                <w:color w:val="FF0000"/>
              </w:rPr>
            </w:pPr>
            <w:r w:rsidRPr="00C4361C">
              <w:rPr>
                <w:rFonts w:asciiTheme="minorHAnsi" w:hAnsiTheme="minorHAnsi"/>
                <w:color w:val="000000" w:themeColor="text1"/>
              </w:rPr>
              <w:t>Improved resilie</w:t>
            </w:r>
            <w:r w:rsidR="00BB4336" w:rsidRPr="00C4361C">
              <w:rPr>
                <w:rFonts w:asciiTheme="minorHAnsi" w:hAnsiTheme="minorHAnsi"/>
                <w:color w:val="000000" w:themeColor="text1"/>
              </w:rPr>
              <w:t xml:space="preserve">nce of PICTs, with a particular </w:t>
            </w:r>
            <w:r w:rsidRPr="00C4361C">
              <w:rPr>
                <w:rFonts w:asciiTheme="minorHAnsi" w:hAnsiTheme="minorHAnsi"/>
                <w:color w:val="000000" w:themeColor="text1"/>
              </w:rPr>
              <w:t>focus on communities, through the integrated implementation of sustainable environmental management, climate change adaptation and/or mitigation and disaster risk management.</w:t>
            </w:r>
          </w:p>
        </w:tc>
        <w:tc>
          <w:tcPr>
            <w:tcW w:w="1530" w:type="dxa"/>
            <w:shd w:val="clear" w:color="auto" w:fill="auto"/>
          </w:tcPr>
          <w:p w14:paraId="7BF8D60A" w14:textId="5E3B3D76" w:rsidR="003930A0" w:rsidRPr="00312BAD" w:rsidRDefault="003122CE" w:rsidP="007F7914">
            <w:pPr>
              <w:pStyle w:val="BodyText2"/>
              <w:rPr>
                <w:rFonts w:asciiTheme="minorHAnsi" w:hAnsiTheme="minorHAnsi"/>
              </w:rPr>
            </w:pPr>
            <w:r>
              <w:rPr>
                <w:rFonts w:asciiTheme="minorHAnsi" w:hAnsiTheme="minorHAnsi"/>
              </w:rPr>
              <w:t>See section III, page 11</w:t>
            </w:r>
          </w:p>
        </w:tc>
        <w:tc>
          <w:tcPr>
            <w:tcW w:w="3960" w:type="dxa"/>
            <w:tcBorders>
              <w:left w:val="single" w:sz="4" w:space="0" w:color="auto"/>
            </w:tcBorders>
          </w:tcPr>
          <w:p w14:paraId="1438270F" w14:textId="77777777" w:rsidR="00D701C0" w:rsidRPr="00312BAD" w:rsidRDefault="00C4361C" w:rsidP="00C4361C">
            <w:pPr>
              <w:pStyle w:val="BodyText2"/>
              <w:jc w:val="both"/>
              <w:rPr>
                <w:rFonts w:asciiTheme="minorHAnsi" w:hAnsiTheme="minorHAnsi" w:cs="Segoe UI"/>
                <w:color w:val="000000" w:themeColor="text1"/>
              </w:rPr>
            </w:pPr>
            <w:r>
              <w:rPr>
                <w:rFonts w:asciiTheme="minorHAnsi" w:hAnsiTheme="minorHAnsi" w:cs="Segoe UI"/>
                <w:color w:val="000000" w:themeColor="text1"/>
              </w:rPr>
              <w:t>i)</w:t>
            </w:r>
            <w:r w:rsidR="00B61FFB">
              <w:rPr>
                <w:rFonts w:asciiTheme="minorHAnsi" w:hAnsiTheme="minorHAnsi" w:cs="Segoe UI"/>
                <w:color w:val="000000" w:themeColor="text1"/>
              </w:rPr>
              <w:t xml:space="preserve"> </w:t>
            </w:r>
            <w:r w:rsidR="00D701C0" w:rsidRPr="00312BAD">
              <w:rPr>
                <w:rFonts w:asciiTheme="minorHAnsi" w:hAnsiTheme="minorHAnsi" w:cs="Segoe UI"/>
                <w:color w:val="000000" w:themeColor="text1"/>
              </w:rPr>
              <w:t xml:space="preserve">Share of budget resources earmarked for environmental sustainability, disaster risk management, climate change adaptation and mitigation; </w:t>
            </w:r>
            <w:r>
              <w:rPr>
                <w:rFonts w:asciiTheme="minorHAnsi" w:hAnsiTheme="minorHAnsi" w:cs="Segoe UI"/>
                <w:color w:val="000000" w:themeColor="text1"/>
              </w:rPr>
              <w:t xml:space="preserve">ii) </w:t>
            </w:r>
            <w:r w:rsidR="00D701C0" w:rsidRPr="00312BAD">
              <w:rPr>
                <w:rFonts w:asciiTheme="minorHAnsi" w:hAnsiTheme="minorHAnsi" w:cs="Segoe UI"/>
                <w:color w:val="000000" w:themeColor="text1"/>
              </w:rPr>
              <w:t xml:space="preserve">share of population with sustainable access to improved water sources and to renewable energy (disaggregated by gender and age); </w:t>
            </w:r>
            <w:r>
              <w:rPr>
                <w:rFonts w:asciiTheme="minorHAnsi" w:hAnsiTheme="minorHAnsi" w:cs="Segoe UI"/>
                <w:color w:val="000000" w:themeColor="text1"/>
              </w:rPr>
              <w:t xml:space="preserve">iii) </w:t>
            </w:r>
            <w:r w:rsidR="00D701C0" w:rsidRPr="00312BAD">
              <w:rPr>
                <w:rFonts w:asciiTheme="minorHAnsi" w:hAnsiTheme="minorHAnsi" w:cs="Segoe UI"/>
                <w:color w:val="000000" w:themeColor="text1"/>
              </w:rPr>
              <w:t>area protected to maintain biological diversity</w:t>
            </w:r>
          </w:p>
          <w:p w14:paraId="493F33CE" w14:textId="77777777" w:rsidR="00D701C0" w:rsidRPr="00312BAD" w:rsidRDefault="00D701C0" w:rsidP="00D701C0">
            <w:pPr>
              <w:pStyle w:val="BodyText2"/>
              <w:jc w:val="both"/>
              <w:rPr>
                <w:rFonts w:asciiTheme="minorHAnsi" w:hAnsiTheme="minorHAnsi" w:cs="Segoe UI"/>
                <w:color w:val="000000" w:themeColor="text1"/>
              </w:rPr>
            </w:pPr>
          </w:p>
          <w:p w14:paraId="18B33902" w14:textId="77777777" w:rsidR="00D701C0" w:rsidRPr="00312BAD" w:rsidRDefault="00D701C0" w:rsidP="00D701C0">
            <w:pPr>
              <w:pStyle w:val="BodyText2"/>
              <w:jc w:val="both"/>
              <w:rPr>
                <w:rFonts w:asciiTheme="minorHAnsi" w:hAnsiTheme="minorHAnsi" w:cs="Segoe UI"/>
                <w:color w:val="000000" w:themeColor="text1"/>
              </w:rPr>
            </w:pPr>
            <w:r w:rsidRPr="00312BAD">
              <w:rPr>
                <w:rFonts w:asciiTheme="minorHAnsi" w:hAnsiTheme="minorHAnsi" w:cs="Segoe UI"/>
                <w:color w:val="000000" w:themeColor="text1"/>
              </w:rPr>
              <w:t>Baseline: 2011 data or latest available data</w:t>
            </w:r>
          </w:p>
          <w:p w14:paraId="2E9ECD08" w14:textId="77777777" w:rsidR="003930A0" w:rsidRPr="00312BAD" w:rsidRDefault="00D701C0" w:rsidP="00D701C0">
            <w:pPr>
              <w:pStyle w:val="BodyText2"/>
              <w:jc w:val="both"/>
              <w:rPr>
                <w:rFonts w:asciiTheme="minorHAnsi" w:hAnsiTheme="minorHAnsi" w:cs="Segoe UI"/>
                <w:color w:val="000000" w:themeColor="text1"/>
              </w:rPr>
            </w:pPr>
            <w:r w:rsidRPr="00312BAD">
              <w:rPr>
                <w:rFonts w:asciiTheme="minorHAnsi" w:hAnsiTheme="minorHAnsi" w:cs="Segoe UI"/>
                <w:color w:val="000000" w:themeColor="text1"/>
              </w:rPr>
              <w:t>Target: To be determined, on country basis</w:t>
            </w:r>
          </w:p>
        </w:tc>
        <w:tc>
          <w:tcPr>
            <w:tcW w:w="5490" w:type="dxa"/>
            <w:shd w:val="clear" w:color="auto" w:fill="auto"/>
          </w:tcPr>
          <w:p w14:paraId="1D2C7470" w14:textId="77777777" w:rsidR="003930A0" w:rsidRPr="00312BAD" w:rsidRDefault="00EE4766" w:rsidP="00312BAD">
            <w:pPr>
              <w:pStyle w:val="BodyText2"/>
              <w:jc w:val="both"/>
              <w:rPr>
                <w:rFonts w:asciiTheme="minorHAnsi" w:hAnsiTheme="minorHAnsi" w:cs="Segoe UI"/>
              </w:rPr>
            </w:pPr>
            <w:r w:rsidRPr="00312BAD">
              <w:rPr>
                <w:rFonts w:asciiTheme="minorHAnsi" w:hAnsiTheme="minorHAnsi" w:cs="Segoe UI"/>
                <w:b/>
                <w:u w:val="single"/>
              </w:rPr>
              <w:t>Samoa:</w:t>
            </w:r>
            <w:r w:rsidRPr="00312BAD">
              <w:rPr>
                <w:rFonts w:asciiTheme="minorHAnsi" w:hAnsiTheme="minorHAnsi" w:cs="Segoe UI"/>
              </w:rPr>
              <w:t xml:space="preserve"> </w:t>
            </w:r>
            <w:r w:rsidR="00231EF9" w:rsidRPr="00312BAD">
              <w:rPr>
                <w:rFonts w:asciiTheme="minorHAnsi" w:hAnsiTheme="minorHAnsi" w:cs="Segoe UI"/>
              </w:rPr>
              <w:t>There are no baseline and data available on the sum of funding allocation to support Climate Change and Disaster Risk Management activities. Nevertheless, recent approval of Green Climate Fund of 57 Million USD would significantly increase the share of budget allocation on Climate Change and Disaster Risk Management activities in Samoa for the year 2017 onward.</w:t>
            </w:r>
            <w:r w:rsidRPr="00312BAD">
              <w:rPr>
                <w:rFonts w:asciiTheme="minorHAnsi" w:hAnsiTheme="minorHAnsi" w:cs="Segoe UI"/>
              </w:rPr>
              <w:t xml:space="preserve"> </w:t>
            </w:r>
          </w:p>
          <w:p w14:paraId="4D7BBFEF" w14:textId="77777777" w:rsidR="00C4361C" w:rsidRPr="00312BAD" w:rsidRDefault="00EE4766" w:rsidP="00312BAD">
            <w:pPr>
              <w:pStyle w:val="BodyText2"/>
              <w:jc w:val="both"/>
              <w:rPr>
                <w:rFonts w:asciiTheme="minorHAnsi" w:hAnsiTheme="minorHAnsi" w:cs="Segoe UI"/>
                <w:b/>
                <w:u w:val="single"/>
              </w:rPr>
            </w:pPr>
            <w:r w:rsidRPr="00312BAD">
              <w:rPr>
                <w:rFonts w:asciiTheme="minorHAnsi" w:hAnsiTheme="minorHAnsi" w:cs="Segoe UI"/>
                <w:b/>
                <w:u w:val="single"/>
              </w:rPr>
              <w:t>UNDP PaO</w:t>
            </w:r>
            <w:r w:rsidR="00C4361C" w:rsidRPr="00312BAD">
              <w:rPr>
                <w:rFonts w:asciiTheme="minorHAnsi" w:hAnsiTheme="minorHAnsi" w:cs="Segoe UI"/>
                <w:b/>
                <w:u w:val="single"/>
              </w:rPr>
              <w:t xml:space="preserve"> in Fiji:</w:t>
            </w:r>
            <w:r w:rsidRPr="00312BAD">
              <w:rPr>
                <w:rFonts w:asciiTheme="minorHAnsi" w:hAnsiTheme="minorHAnsi" w:cs="Segoe UI"/>
                <w:b/>
                <w:u w:val="single"/>
              </w:rPr>
              <w:t xml:space="preserve"> </w:t>
            </w:r>
          </w:p>
          <w:p w14:paraId="1F7F0619" w14:textId="77777777" w:rsidR="00C4361C" w:rsidRPr="00312BAD" w:rsidRDefault="00C4361C" w:rsidP="00312BAD">
            <w:pPr>
              <w:pStyle w:val="BodyText2"/>
              <w:jc w:val="both"/>
              <w:rPr>
                <w:rFonts w:asciiTheme="minorHAnsi" w:hAnsiTheme="minorHAnsi" w:cs="Segoe UI"/>
              </w:rPr>
            </w:pPr>
            <w:r w:rsidRPr="00312BAD">
              <w:rPr>
                <w:rFonts w:asciiTheme="minorHAnsi" w:hAnsiTheme="minorHAnsi" w:cs="Segoe UI"/>
                <w:b/>
                <w:u w:val="single"/>
              </w:rPr>
              <w:t>i)</w:t>
            </w:r>
            <w:r w:rsidR="00EE4766" w:rsidRPr="00312BAD">
              <w:rPr>
                <w:rFonts w:asciiTheme="minorHAnsi" w:hAnsiTheme="minorHAnsi" w:cs="Segoe UI"/>
              </w:rPr>
              <w:t>UNDP</w:t>
            </w:r>
            <w:r w:rsidR="00B94A6C" w:rsidRPr="00312BAD">
              <w:rPr>
                <w:rFonts w:asciiTheme="minorHAnsi" w:hAnsiTheme="minorHAnsi" w:cs="Segoe UI"/>
              </w:rPr>
              <w:t xml:space="preserve"> Pacific Office</w:t>
            </w:r>
            <w:r w:rsidR="00EE4766" w:rsidRPr="00312BAD">
              <w:rPr>
                <w:rFonts w:asciiTheme="minorHAnsi" w:hAnsiTheme="minorHAnsi" w:cs="Segoe UI"/>
              </w:rPr>
              <w:t xml:space="preserve"> </w:t>
            </w:r>
            <w:r w:rsidR="00EB43DD" w:rsidRPr="00312BAD">
              <w:rPr>
                <w:rFonts w:asciiTheme="minorHAnsi" w:hAnsiTheme="minorHAnsi" w:cs="Segoe UI"/>
              </w:rPr>
              <w:t xml:space="preserve">mobilized a total of </w:t>
            </w:r>
            <w:r w:rsidR="00EE4766" w:rsidRPr="00312BAD">
              <w:rPr>
                <w:rFonts w:asciiTheme="minorHAnsi" w:hAnsiTheme="minorHAnsi" w:cs="Segoe UI"/>
              </w:rPr>
              <w:t xml:space="preserve">US25.9M for ridge to reef environmental management </w:t>
            </w:r>
            <w:r w:rsidR="00EB43DD" w:rsidRPr="00312BAD">
              <w:rPr>
                <w:rFonts w:asciiTheme="minorHAnsi" w:hAnsiTheme="minorHAnsi" w:cs="Segoe UI"/>
              </w:rPr>
              <w:t>and food security and</w:t>
            </w:r>
            <w:r w:rsidR="00B94A6C" w:rsidRPr="00312BAD">
              <w:rPr>
                <w:rFonts w:asciiTheme="minorHAnsi" w:hAnsiTheme="minorHAnsi" w:cs="Segoe UI"/>
              </w:rPr>
              <w:t xml:space="preserve"> US20</w:t>
            </w:r>
            <w:r w:rsidR="00EB43DD" w:rsidRPr="00312BAD">
              <w:rPr>
                <w:rFonts w:asciiTheme="minorHAnsi" w:hAnsiTheme="minorHAnsi" w:cs="Segoe UI"/>
              </w:rPr>
              <w:t>M for climate change adaptation and or mitigation and disaster risk management</w:t>
            </w:r>
            <w:r w:rsidR="00515D02" w:rsidRPr="00312BAD">
              <w:rPr>
                <w:rFonts w:asciiTheme="minorHAnsi" w:hAnsiTheme="minorHAnsi" w:cs="Segoe UI"/>
              </w:rPr>
              <w:t xml:space="preserve"> across the 10</w:t>
            </w:r>
            <w:r w:rsidR="00B94A6C" w:rsidRPr="00312BAD">
              <w:rPr>
                <w:rFonts w:asciiTheme="minorHAnsi" w:hAnsiTheme="minorHAnsi" w:cs="Segoe UI"/>
              </w:rPr>
              <w:t xml:space="preserve"> countries</w:t>
            </w:r>
            <w:r w:rsidR="00EB43DD" w:rsidRPr="00312BAD">
              <w:rPr>
                <w:rFonts w:asciiTheme="minorHAnsi" w:hAnsiTheme="minorHAnsi" w:cs="Segoe UI"/>
              </w:rPr>
              <w:t>.</w:t>
            </w:r>
            <w:r w:rsidRPr="00312BAD">
              <w:rPr>
                <w:rFonts w:asciiTheme="minorHAnsi" w:hAnsiTheme="minorHAnsi" w:cs="Segoe UI"/>
              </w:rPr>
              <w:t xml:space="preserve"> </w:t>
            </w:r>
          </w:p>
          <w:p w14:paraId="6719B17D" w14:textId="77777777" w:rsidR="00EB43DD" w:rsidRPr="00312BAD" w:rsidRDefault="00C4361C" w:rsidP="00312BAD">
            <w:pPr>
              <w:pStyle w:val="BodyText2"/>
              <w:jc w:val="both"/>
              <w:rPr>
                <w:rFonts w:asciiTheme="minorHAnsi" w:hAnsiTheme="minorHAnsi" w:cs="Segoe UI"/>
              </w:rPr>
            </w:pPr>
            <w:r w:rsidRPr="00312BAD">
              <w:rPr>
                <w:rFonts w:asciiTheme="minorHAnsi" w:hAnsiTheme="minorHAnsi" w:cs="Segoe UI"/>
              </w:rPr>
              <w:t xml:space="preserve">ii) </w:t>
            </w:r>
            <w:r w:rsidR="00B94A6C" w:rsidRPr="00312BAD">
              <w:rPr>
                <w:rFonts w:asciiTheme="minorHAnsi" w:hAnsiTheme="minorHAnsi" w:cs="Segoe UI"/>
              </w:rPr>
              <w:t xml:space="preserve">2000 people (including 35 </w:t>
            </w:r>
            <w:r w:rsidR="00E4455E" w:rsidRPr="00312BAD">
              <w:rPr>
                <w:rFonts w:asciiTheme="minorHAnsi" w:hAnsiTheme="minorHAnsi" w:cs="Segoe UI"/>
              </w:rPr>
              <w:t>gardeners</w:t>
            </w:r>
            <w:r w:rsidR="00B94A6C" w:rsidRPr="00312BAD">
              <w:rPr>
                <w:rFonts w:asciiTheme="minorHAnsi" w:hAnsiTheme="minorHAnsi" w:cs="Segoe UI"/>
              </w:rPr>
              <w:t xml:space="preserve"> and 200 school children) have improved capacity on </w:t>
            </w:r>
            <w:r w:rsidR="00E4455E" w:rsidRPr="00312BAD">
              <w:rPr>
                <w:rFonts w:asciiTheme="minorHAnsi" w:hAnsiTheme="minorHAnsi" w:cs="Segoe UI"/>
              </w:rPr>
              <w:t>climate-related impacts through community-based adaptation measures related to their livelihoods in Tuvalu</w:t>
            </w:r>
          </w:p>
          <w:p w14:paraId="5FBB0264" w14:textId="21B1D2D4" w:rsidR="00E4455E" w:rsidRPr="00312BAD" w:rsidRDefault="00E4455E" w:rsidP="00A8665A">
            <w:pPr>
              <w:pStyle w:val="BodyText2"/>
              <w:numPr>
                <w:ilvl w:val="0"/>
                <w:numId w:val="39"/>
              </w:numPr>
              <w:jc w:val="both"/>
              <w:rPr>
                <w:rFonts w:asciiTheme="minorHAnsi" w:hAnsiTheme="minorHAnsi" w:cs="Segoe UI"/>
              </w:rPr>
            </w:pPr>
            <w:r w:rsidRPr="00312BAD">
              <w:rPr>
                <w:rFonts w:asciiTheme="minorHAnsi" w:hAnsiTheme="minorHAnsi" w:cs="Segoe UI"/>
              </w:rPr>
              <w:t>93 women, 123 men, 20 boys, 7 girls and 4 people living with disabilities have improved capacity on disaster risk reduction and climate change adaptation in the Solomon</w:t>
            </w:r>
            <w:r w:rsidR="00B61FFB">
              <w:rPr>
                <w:rFonts w:asciiTheme="minorHAnsi" w:hAnsiTheme="minorHAnsi" w:cs="Segoe UI"/>
              </w:rPr>
              <w:t xml:space="preserve"> Islands</w:t>
            </w:r>
          </w:p>
          <w:p w14:paraId="2457AB71" w14:textId="77777777" w:rsidR="00E4455E" w:rsidRPr="00312BAD" w:rsidRDefault="00E4455E" w:rsidP="00A8665A">
            <w:pPr>
              <w:pStyle w:val="BodyText2"/>
              <w:numPr>
                <w:ilvl w:val="0"/>
                <w:numId w:val="39"/>
              </w:numPr>
              <w:jc w:val="both"/>
              <w:rPr>
                <w:rFonts w:asciiTheme="minorHAnsi" w:hAnsiTheme="minorHAnsi" w:cs="Segoe UI"/>
              </w:rPr>
            </w:pPr>
            <w:r w:rsidRPr="00312BAD">
              <w:rPr>
                <w:rFonts w:asciiTheme="minorHAnsi" w:hAnsiTheme="minorHAnsi" w:cs="Segoe UI"/>
              </w:rPr>
              <w:t xml:space="preserve"> </w:t>
            </w:r>
            <w:r w:rsidR="001E7F43" w:rsidRPr="00312BAD">
              <w:rPr>
                <w:rFonts w:asciiTheme="minorHAnsi" w:hAnsiTheme="minorHAnsi" w:cs="Segoe UI"/>
              </w:rPr>
              <w:t>Following the devastation of a category 5 cyclone</w:t>
            </w:r>
            <w:r w:rsidR="00515D02" w:rsidRPr="00312BAD">
              <w:rPr>
                <w:rFonts w:asciiTheme="minorHAnsi" w:hAnsiTheme="minorHAnsi" w:cs="Segoe UI"/>
              </w:rPr>
              <w:t xml:space="preserve"> that hit Fiji</w:t>
            </w:r>
            <w:r w:rsidR="001E7F43" w:rsidRPr="00312BAD">
              <w:rPr>
                <w:rFonts w:asciiTheme="minorHAnsi" w:hAnsiTheme="minorHAnsi" w:cs="Segoe UI"/>
              </w:rPr>
              <w:t xml:space="preserve">, </w:t>
            </w:r>
            <w:r w:rsidRPr="00312BAD">
              <w:rPr>
                <w:rFonts w:asciiTheme="minorHAnsi" w:hAnsiTheme="minorHAnsi" w:cs="Segoe UI"/>
              </w:rPr>
              <w:t>UNDP supported 273 villagers (20%women) with emergency employment and built skills of 737 volunteers (40% women) in disaster waste management in Fiji</w:t>
            </w:r>
          </w:p>
          <w:p w14:paraId="5258E438" w14:textId="77777777" w:rsidR="00E4455E" w:rsidRPr="00312BAD" w:rsidRDefault="00E4455E" w:rsidP="00A8665A">
            <w:pPr>
              <w:pStyle w:val="BodyText2"/>
              <w:numPr>
                <w:ilvl w:val="0"/>
                <w:numId w:val="39"/>
              </w:numPr>
              <w:jc w:val="both"/>
              <w:rPr>
                <w:rFonts w:asciiTheme="minorHAnsi" w:hAnsiTheme="minorHAnsi" w:cs="Segoe UI"/>
              </w:rPr>
            </w:pPr>
            <w:r w:rsidRPr="00312BAD">
              <w:rPr>
                <w:rFonts w:asciiTheme="minorHAnsi" w:hAnsiTheme="minorHAnsi" w:cs="Segoe UI"/>
              </w:rPr>
              <w:t xml:space="preserve">UNDP </w:t>
            </w:r>
            <w:r w:rsidR="001E7F43" w:rsidRPr="00312BAD">
              <w:rPr>
                <w:rFonts w:asciiTheme="minorHAnsi" w:hAnsiTheme="minorHAnsi" w:cs="Segoe UI"/>
              </w:rPr>
              <w:t xml:space="preserve">further </w:t>
            </w:r>
            <w:r w:rsidRPr="00312BAD">
              <w:rPr>
                <w:rFonts w:asciiTheme="minorHAnsi" w:hAnsiTheme="minorHAnsi" w:cs="Segoe UI"/>
              </w:rPr>
              <w:t xml:space="preserve">supported the re-establishment of food security in </w:t>
            </w:r>
            <w:r w:rsidR="001E7F43" w:rsidRPr="00312BAD">
              <w:rPr>
                <w:rFonts w:asciiTheme="minorHAnsi" w:hAnsiTheme="minorHAnsi" w:cs="Segoe UI"/>
              </w:rPr>
              <w:t>the cyclone-affected</w:t>
            </w:r>
            <w:r w:rsidR="00515D02" w:rsidRPr="00312BAD">
              <w:rPr>
                <w:rFonts w:asciiTheme="minorHAnsi" w:hAnsiTheme="minorHAnsi" w:cs="Segoe UI"/>
              </w:rPr>
              <w:t xml:space="preserve"> areas covering</w:t>
            </w:r>
            <w:r w:rsidR="001E7F43" w:rsidRPr="00312BAD">
              <w:rPr>
                <w:rFonts w:asciiTheme="minorHAnsi" w:hAnsiTheme="minorHAnsi" w:cs="Segoe UI"/>
              </w:rPr>
              <w:t xml:space="preserve"> </w:t>
            </w:r>
            <w:r w:rsidRPr="00312BAD">
              <w:rPr>
                <w:rFonts w:asciiTheme="minorHAnsi" w:hAnsiTheme="minorHAnsi" w:cs="Segoe UI"/>
              </w:rPr>
              <w:t xml:space="preserve">670 households in all 14 villages of </w:t>
            </w:r>
            <w:r w:rsidR="001E7F43" w:rsidRPr="00312BAD">
              <w:rPr>
                <w:rFonts w:asciiTheme="minorHAnsi" w:hAnsiTheme="minorHAnsi" w:cs="Segoe UI"/>
              </w:rPr>
              <w:t xml:space="preserve">Koro Island, Fiji. </w:t>
            </w:r>
          </w:p>
          <w:p w14:paraId="37380DD6" w14:textId="77777777" w:rsidR="001E7F43" w:rsidRPr="00312BAD" w:rsidRDefault="001E7F43" w:rsidP="00A8665A">
            <w:pPr>
              <w:pStyle w:val="BodyText2"/>
              <w:numPr>
                <w:ilvl w:val="0"/>
                <w:numId w:val="39"/>
              </w:numPr>
              <w:jc w:val="both"/>
              <w:rPr>
                <w:rFonts w:asciiTheme="minorHAnsi" w:hAnsiTheme="minorHAnsi" w:cs="Segoe UI"/>
              </w:rPr>
            </w:pPr>
            <w:r w:rsidRPr="00312BAD">
              <w:rPr>
                <w:rFonts w:asciiTheme="minorHAnsi" w:hAnsiTheme="minorHAnsi" w:cs="Segoe UI"/>
              </w:rPr>
              <w:t xml:space="preserve">A total of 80 developments plans </w:t>
            </w:r>
            <w:r w:rsidR="00284CE2" w:rsidRPr="00312BAD">
              <w:rPr>
                <w:rFonts w:asciiTheme="minorHAnsi" w:hAnsiTheme="minorHAnsi" w:cs="Segoe UI"/>
              </w:rPr>
              <w:t xml:space="preserve">at all levels </w:t>
            </w:r>
            <w:r w:rsidRPr="00312BAD">
              <w:rPr>
                <w:rFonts w:asciiTheme="minorHAnsi" w:hAnsiTheme="minorHAnsi" w:cs="Segoe UI"/>
              </w:rPr>
              <w:t xml:space="preserve">integrated climate change </w:t>
            </w:r>
            <w:r w:rsidR="00515D02" w:rsidRPr="00312BAD">
              <w:rPr>
                <w:rFonts w:asciiTheme="minorHAnsi" w:hAnsiTheme="minorHAnsi" w:cs="Segoe UI"/>
              </w:rPr>
              <w:t xml:space="preserve">and disaster risk management were established in 5 </w:t>
            </w:r>
            <w:r w:rsidR="005D6080" w:rsidRPr="00312BAD">
              <w:rPr>
                <w:rFonts w:asciiTheme="minorHAnsi" w:hAnsiTheme="minorHAnsi" w:cs="Segoe UI"/>
              </w:rPr>
              <w:t xml:space="preserve">cyclone/disaster risk </w:t>
            </w:r>
            <w:r w:rsidR="00515D02" w:rsidRPr="00312BAD">
              <w:rPr>
                <w:rFonts w:asciiTheme="minorHAnsi" w:hAnsiTheme="minorHAnsi" w:cs="Segoe UI"/>
              </w:rPr>
              <w:t>countries including Vanuatu, Ton</w:t>
            </w:r>
            <w:r w:rsidR="00284CE2" w:rsidRPr="00312BAD">
              <w:rPr>
                <w:rFonts w:asciiTheme="minorHAnsi" w:hAnsiTheme="minorHAnsi" w:cs="Segoe UI"/>
              </w:rPr>
              <w:t xml:space="preserve">ga, Solomon Islands, and Tuvalu. </w:t>
            </w:r>
          </w:p>
          <w:p w14:paraId="7C77AE3E" w14:textId="77777777" w:rsidR="00284CE2" w:rsidRPr="00312BAD" w:rsidRDefault="00284CE2" w:rsidP="00A8665A">
            <w:pPr>
              <w:pStyle w:val="BodyText2"/>
              <w:numPr>
                <w:ilvl w:val="0"/>
                <w:numId w:val="39"/>
              </w:numPr>
              <w:jc w:val="both"/>
              <w:rPr>
                <w:rFonts w:asciiTheme="minorHAnsi" w:hAnsiTheme="minorHAnsi" w:cs="Segoe UI"/>
              </w:rPr>
            </w:pPr>
            <w:r w:rsidRPr="00312BAD">
              <w:rPr>
                <w:rFonts w:asciiTheme="minorHAnsi" w:hAnsiTheme="minorHAnsi" w:cs="Segoe UI"/>
              </w:rPr>
              <w:t xml:space="preserve">In Palau, 11 households have successfully accessed Renewable Energy Fund Window (REFW) and are utilizing solar home systems for domestic energy demands. Out of the 11 households, 10 have </w:t>
            </w:r>
            <w:r w:rsidR="005D6080" w:rsidRPr="00312BAD">
              <w:rPr>
                <w:rFonts w:asciiTheme="minorHAnsi" w:hAnsiTheme="minorHAnsi" w:cs="Segoe UI"/>
              </w:rPr>
              <w:t>on grid</w:t>
            </w:r>
            <w:r w:rsidRPr="00312BAD">
              <w:rPr>
                <w:rFonts w:asciiTheme="minorHAnsi" w:hAnsiTheme="minorHAnsi" w:cs="Segoe UI"/>
              </w:rPr>
              <w:t xml:space="preserve"> systems while one household </w:t>
            </w:r>
            <w:r w:rsidR="005D6080" w:rsidRPr="00312BAD">
              <w:rPr>
                <w:rFonts w:asciiTheme="minorHAnsi" w:hAnsiTheme="minorHAnsi" w:cs="Segoe UI"/>
              </w:rPr>
              <w:t>ha</w:t>
            </w:r>
            <w:r w:rsidR="00C4361C" w:rsidRPr="00312BAD">
              <w:rPr>
                <w:rFonts w:asciiTheme="minorHAnsi" w:hAnsiTheme="minorHAnsi" w:cs="Segoe UI"/>
              </w:rPr>
              <w:t>s</w:t>
            </w:r>
            <w:r w:rsidRPr="00312BAD">
              <w:rPr>
                <w:rFonts w:asciiTheme="minorHAnsi" w:hAnsiTheme="minorHAnsi" w:cs="Segoe UI"/>
              </w:rPr>
              <w:t xml:space="preserve"> the </w:t>
            </w:r>
            <w:r w:rsidR="005D6080" w:rsidRPr="00312BAD">
              <w:rPr>
                <w:rFonts w:asciiTheme="minorHAnsi" w:hAnsiTheme="minorHAnsi" w:cs="Segoe UI"/>
              </w:rPr>
              <w:t>off-grid</w:t>
            </w:r>
            <w:r w:rsidRPr="00312BAD">
              <w:rPr>
                <w:rFonts w:asciiTheme="minorHAnsi" w:hAnsiTheme="minorHAnsi" w:cs="Segoe UI"/>
              </w:rPr>
              <w:t xml:space="preserve"> system. A total of 15 households and two commercial clients have benefitted from the REFW. </w:t>
            </w:r>
          </w:p>
          <w:p w14:paraId="1664891F" w14:textId="77777777" w:rsidR="00102AC4" w:rsidRPr="00312BAD" w:rsidRDefault="00C700E0" w:rsidP="00312BAD">
            <w:pPr>
              <w:pStyle w:val="BodyText2"/>
              <w:numPr>
                <w:ilvl w:val="0"/>
                <w:numId w:val="53"/>
              </w:numPr>
              <w:jc w:val="both"/>
              <w:rPr>
                <w:rFonts w:asciiTheme="minorHAnsi" w:hAnsiTheme="minorHAnsi" w:cs="Segoe UI"/>
              </w:rPr>
            </w:pPr>
            <w:r w:rsidRPr="00312BAD">
              <w:rPr>
                <w:rFonts w:asciiTheme="minorHAnsi" w:hAnsiTheme="minorHAnsi" w:cs="Segoe UI"/>
              </w:rPr>
              <w:lastRenderedPageBreak/>
              <w:t>Tonga Fangauta Lagoon marine reserve and catchment covering 2,835ha of water and 8,000ha of land with significant agricultural, coastal biodiversity and other ecosystem services value are protected and managed under the Fangauta Lagoon Management Plan</w:t>
            </w:r>
          </w:p>
          <w:p w14:paraId="29ED22D6" w14:textId="77777777" w:rsidR="00102AC4" w:rsidRPr="00312BAD" w:rsidRDefault="00C700E0" w:rsidP="00A8665A">
            <w:pPr>
              <w:pStyle w:val="BodyText2"/>
              <w:numPr>
                <w:ilvl w:val="0"/>
                <w:numId w:val="39"/>
              </w:numPr>
              <w:jc w:val="both"/>
              <w:rPr>
                <w:rFonts w:asciiTheme="minorHAnsi" w:hAnsiTheme="minorHAnsi" w:cs="Segoe UI"/>
              </w:rPr>
            </w:pPr>
            <w:r w:rsidRPr="00312BAD">
              <w:rPr>
                <w:rFonts w:asciiTheme="minorHAnsi" w:hAnsiTheme="minorHAnsi" w:cs="Segoe UI"/>
              </w:rPr>
              <w:t>80hectares of mangroves and other biodiversity of the Fangauta Lagoon Catchment protected areas are also covered and protected through this initiative</w:t>
            </w:r>
          </w:p>
          <w:p w14:paraId="095E248B" w14:textId="77777777" w:rsidR="00C700E0" w:rsidRPr="00312BAD" w:rsidRDefault="00C700E0" w:rsidP="00A8665A">
            <w:pPr>
              <w:pStyle w:val="BodyText2"/>
              <w:ind w:left="720"/>
              <w:jc w:val="both"/>
              <w:rPr>
                <w:rFonts w:asciiTheme="minorHAnsi" w:hAnsiTheme="minorHAnsi" w:cs="Segoe UI"/>
              </w:rPr>
            </w:pPr>
          </w:p>
        </w:tc>
      </w:tr>
      <w:tr w:rsidR="003930A0" w:rsidRPr="00845340" w14:paraId="09D5ECF4" w14:textId="77777777" w:rsidTr="007F7914">
        <w:tc>
          <w:tcPr>
            <w:tcW w:w="14040" w:type="dxa"/>
            <w:gridSpan w:val="4"/>
          </w:tcPr>
          <w:p w14:paraId="2616C615" w14:textId="77777777" w:rsidR="003930A0" w:rsidRPr="00860C13" w:rsidRDefault="003930A0" w:rsidP="007F7914">
            <w:pPr>
              <w:pStyle w:val="BodyText2"/>
              <w:rPr>
                <w:rFonts w:asciiTheme="minorHAnsi" w:hAnsiTheme="minorHAnsi"/>
                <w:b/>
                <w:color w:val="000000" w:themeColor="text1"/>
              </w:rPr>
            </w:pPr>
            <w:r w:rsidRPr="00860C13">
              <w:rPr>
                <w:rFonts w:asciiTheme="minorHAnsi" w:hAnsiTheme="minorHAnsi"/>
                <w:b/>
                <w:color w:val="000000" w:themeColor="text1"/>
              </w:rPr>
              <w:lastRenderedPageBreak/>
              <w:t>UNDP Contribution:</w:t>
            </w:r>
          </w:p>
          <w:p w14:paraId="52B9D617" w14:textId="77777777" w:rsidR="003930A0" w:rsidRPr="00C4361C" w:rsidRDefault="003930A0" w:rsidP="007F7914">
            <w:pPr>
              <w:pStyle w:val="BodyText2"/>
              <w:rPr>
                <w:rFonts w:asciiTheme="minorHAnsi" w:hAnsiTheme="minorHAnsi"/>
                <w:b/>
                <w:color w:val="000000" w:themeColor="text1"/>
              </w:rPr>
            </w:pPr>
          </w:p>
          <w:p w14:paraId="3E570E9E" w14:textId="3DF1C544" w:rsidR="003930A0" w:rsidRPr="00AA71B4" w:rsidRDefault="0027237C" w:rsidP="007F7914">
            <w:pPr>
              <w:pStyle w:val="BodyText2"/>
              <w:rPr>
                <w:rFonts w:asciiTheme="minorHAnsi" w:hAnsiTheme="minorHAnsi"/>
                <w:b/>
                <w:color w:val="000000" w:themeColor="text1"/>
                <w:u w:val="single"/>
              </w:rPr>
            </w:pPr>
            <w:r w:rsidRPr="00AA71B4">
              <w:rPr>
                <w:rFonts w:asciiTheme="minorHAnsi" w:hAnsiTheme="minorHAnsi"/>
                <w:b/>
                <w:color w:val="000000" w:themeColor="text1"/>
                <w:u w:val="single"/>
              </w:rPr>
              <w:t>SRPD</w:t>
            </w:r>
            <w:r w:rsidR="003930A0" w:rsidRPr="00AA71B4">
              <w:rPr>
                <w:rFonts w:asciiTheme="minorHAnsi" w:hAnsiTheme="minorHAnsi"/>
                <w:b/>
                <w:color w:val="000000" w:themeColor="text1"/>
                <w:u w:val="single"/>
              </w:rPr>
              <w:t xml:space="preserve"> Outputs</w:t>
            </w:r>
          </w:p>
          <w:p w14:paraId="0A3ADFAF" w14:textId="77777777" w:rsidR="00C052EF" w:rsidRPr="00C4361C" w:rsidRDefault="00C052EF" w:rsidP="00C052EF">
            <w:pPr>
              <w:pStyle w:val="BodyText2"/>
              <w:rPr>
                <w:rFonts w:asciiTheme="minorHAnsi" w:hAnsiTheme="minorHAnsi"/>
                <w:color w:val="000000" w:themeColor="text1"/>
              </w:rPr>
            </w:pPr>
            <w:r w:rsidRPr="00C4361C">
              <w:rPr>
                <w:rFonts w:asciiTheme="minorHAnsi" w:hAnsiTheme="minorHAnsi"/>
                <w:color w:val="000000" w:themeColor="text1"/>
              </w:rPr>
              <w:t>a) Enhanced policy and regulatory frameworks that facilitate transition to green, low-carbon climate-resilient paths of development and increased access to renewable energy are put in place.</w:t>
            </w:r>
          </w:p>
          <w:p w14:paraId="0FA3FA8B" w14:textId="77777777" w:rsidR="00C052EF" w:rsidRPr="00C4361C" w:rsidRDefault="00C052EF" w:rsidP="00C052EF">
            <w:pPr>
              <w:pStyle w:val="BodyText2"/>
              <w:rPr>
                <w:rFonts w:asciiTheme="minorHAnsi" w:hAnsiTheme="minorHAnsi"/>
                <w:color w:val="000000" w:themeColor="text1"/>
              </w:rPr>
            </w:pPr>
            <w:r w:rsidRPr="00C4361C">
              <w:rPr>
                <w:rFonts w:asciiTheme="minorHAnsi" w:hAnsiTheme="minorHAnsi"/>
                <w:color w:val="000000" w:themeColor="text1"/>
              </w:rPr>
              <w:t>(b) Capacities of local government departments are strengthened for effective, participatory environmental governance.</w:t>
            </w:r>
          </w:p>
          <w:p w14:paraId="20CF624B" w14:textId="77777777" w:rsidR="00C052EF" w:rsidRPr="0058303C" w:rsidRDefault="00C052EF" w:rsidP="00C052EF">
            <w:pPr>
              <w:pStyle w:val="BodyText2"/>
              <w:rPr>
                <w:rFonts w:asciiTheme="minorHAnsi" w:hAnsiTheme="minorHAnsi"/>
                <w:color w:val="000000" w:themeColor="text1"/>
              </w:rPr>
            </w:pPr>
            <w:r w:rsidRPr="0058303C">
              <w:rPr>
                <w:rFonts w:asciiTheme="minorHAnsi" w:hAnsiTheme="minorHAnsi"/>
                <w:color w:val="000000" w:themeColor="text1"/>
              </w:rPr>
              <w:t>(c) Demonstration projects on natural resources management and biodiversity at the community level that can be scaled up are implemented, and the formulation of evidence-based policies is supported.</w:t>
            </w:r>
          </w:p>
          <w:p w14:paraId="4EFA88C6" w14:textId="77777777" w:rsidR="00B7179F" w:rsidRPr="0058303C" w:rsidRDefault="00C052EF" w:rsidP="00C052EF">
            <w:pPr>
              <w:pStyle w:val="BodyText2"/>
              <w:rPr>
                <w:rFonts w:asciiTheme="minorHAnsi" w:hAnsiTheme="minorHAnsi"/>
                <w:color w:val="000000" w:themeColor="text1"/>
              </w:rPr>
            </w:pPr>
            <w:r w:rsidRPr="0058303C">
              <w:rPr>
                <w:rFonts w:asciiTheme="minorHAnsi" w:hAnsiTheme="minorHAnsi"/>
                <w:color w:val="000000" w:themeColor="text1"/>
              </w:rPr>
              <w:t>(d) Levels of climate change funds accessed by PICT governments are increased.</w:t>
            </w:r>
          </w:p>
          <w:p w14:paraId="7C5DF03D" w14:textId="77777777" w:rsidR="003930A0" w:rsidRPr="00AA71B4" w:rsidRDefault="003930A0" w:rsidP="007F7914">
            <w:pPr>
              <w:pStyle w:val="BodyText2"/>
              <w:rPr>
                <w:rFonts w:asciiTheme="minorHAnsi" w:hAnsiTheme="minorHAnsi"/>
                <w:b/>
                <w:color w:val="000000" w:themeColor="text1"/>
                <w:u w:val="single"/>
              </w:rPr>
            </w:pPr>
            <w:r w:rsidRPr="00AA71B4">
              <w:rPr>
                <w:rFonts w:asciiTheme="minorHAnsi" w:hAnsiTheme="minorHAnsi"/>
                <w:b/>
                <w:color w:val="000000" w:themeColor="text1"/>
                <w:u w:val="single"/>
              </w:rPr>
              <w:t>Progress and Achievements</w:t>
            </w:r>
          </w:p>
          <w:p w14:paraId="3AD64BF9" w14:textId="77777777" w:rsidR="00B7179F" w:rsidRPr="0058303C" w:rsidRDefault="00477B3F" w:rsidP="007E6C6B">
            <w:pPr>
              <w:pStyle w:val="BodyText2"/>
              <w:numPr>
                <w:ilvl w:val="0"/>
                <w:numId w:val="40"/>
              </w:numPr>
              <w:jc w:val="both"/>
              <w:rPr>
                <w:rFonts w:asciiTheme="minorHAnsi" w:hAnsiTheme="minorHAnsi"/>
                <w:color w:val="000000" w:themeColor="text1"/>
              </w:rPr>
            </w:pPr>
            <w:r w:rsidRPr="0058303C">
              <w:rPr>
                <w:rFonts w:asciiTheme="minorHAnsi" w:hAnsiTheme="minorHAnsi"/>
                <w:color w:val="000000" w:themeColor="text1"/>
              </w:rPr>
              <w:t>Policies and regulatory frameworks that facilitate transition to green, low carbon climate resilient paths of development that increas</w:t>
            </w:r>
            <w:r w:rsidR="0058303C">
              <w:rPr>
                <w:rFonts w:asciiTheme="minorHAnsi" w:hAnsiTheme="minorHAnsi"/>
                <w:color w:val="000000" w:themeColor="text1"/>
              </w:rPr>
              <w:t>ed</w:t>
            </w:r>
            <w:r w:rsidRPr="0058303C">
              <w:rPr>
                <w:rFonts w:asciiTheme="minorHAnsi" w:hAnsiTheme="minorHAnsi"/>
                <w:color w:val="000000" w:themeColor="text1"/>
              </w:rPr>
              <w:t xml:space="preserve"> accessibility to renewable energy </w:t>
            </w:r>
            <w:r w:rsidR="0058303C">
              <w:rPr>
                <w:rFonts w:asciiTheme="minorHAnsi" w:hAnsiTheme="minorHAnsi"/>
                <w:color w:val="000000" w:themeColor="text1"/>
              </w:rPr>
              <w:t>were</w:t>
            </w:r>
            <w:r w:rsidR="0058303C" w:rsidRPr="0058303C">
              <w:rPr>
                <w:rFonts w:asciiTheme="minorHAnsi" w:hAnsiTheme="minorHAnsi"/>
                <w:color w:val="000000" w:themeColor="text1"/>
              </w:rPr>
              <w:t xml:space="preserve"> </w:t>
            </w:r>
            <w:r w:rsidRPr="0058303C">
              <w:rPr>
                <w:rFonts w:asciiTheme="minorHAnsi" w:hAnsiTheme="minorHAnsi"/>
                <w:color w:val="000000" w:themeColor="text1"/>
              </w:rPr>
              <w:t>established through UNDP’s support in Palau, Marshall Islands, Fiji and currently in Nauru. UNDP also supported Vanuatu, Tonga and Kiribati on the submission of their Second and Third National Communications (NCs) and Intended National Determined Contributions (INDC) reports to UNFCCC</w:t>
            </w:r>
          </w:p>
          <w:p w14:paraId="4A2D5404" w14:textId="77777777" w:rsidR="00477B3F" w:rsidRPr="0058303C" w:rsidRDefault="00477B3F" w:rsidP="007E6C6B">
            <w:pPr>
              <w:pStyle w:val="BodyText2"/>
              <w:numPr>
                <w:ilvl w:val="0"/>
                <w:numId w:val="40"/>
              </w:numPr>
              <w:jc w:val="both"/>
              <w:rPr>
                <w:rFonts w:asciiTheme="minorHAnsi" w:hAnsiTheme="minorHAnsi"/>
                <w:color w:val="000000" w:themeColor="text1"/>
              </w:rPr>
            </w:pPr>
            <w:r w:rsidRPr="0058303C">
              <w:rPr>
                <w:rFonts w:asciiTheme="minorHAnsi" w:hAnsiTheme="minorHAnsi"/>
                <w:color w:val="000000" w:themeColor="text1"/>
              </w:rPr>
              <w:t xml:space="preserve">4 countries including Vanuatu, Solomon, Tonga and Fiji established a Disaster Risk Position </w:t>
            </w:r>
            <w:r w:rsidR="001F4DE0" w:rsidRPr="0058303C">
              <w:rPr>
                <w:rFonts w:asciiTheme="minorHAnsi" w:hAnsiTheme="minorHAnsi"/>
                <w:color w:val="000000" w:themeColor="text1"/>
              </w:rPr>
              <w:t>in the</w:t>
            </w:r>
            <w:r w:rsidR="00D0190B" w:rsidRPr="0058303C">
              <w:rPr>
                <w:rFonts w:asciiTheme="minorHAnsi" w:hAnsiTheme="minorHAnsi"/>
                <w:color w:val="000000" w:themeColor="text1"/>
              </w:rPr>
              <w:t>ir</w:t>
            </w:r>
            <w:r w:rsidR="001F4DE0" w:rsidRPr="0058303C">
              <w:rPr>
                <w:rFonts w:asciiTheme="minorHAnsi" w:hAnsiTheme="minorHAnsi"/>
                <w:color w:val="000000" w:themeColor="text1"/>
              </w:rPr>
              <w:t xml:space="preserve"> Government Department that </w:t>
            </w:r>
            <w:r w:rsidRPr="0058303C">
              <w:rPr>
                <w:rFonts w:asciiTheme="minorHAnsi" w:hAnsiTheme="minorHAnsi"/>
                <w:color w:val="000000" w:themeColor="text1"/>
              </w:rPr>
              <w:t xml:space="preserve">strengthened effective and participatory environmental governance. </w:t>
            </w:r>
            <w:r w:rsidR="00D6505B" w:rsidRPr="0058303C">
              <w:rPr>
                <w:rFonts w:asciiTheme="minorHAnsi" w:hAnsiTheme="minorHAnsi"/>
                <w:color w:val="000000" w:themeColor="text1"/>
              </w:rPr>
              <w:t xml:space="preserve">80% </w:t>
            </w:r>
            <w:r w:rsidRPr="0058303C">
              <w:rPr>
                <w:rFonts w:asciiTheme="minorHAnsi" w:hAnsiTheme="minorHAnsi"/>
                <w:color w:val="000000" w:themeColor="text1"/>
              </w:rPr>
              <w:t xml:space="preserve">of the established projects </w:t>
            </w:r>
            <w:r w:rsidR="0058303C">
              <w:rPr>
                <w:rFonts w:asciiTheme="minorHAnsi" w:hAnsiTheme="minorHAnsi"/>
                <w:color w:val="000000" w:themeColor="text1"/>
              </w:rPr>
              <w:t>were</w:t>
            </w:r>
            <w:r w:rsidR="0058303C" w:rsidRPr="0058303C">
              <w:rPr>
                <w:rFonts w:asciiTheme="minorHAnsi" w:hAnsiTheme="minorHAnsi"/>
                <w:color w:val="000000" w:themeColor="text1"/>
              </w:rPr>
              <w:t xml:space="preserve"> </w:t>
            </w:r>
            <w:r w:rsidRPr="0058303C">
              <w:rPr>
                <w:rFonts w:asciiTheme="minorHAnsi" w:hAnsiTheme="minorHAnsi"/>
                <w:color w:val="000000" w:themeColor="text1"/>
              </w:rPr>
              <w:t>under national implementation modality (NIM) with UNDP’s support services which also strengthened effective and participatory governance within Government departments</w:t>
            </w:r>
            <w:r w:rsidR="00D6505B" w:rsidRPr="0058303C">
              <w:rPr>
                <w:rFonts w:asciiTheme="minorHAnsi" w:hAnsiTheme="minorHAnsi"/>
                <w:color w:val="000000" w:themeColor="text1"/>
              </w:rPr>
              <w:t xml:space="preserve">. </w:t>
            </w:r>
            <w:r w:rsidR="001F4DE0" w:rsidRPr="0058303C">
              <w:rPr>
                <w:rFonts w:asciiTheme="minorHAnsi" w:hAnsiTheme="minorHAnsi"/>
                <w:color w:val="000000" w:themeColor="text1"/>
              </w:rPr>
              <w:t xml:space="preserve">Environmental </w:t>
            </w:r>
            <w:r w:rsidR="00D0190B" w:rsidRPr="0058303C">
              <w:rPr>
                <w:rFonts w:asciiTheme="minorHAnsi" w:hAnsiTheme="minorHAnsi"/>
                <w:color w:val="000000" w:themeColor="text1"/>
              </w:rPr>
              <w:t xml:space="preserve">Information </w:t>
            </w:r>
            <w:r w:rsidR="001F4DE0" w:rsidRPr="0058303C">
              <w:rPr>
                <w:rFonts w:asciiTheme="minorHAnsi" w:hAnsiTheme="minorHAnsi"/>
                <w:color w:val="000000" w:themeColor="text1"/>
              </w:rPr>
              <w:t>Management System</w:t>
            </w:r>
            <w:r w:rsidR="00D6505B" w:rsidRPr="0058303C">
              <w:rPr>
                <w:rFonts w:asciiTheme="minorHAnsi" w:hAnsiTheme="minorHAnsi"/>
                <w:color w:val="000000" w:themeColor="text1"/>
              </w:rPr>
              <w:t>s</w:t>
            </w:r>
            <w:r w:rsidR="001F4DE0" w:rsidRPr="0058303C">
              <w:rPr>
                <w:rFonts w:asciiTheme="minorHAnsi" w:hAnsiTheme="minorHAnsi"/>
                <w:color w:val="000000" w:themeColor="text1"/>
              </w:rPr>
              <w:t xml:space="preserve"> (EMIS) </w:t>
            </w:r>
            <w:r w:rsidR="0058303C">
              <w:rPr>
                <w:rFonts w:asciiTheme="minorHAnsi" w:hAnsiTheme="minorHAnsi"/>
                <w:color w:val="000000" w:themeColor="text1"/>
              </w:rPr>
              <w:t xml:space="preserve">were </w:t>
            </w:r>
            <w:r w:rsidR="00D0190B" w:rsidRPr="0058303C">
              <w:rPr>
                <w:rFonts w:asciiTheme="minorHAnsi" w:hAnsiTheme="minorHAnsi"/>
                <w:color w:val="000000" w:themeColor="text1"/>
              </w:rPr>
              <w:t>established</w:t>
            </w:r>
            <w:r w:rsidR="001F4DE0" w:rsidRPr="0058303C">
              <w:rPr>
                <w:rFonts w:asciiTheme="minorHAnsi" w:hAnsiTheme="minorHAnsi"/>
                <w:color w:val="000000" w:themeColor="text1"/>
              </w:rPr>
              <w:t xml:space="preserve"> in </w:t>
            </w:r>
            <w:r w:rsidR="00D0190B" w:rsidRPr="0058303C">
              <w:rPr>
                <w:rFonts w:asciiTheme="minorHAnsi" w:hAnsiTheme="minorHAnsi"/>
                <w:color w:val="000000" w:themeColor="text1"/>
              </w:rPr>
              <w:t xml:space="preserve">Kiribati, </w:t>
            </w:r>
            <w:r w:rsidR="001F4DE0" w:rsidRPr="0058303C">
              <w:rPr>
                <w:rFonts w:asciiTheme="minorHAnsi" w:hAnsiTheme="minorHAnsi"/>
                <w:color w:val="000000" w:themeColor="text1"/>
              </w:rPr>
              <w:t>Palau and now envisaged for Vanuatu and Fiji Department of Environment to support and strengthen environmental governance via data management to inform environmental management.</w:t>
            </w:r>
          </w:p>
          <w:p w14:paraId="47FCFF02" w14:textId="77777777" w:rsidR="00477B3F" w:rsidRPr="00312BAD" w:rsidRDefault="00D0190B" w:rsidP="007E6C6B">
            <w:pPr>
              <w:pStyle w:val="NormalWeb"/>
              <w:numPr>
                <w:ilvl w:val="0"/>
                <w:numId w:val="40"/>
              </w:numPr>
              <w:rPr>
                <w:rFonts w:asciiTheme="minorHAnsi" w:hAnsiTheme="minorHAnsi"/>
              </w:rPr>
            </w:pPr>
            <w:r w:rsidRPr="0021326E">
              <w:rPr>
                <w:rFonts w:asciiTheme="minorHAnsi" w:hAnsiTheme="minorHAnsi"/>
                <w:color w:val="000000" w:themeColor="text1"/>
                <w:sz w:val="20"/>
                <w:szCs w:val="20"/>
              </w:rPr>
              <w:t xml:space="preserve">The ridge to reef ecosystem based management approach </w:t>
            </w:r>
            <w:r w:rsidR="0058303C" w:rsidRPr="0021326E">
              <w:rPr>
                <w:rFonts w:asciiTheme="minorHAnsi" w:hAnsiTheme="minorHAnsi"/>
                <w:color w:val="000000" w:themeColor="text1"/>
                <w:sz w:val="20"/>
                <w:szCs w:val="20"/>
              </w:rPr>
              <w:t>was</w:t>
            </w:r>
            <w:r w:rsidRPr="0021326E">
              <w:rPr>
                <w:rFonts w:asciiTheme="minorHAnsi" w:hAnsiTheme="minorHAnsi"/>
                <w:color w:val="000000" w:themeColor="text1"/>
                <w:sz w:val="20"/>
                <w:szCs w:val="20"/>
              </w:rPr>
              <w:t xml:space="preserve"> adopted in </w:t>
            </w:r>
            <w:r w:rsidR="0021326E" w:rsidRPr="00312BAD">
              <w:rPr>
                <w:rFonts w:asciiTheme="minorHAnsi" w:hAnsiTheme="minorHAnsi"/>
                <w:sz w:val="20"/>
                <w:szCs w:val="20"/>
              </w:rPr>
              <w:t xml:space="preserve">Cook Islands, Federated States of Micronesia, Fiji Islands, Kiribati, Nauru, Niue, Palau, , Marshall Islands, Samoa, Solomon Islands, Tonga, Tuvalu, and Vanuatu </w:t>
            </w:r>
            <w:r w:rsidRPr="0021326E">
              <w:rPr>
                <w:rFonts w:asciiTheme="minorHAnsi" w:hAnsiTheme="minorHAnsi"/>
                <w:color w:val="000000" w:themeColor="text1"/>
                <w:sz w:val="20"/>
                <w:szCs w:val="20"/>
              </w:rPr>
              <w:t xml:space="preserve">through the support of UNDP. This approach focused on the active participation of local communities, governments, non-government organizations, private/public sectors on natural resources management to support livelihoods and food security. Given the geographical composition of these islands, the reef to ridge approach </w:t>
            </w:r>
            <w:r w:rsidR="00D6505B" w:rsidRPr="0021326E">
              <w:rPr>
                <w:rFonts w:asciiTheme="minorHAnsi" w:hAnsiTheme="minorHAnsi"/>
                <w:color w:val="000000" w:themeColor="text1"/>
                <w:sz w:val="20"/>
                <w:szCs w:val="20"/>
              </w:rPr>
              <w:t>mainly focused around</w:t>
            </w:r>
            <w:r w:rsidRPr="0021326E">
              <w:rPr>
                <w:rFonts w:asciiTheme="minorHAnsi" w:hAnsiTheme="minorHAnsi"/>
                <w:color w:val="000000" w:themeColor="text1"/>
                <w:sz w:val="20"/>
                <w:szCs w:val="20"/>
              </w:rPr>
              <w:t xml:space="preserve"> integrated coastal zone management</w:t>
            </w:r>
            <w:r w:rsidR="00D6505B" w:rsidRPr="0021326E">
              <w:rPr>
                <w:rFonts w:asciiTheme="minorHAnsi" w:hAnsiTheme="minorHAnsi"/>
                <w:color w:val="000000" w:themeColor="text1"/>
                <w:sz w:val="20"/>
                <w:szCs w:val="20"/>
              </w:rPr>
              <w:t xml:space="preserve">. The Fangauta Lagoon Catchment Protection project in Tonga has now established an ecotourism venture supporting the livelihood of these </w:t>
            </w:r>
            <w:r w:rsidR="00BD7EBA" w:rsidRPr="0021326E">
              <w:rPr>
                <w:rFonts w:asciiTheme="minorHAnsi" w:hAnsiTheme="minorHAnsi"/>
                <w:color w:val="000000" w:themeColor="text1"/>
                <w:sz w:val="20"/>
                <w:szCs w:val="20"/>
              </w:rPr>
              <w:t>coastal</w:t>
            </w:r>
            <w:r w:rsidR="00D6505B" w:rsidRPr="0021326E">
              <w:rPr>
                <w:rFonts w:asciiTheme="minorHAnsi" w:hAnsiTheme="minorHAnsi"/>
                <w:color w:val="000000" w:themeColor="text1"/>
                <w:sz w:val="20"/>
                <w:szCs w:val="20"/>
              </w:rPr>
              <w:t xml:space="preserve"> communities</w:t>
            </w:r>
            <w:r w:rsidR="00BD7EBA" w:rsidRPr="0021326E">
              <w:rPr>
                <w:rFonts w:asciiTheme="minorHAnsi" w:hAnsiTheme="minorHAnsi"/>
                <w:color w:val="000000" w:themeColor="text1"/>
                <w:sz w:val="20"/>
                <w:szCs w:val="20"/>
              </w:rPr>
              <w:t xml:space="preserve"> along the Faungauta lagoon. </w:t>
            </w:r>
            <w:r w:rsidR="00D6505B" w:rsidRPr="0021326E">
              <w:rPr>
                <w:rFonts w:asciiTheme="minorHAnsi" w:hAnsiTheme="minorHAnsi"/>
                <w:color w:val="000000" w:themeColor="text1"/>
                <w:sz w:val="20"/>
                <w:szCs w:val="20"/>
              </w:rPr>
              <w:t xml:space="preserve"> </w:t>
            </w:r>
          </w:p>
          <w:p w14:paraId="4FCFDC99" w14:textId="14F68571" w:rsidR="00477B3F" w:rsidRDefault="00BD7EBA" w:rsidP="007E6C6B">
            <w:pPr>
              <w:pStyle w:val="BodyText2"/>
              <w:numPr>
                <w:ilvl w:val="0"/>
                <w:numId w:val="40"/>
              </w:numPr>
              <w:rPr>
                <w:rFonts w:asciiTheme="minorHAnsi" w:hAnsiTheme="minorHAnsi"/>
                <w:color w:val="000000" w:themeColor="text1"/>
              </w:rPr>
            </w:pPr>
            <w:r w:rsidRPr="0021326E">
              <w:rPr>
                <w:rFonts w:asciiTheme="minorHAnsi" w:hAnsiTheme="minorHAnsi"/>
                <w:color w:val="000000" w:themeColor="text1"/>
              </w:rPr>
              <w:t xml:space="preserve">Levels of climate change funds accessed by PICT governments increased through the introduction of the Global Climate Fund (GCF), Russia Government, DFAT and EU. Tuvalu </w:t>
            </w:r>
            <w:r w:rsidR="0058303C" w:rsidRPr="0021326E">
              <w:rPr>
                <w:rFonts w:asciiTheme="minorHAnsi" w:hAnsiTheme="minorHAnsi"/>
                <w:color w:val="000000" w:themeColor="text1"/>
              </w:rPr>
              <w:t xml:space="preserve">was </w:t>
            </w:r>
            <w:r w:rsidRPr="0021326E">
              <w:rPr>
                <w:rFonts w:asciiTheme="minorHAnsi" w:hAnsiTheme="minorHAnsi"/>
                <w:color w:val="000000" w:themeColor="text1"/>
              </w:rPr>
              <w:t xml:space="preserve">the first country to </w:t>
            </w:r>
            <w:r w:rsidR="0058303C" w:rsidRPr="0021326E">
              <w:rPr>
                <w:rFonts w:asciiTheme="minorHAnsi" w:hAnsiTheme="minorHAnsi"/>
                <w:color w:val="000000" w:themeColor="text1"/>
              </w:rPr>
              <w:t>receive</w:t>
            </w:r>
            <w:r w:rsidRPr="0021326E">
              <w:rPr>
                <w:rFonts w:asciiTheme="minorHAnsi" w:hAnsiTheme="minorHAnsi"/>
                <w:color w:val="000000" w:themeColor="text1"/>
              </w:rPr>
              <w:t xml:space="preserve"> GCF approval on a US36Million Project for the next five years. 7Million was allocated by Russia funding for PICTs </w:t>
            </w:r>
            <w:r w:rsidRPr="0021326E">
              <w:rPr>
                <w:rFonts w:asciiTheme="minorHAnsi" w:hAnsiTheme="minorHAnsi"/>
                <w:color w:val="000000" w:themeColor="text1"/>
              </w:rPr>
              <w:lastRenderedPageBreak/>
              <w:t>on Disaster Risk Management and Early Warning Systems</w:t>
            </w:r>
            <w:r w:rsidR="0058303C" w:rsidRPr="0021326E">
              <w:rPr>
                <w:rFonts w:asciiTheme="minorHAnsi" w:hAnsiTheme="minorHAnsi"/>
                <w:color w:val="000000" w:themeColor="text1"/>
              </w:rPr>
              <w:t>, with an additional $</w:t>
            </w:r>
            <w:r w:rsidRPr="0021326E">
              <w:rPr>
                <w:rFonts w:asciiTheme="minorHAnsi" w:hAnsiTheme="minorHAnsi"/>
                <w:color w:val="000000" w:themeColor="text1"/>
              </w:rPr>
              <w:t xml:space="preserve">6Million for Pacific Risk Resilience Programme. </w:t>
            </w:r>
            <w:r w:rsidR="003B2CAB" w:rsidRPr="0021326E">
              <w:rPr>
                <w:rFonts w:asciiTheme="minorHAnsi" w:hAnsiTheme="minorHAnsi"/>
                <w:color w:val="000000" w:themeColor="text1"/>
              </w:rPr>
              <w:t>This is expected to heighten in the next five years through the support of GCF, EU, DFAT, and Governments.</w:t>
            </w:r>
          </w:p>
          <w:p w14:paraId="24FE625B" w14:textId="237E83DB" w:rsidR="007E6C6B" w:rsidRPr="0058303C" w:rsidRDefault="007E6C6B" w:rsidP="007E6C6B">
            <w:pPr>
              <w:pStyle w:val="ListParagraph"/>
              <w:numPr>
                <w:ilvl w:val="0"/>
                <w:numId w:val="40"/>
              </w:numPr>
              <w:jc w:val="both"/>
              <w:rPr>
                <w:rFonts w:asciiTheme="minorHAnsi" w:hAnsiTheme="minorHAnsi"/>
                <w:sz w:val="20"/>
              </w:rPr>
            </w:pPr>
            <w:r w:rsidRPr="0058303C">
              <w:rPr>
                <w:rFonts w:asciiTheme="minorHAnsi" w:hAnsiTheme="minorHAnsi"/>
                <w:sz w:val="20"/>
              </w:rPr>
              <w:t xml:space="preserve">UNDP project "Integration of Climate Change Risk and Resilience into Forestry Management in Samoa" </w:t>
            </w:r>
            <w:r w:rsidR="002A1250">
              <w:rPr>
                <w:rFonts w:asciiTheme="minorHAnsi" w:hAnsiTheme="minorHAnsi"/>
                <w:sz w:val="20"/>
              </w:rPr>
              <w:t>has</w:t>
            </w:r>
            <w:r w:rsidRPr="0058303C">
              <w:rPr>
                <w:rFonts w:asciiTheme="minorHAnsi" w:hAnsiTheme="minorHAnsi"/>
                <w:sz w:val="20"/>
              </w:rPr>
              <w:t xml:space="preserve"> contributed up to 75 ha of increased forest area. </w:t>
            </w:r>
          </w:p>
          <w:p w14:paraId="506A02F6" w14:textId="723EE62C" w:rsidR="007E6C6B" w:rsidRPr="007E6C6B" w:rsidRDefault="007E6C6B" w:rsidP="007E6C6B">
            <w:pPr>
              <w:pStyle w:val="ListParagraph"/>
              <w:numPr>
                <w:ilvl w:val="0"/>
                <w:numId w:val="40"/>
              </w:numPr>
              <w:jc w:val="both"/>
              <w:rPr>
                <w:rFonts w:asciiTheme="minorHAnsi" w:hAnsiTheme="minorHAnsi"/>
                <w:sz w:val="20"/>
              </w:rPr>
            </w:pPr>
            <w:r w:rsidRPr="0058303C">
              <w:rPr>
                <w:rFonts w:asciiTheme="minorHAnsi" w:hAnsiTheme="minorHAnsi"/>
                <w:sz w:val="20"/>
              </w:rPr>
              <w:t>Through the “Pacific Islands Greenhouse Gas Abatement through Renewable Energy Projects (PIGGAREP)" project a total of 6,086 Mega Watt hour of renewable energy have been generated by the project during its implementation from 2007 to 2016.</w:t>
            </w:r>
          </w:p>
          <w:p w14:paraId="744EB07F" w14:textId="77777777" w:rsidR="00B7179F" w:rsidRPr="0058303C" w:rsidRDefault="00B7179F" w:rsidP="007F7914">
            <w:pPr>
              <w:pStyle w:val="BodyText2"/>
              <w:rPr>
                <w:rFonts w:asciiTheme="minorHAnsi" w:hAnsiTheme="minorHAnsi"/>
                <w:color w:val="000000" w:themeColor="text1"/>
                <w:u w:val="single"/>
              </w:rPr>
            </w:pPr>
          </w:p>
        </w:tc>
      </w:tr>
      <w:tr w:rsidR="003930A0" w:rsidRPr="00F01FDE" w14:paraId="3470FEBF" w14:textId="77777777" w:rsidTr="007F7914">
        <w:tc>
          <w:tcPr>
            <w:tcW w:w="14040" w:type="dxa"/>
            <w:gridSpan w:val="4"/>
          </w:tcPr>
          <w:p w14:paraId="6E0AD884" w14:textId="77777777" w:rsidR="00EC1765" w:rsidRPr="00860C13" w:rsidRDefault="00EC1765" w:rsidP="007F7914">
            <w:pPr>
              <w:rPr>
                <w:rFonts w:asciiTheme="minorHAnsi" w:hAnsiTheme="minorHAnsi"/>
                <w:sz w:val="20"/>
                <w:u w:val="single"/>
              </w:rPr>
            </w:pPr>
          </w:p>
          <w:p w14:paraId="31213E95" w14:textId="77777777" w:rsidR="003930A0" w:rsidRPr="00860C13" w:rsidRDefault="003930A0" w:rsidP="007F7914">
            <w:pPr>
              <w:rPr>
                <w:rFonts w:asciiTheme="minorHAnsi" w:hAnsiTheme="minorHAnsi"/>
                <w:sz w:val="20"/>
                <w:u w:val="single"/>
              </w:rPr>
            </w:pPr>
            <w:r w:rsidRPr="00860C13">
              <w:rPr>
                <w:rFonts w:asciiTheme="minorHAnsi" w:hAnsiTheme="minorHAnsi"/>
                <w:sz w:val="20"/>
                <w:u w:val="single"/>
              </w:rPr>
              <w:t>Summary of evaluation finding</w:t>
            </w:r>
            <w:r w:rsidRPr="00C4361C">
              <w:rPr>
                <w:rFonts w:asciiTheme="minorHAnsi" w:hAnsiTheme="minorHAnsi"/>
                <w:sz w:val="20"/>
                <w:u w:val="single"/>
              </w:rPr>
              <w:t>s (e.g. from outcome and project evaluations, UNDAF reviews, and other assessments</w:t>
            </w:r>
            <w:r w:rsidRPr="00860C13">
              <w:rPr>
                <w:rFonts w:asciiTheme="minorHAnsi" w:hAnsiTheme="minorHAnsi"/>
                <w:sz w:val="20"/>
                <w:u w:val="single"/>
              </w:rPr>
              <w:t>)</w:t>
            </w:r>
          </w:p>
          <w:p w14:paraId="636AB311" w14:textId="77777777" w:rsidR="00EC1765" w:rsidRPr="00C4361C" w:rsidRDefault="00EC1765" w:rsidP="00C72653">
            <w:pPr>
              <w:jc w:val="both"/>
              <w:rPr>
                <w:rFonts w:asciiTheme="minorHAnsi" w:hAnsiTheme="minorHAnsi"/>
                <w:sz w:val="20"/>
                <w:u w:val="single"/>
              </w:rPr>
            </w:pPr>
          </w:p>
          <w:p w14:paraId="0F648452" w14:textId="77777777" w:rsidR="003930A0" w:rsidRPr="00C4361C" w:rsidRDefault="003930A0" w:rsidP="00C72653">
            <w:pPr>
              <w:jc w:val="both"/>
              <w:rPr>
                <w:rFonts w:asciiTheme="minorHAnsi" w:hAnsiTheme="minorHAnsi"/>
                <w:sz w:val="20"/>
              </w:rPr>
            </w:pPr>
            <w:r w:rsidRPr="00C4361C">
              <w:rPr>
                <w:rFonts w:asciiTheme="minorHAnsi" w:hAnsiTheme="minorHAnsi"/>
                <w:sz w:val="20"/>
                <w:u w:val="single"/>
              </w:rPr>
              <w:t>Key Achievements</w:t>
            </w:r>
            <w:r w:rsidRPr="00C4361C">
              <w:rPr>
                <w:rFonts w:asciiTheme="minorHAnsi" w:hAnsiTheme="minorHAnsi"/>
                <w:sz w:val="20"/>
              </w:rPr>
              <w:t>:</w:t>
            </w:r>
            <w:r w:rsidR="00C72653" w:rsidRPr="00C4361C">
              <w:rPr>
                <w:rFonts w:asciiTheme="minorHAnsi" w:hAnsiTheme="minorHAnsi"/>
                <w:sz w:val="20"/>
              </w:rPr>
              <w:t xml:space="preserve"> </w:t>
            </w:r>
            <w:r w:rsidRPr="00C4361C">
              <w:rPr>
                <w:rFonts w:asciiTheme="minorHAnsi" w:hAnsiTheme="minorHAnsi"/>
                <w:sz w:val="20"/>
                <w:u w:val="single"/>
              </w:rPr>
              <w:t>Major Lessons Learnt</w:t>
            </w:r>
            <w:r w:rsidRPr="00C4361C">
              <w:rPr>
                <w:rFonts w:asciiTheme="minorHAnsi" w:hAnsiTheme="minorHAnsi"/>
                <w:sz w:val="20"/>
              </w:rPr>
              <w:t>:</w:t>
            </w:r>
          </w:p>
          <w:p w14:paraId="1E34FBE8" w14:textId="77777777" w:rsidR="00EC1765" w:rsidRPr="0058303C" w:rsidRDefault="00EC1765" w:rsidP="00EC1765">
            <w:pPr>
              <w:pStyle w:val="ListParagraph"/>
              <w:numPr>
                <w:ilvl w:val="0"/>
                <w:numId w:val="31"/>
              </w:numPr>
              <w:jc w:val="both"/>
              <w:rPr>
                <w:rFonts w:asciiTheme="minorHAnsi" w:hAnsiTheme="minorHAnsi"/>
                <w:sz w:val="20"/>
              </w:rPr>
            </w:pPr>
            <w:r w:rsidRPr="00C4361C">
              <w:rPr>
                <w:rFonts w:asciiTheme="minorHAnsi" w:hAnsiTheme="minorHAnsi"/>
                <w:sz w:val="20"/>
              </w:rPr>
              <w:t>UNDP is considered a trusted partner to national governments in the region. Trust, however, needs to be built with regional organizations to establish partnerships. Establishing and expressing UNDP’s added value is key.</w:t>
            </w:r>
          </w:p>
          <w:p w14:paraId="71B0BD02" w14:textId="77777777" w:rsidR="00EC1765" w:rsidRPr="0058303C" w:rsidRDefault="00EC1765" w:rsidP="00EC1765">
            <w:pPr>
              <w:pStyle w:val="ListParagraph"/>
              <w:numPr>
                <w:ilvl w:val="0"/>
                <w:numId w:val="31"/>
              </w:numPr>
              <w:jc w:val="both"/>
              <w:rPr>
                <w:rFonts w:asciiTheme="minorHAnsi" w:hAnsiTheme="minorHAnsi"/>
                <w:sz w:val="20"/>
              </w:rPr>
            </w:pPr>
            <w:r w:rsidRPr="0058303C">
              <w:rPr>
                <w:rFonts w:asciiTheme="minorHAnsi" w:hAnsiTheme="minorHAnsi"/>
                <w:sz w:val="20"/>
              </w:rPr>
              <w:t>Resource mobilization strategies need to be instituted at the sub regional and national level. National governments rely on UNDP for support to access funding (vertical funds) and technical expertise but are challenged by the inflexibility of funding rules associated with vertical funds, which requires further negotiation. Cost recovery from projects and programmes, through Direct Project Costing requires UNDP’s clear articulation of its role, technical value, outcomes to be achieved and timeframes for delivery to increase partner confidence in return on investment.</w:t>
            </w:r>
          </w:p>
          <w:p w14:paraId="244FEBBE" w14:textId="77777777" w:rsidR="00EC1765" w:rsidRPr="0058303C" w:rsidRDefault="00EC1765" w:rsidP="00EC1765">
            <w:pPr>
              <w:pStyle w:val="ListParagraph"/>
              <w:numPr>
                <w:ilvl w:val="0"/>
                <w:numId w:val="31"/>
              </w:numPr>
              <w:jc w:val="both"/>
              <w:rPr>
                <w:rFonts w:asciiTheme="minorHAnsi" w:hAnsiTheme="minorHAnsi"/>
                <w:sz w:val="20"/>
              </w:rPr>
            </w:pPr>
            <w:r w:rsidRPr="0058303C">
              <w:rPr>
                <w:rFonts w:asciiTheme="minorHAnsi" w:hAnsiTheme="minorHAnsi"/>
                <w:sz w:val="20"/>
              </w:rPr>
              <w:t xml:space="preserve">Confidence needs to be maintained (externally and internally) regarding the structural changes to UNDP in the Pacific and, and transition to new management structures, including maintaining the roles of technical focal point and knowledge management previously fulfilled by the Pacific Centre. </w:t>
            </w:r>
          </w:p>
          <w:p w14:paraId="29138ECC" w14:textId="77777777" w:rsidR="00231EF9" w:rsidRPr="0058303C" w:rsidRDefault="00EC1765" w:rsidP="00EC1765">
            <w:pPr>
              <w:pStyle w:val="ListParagraph"/>
              <w:numPr>
                <w:ilvl w:val="0"/>
                <w:numId w:val="31"/>
              </w:numPr>
              <w:jc w:val="both"/>
              <w:rPr>
                <w:rFonts w:asciiTheme="minorHAnsi" w:hAnsiTheme="minorHAnsi"/>
                <w:sz w:val="20"/>
              </w:rPr>
            </w:pPr>
            <w:r w:rsidRPr="0058303C">
              <w:rPr>
                <w:rFonts w:asciiTheme="minorHAnsi" w:hAnsiTheme="minorHAnsi"/>
                <w:sz w:val="20"/>
              </w:rPr>
              <w:t>The preliminary success of UNDP’s support to the acceleration of MDGs can be built upon to respond to the SDGs localization efforts of countries, the increased demand for support for data collection and management and in complementing and partnering in the lead role of Regional Organisations in relation to the SDGs.</w:t>
            </w:r>
          </w:p>
          <w:p w14:paraId="7428BE18" w14:textId="77777777" w:rsidR="00EC1765" w:rsidRPr="0058303C" w:rsidRDefault="00EC1765" w:rsidP="00EC1765">
            <w:pPr>
              <w:pStyle w:val="ListParagraph"/>
              <w:numPr>
                <w:ilvl w:val="0"/>
                <w:numId w:val="31"/>
              </w:numPr>
              <w:jc w:val="both"/>
              <w:rPr>
                <w:rFonts w:asciiTheme="minorHAnsi" w:hAnsiTheme="minorHAnsi"/>
                <w:sz w:val="20"/>
              </w:rPr>
            </w:pPr>
            <w:r w:rsidRPr="0058303C">
              <w:rPr>
                <w:rFonts w:asciiTheme="minorHAnsi" w:hAnsiTheme="minorHAnsi"/>
                <w:sz w:val="20"/>
              </w:rPr>
              <w:t xml:space="preserve">In all outcome areas, the priority for quality data collection, management and utilization in programme development, monitoring and reporting is emphasized. National systems and capacity are, however, limited in relation to data and require ongoing targeting and mainstreaming in new programme design. </w:t>
            </w:r>
          </w:p>
          <w:p w14:paraId="5A11964E" w14:textId="77777777" w:rsidR="00EC1765" w:rsidRPr="0058303C" w:rsidRDefault="00EC1765" w:rsidP="00EC1765">
            <w:pPr>
              <w:pStyle w:val="ListParagraph"/>
              <w:numPr>
                <w:ilvl w:val="0"/>
                <w:numId w:val="31"/>
              </w:numPr>
              <w:jc w:val="both"/>
              <w:rPr>
                <w:rFonts w:asciiTheme="minorHAnsi" w:hAnsiTheme="minorHAnsi"/>
                <w:sz w:val="20"/>
              </w:rPr>
            </w:pPr>
            <w:r w:rsidRPr="0058303C">
              <w:rPr>
                <w:rFonts w:asciiTheme="minorHAnsi" w:hAnsiTheme="minorHAnsi"/>
                <w:sz w:val="20"/>
              </w:rPr>
              <w:t xml:space="preserve">The success of UNDP’s work in the Pacific is directly linked to its capacity to harmonize and align with the UN </w:t>
            </w:r>
            <w:r w:rsidR="00C44E55" w:rsidRPr="0058303C">
              <w:rPr>
                <w:rFonts w:asciiTheme="minorHAnsi" w:hAnsiTheme="minorHAnsi"/>
                <w:sz w:val="20"/>
              </w:rPr>
              <w:t>through</w:t>
            </w:r>
            <w:r w:rsidRPr="0058303C">
              <w:rPr>
                <w:rFonts w:asciiTheme="minorHAnsi" w:hAnsiTheme="minorHAnsi"/>
                <w:sz w:val="20"/>
              </w:rPr>
              <w:t xml:space="preserve"> effective monitoring, data collection and knowledge management.</w:t>
            </w:r>
          </w:p>
          <w:p w14:paraId="6FC00447" w14:textId="77777777" w:rsidR="00AF7540" w:rsidRPr="00312BAD" w:rsidRDefault="00AF7540" w:rsidP="009435DF">
            <w:pPr>
              <w:pStyle w:val="BodyText2"/>
              <w:rPr>
                <w:rFonts w:asciiTheme="minorHAnsi" w:hAnsiTheme="minorHAnsi"/>
              </w:rPr>
            </w:pPr>
          </w:p>
        </w:tc>
      </w:tr>
    </w:tbl>
    <w:p w14:paraId="6DE9AF0A" w14:textId="77777777" w:rsidR="0071023F" w:rsidRDefault="0071023F" w:rsidP="00E37E7A">
      <w:pPr>
        <w:pStyle w:val="BodyText2"/>
        <w:jc w:val="center"/>
        <w:rPr>
          <w:rFonts w:asciiTheme="minorHAnsi" w:hAnsiTheme="minorHAnsi"/>
          <w:sz w:val="24"/>
        </w:rPr>
      </w:pPr>
    </w:p>
    <w:p w14:paraId="38ED01AD" w14:textId="7F0F1E01" w:rsidR="00E37E7A" w:rsidRPr="005474ED" w:rsidRDefault="00EA7740" w:rsidP="00E37E7A">
      <w:pPr>
        <w:pStyle w:val="BodyText2"/>
        <w:jc w:val="center"/>
        <w:rPr>
          <w:rFonts w:asciiTheme="minorHAnsi" w:hAnsiTheme="minorHAnsi"/>
          <w:sz w:val="24"/>
        </w:rPr>
      </w:pPr>
      <w:r>
        <w:rPr>
          <w:rFonts w:asciiTheme="minorHAnsi" w:hAnsiTheme="minorHAnsi"/>
          <w:sz w:val="24"/>
        </w:rPr>
        <w:t xml:space="preserve">III. </w:t>
      </w:r>
      <w:r w:rsidR="00673710" w:rsidRPr="005474ED">
        <w:rPr>
          <w:rFonts w:asciiTheme="minorHAnsi" w:hAnsiTheme="minorHAnsi"/>
          <w:sz w:val="24"/>
        </w:rPr>
        <w:t xml:space="preserve">Country Programme </w:t>
      </w:r>
      <w:r w:rsidR="00E37E7A" w:rsidRPr="005474ED">
        <w:rPr>
          <w:rFonts w:asciiTheme="minorHAnsi" w:hAnsiTheme="minorHAnsi"/>
          <w:sz w:val="24"/>
        </w:rPr>
        <w:t>Resources</w:t>
      </w:r>
      <w:r w:rsidR="003122CE">
        <w:rPr>
          <w:rFonts w:asciiTheme="minorHAnsi" w:hAnsiTheme="minorHAnsi"/>
          <w:sz w:val="24"/>
        </w:rPr>
        <w:t xml:space="preserve"> (Expenditures from 2014 to 2016 only; the former Pacific Center not included)</w:t>
      </w:r>
    </w:p>
    <w:tbl>
      <w:tblPr>
        <w:tblStyle w:val="TableGrid"/>
        <w:tblW w:w="0" w:type="auto"/>
        <w:tblLook w:val="04A0" w:firstRow="1" w:lastRow="0" w:firstColumn="1" w:lastColumn="0" w:noHBand="0" w:noVBand="1"/>
      </w:tblPr>
      <w:tblGrid>
        <w:gridCol w:w="6111"/>
        <w:gridCol w:w="1865"/>
        <w:gridCol w:w="2037"/>
        <w:gridCol w:w="1960"/>
        <w:gridCol w:w="1977"/>
      </w:tblGrid>
      <w:tr w:rsidR="0015409F" w:rsidRPr="006900FE" w14:paraId="6AF2820E" w14:textId="77777777" w:rsidTr="000D6DE5">
        <w:tc>
          <w:tcPr>
            <w:tcW w:w="6228" w:type="dxa"/>
            <w:shd w:val="clear" w:color="auto" w:fill="000000" w:themeFill="text1"/>
          </w:tcPr>
          <w:p w14:paraId="77662B2D" w14:textId="77777777"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Focus Area</w:t>
            </w:r>
          </w:p>
        </w:tc>
        <w:tc>
          <w:tcPr>
            <w:tcW w:w="5940" w:type="dxa"/>
            <w:gridSpan w:val="3"/>
            <w:shd w:val="clear" w:color="auto" w:fill="000000" w:themeFill="text1"/>
          </w:tcPr>
          <w:p w14:paraId="25935BAE" w14:textId="77777777" w:rsidR="0015409F" w:rsidRPr="006900FE" w:rsidRDefault="000D6DE5"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xml:space="preserve">Programme </w:t>
            </w:r>
            <w:r w:rsidR="0015409F" w:rsidRPr="006900FE">
              <w:rPr>
                <w:rFonts w:asciiTheme="minorHAnsi" w:hAnsiTheme="minorHAnsi"/>
                <w:b/>
                <w:color w:val="FFFFFF" w:themeColor="background1"/>
                <w:sz w:val="24"/>
              </w:rPr>
              <w:t>Expenditure ($)</w:t>
            </w:r>
          </w:p>
        </w:tc>
        <w:tc>
          <w:tcPr>
            <w:tcW w:w="2008" w:type="dxa"/>
            <w:shd w:val="clear" w:color="auto" w:fill="000000" w:themeFill="text1"/>
          </w:tcPr>
          <w:p w14:paraId="2130DF48" w14:textId="77777777"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of Total</w:t>
            </w:r>
          </w:p>
        </w:tc>
      </w:tr>
      <w:tr w:rsidR="003122CE" w:rsidRPr="006900FE" w14:paraId="3EA6A293" w14:textId="77777777" w:rsidTr="000D6DE5">
        <w:tc>
          <w:tcPr>
            <w:tcW w:w="6228" w:type="dxa"/>
          </w:tcPr>
          <w:p w14:paraId="74743610" w14:textId="77777777" w:rsidR="000D6DE5" w:rsidRPr="006900FE" w:rsidRDefault="000D6DE5" w:rsidP="00A0001A">
            <w:pPr>
              <w:pStyle w:val="BodyText2"/>
              <w:rPr>
                <w:rFonts w:asciiTheme="minorHAnsi" w:hAnsiTheme="minorHAnsi"/>
              </w:rPr>
            </w:pPr>
          </w:p>
        </w:tc>
        <w:tc>
          <w:tcPr>
            <w:tcW w:w="1890" w:type="dxa"/>
          </w:tcPr>
          <w:p w14:paraId="294B0212"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Regular (TRAC)</w:t>
            </w:r>
          </w:p>
        </w:tc>
        <w:tc>
          <w:tcPr>
            <w:tcW w:w="2070" w:type="dxa"/>
          </w:tcPr>
          <w:p w14:paraId="3D9B2290"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Other</w:t>
            </w:r>
          </w:p>
        </w:tc>
        <w:tc>
          <w:tcPr>
            <w:tcW w:w="1980" w:type="dxa"/>
          </w:tcPr>
          <w:p w14:paraId="0389C6BB"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Total</w:t>
            </w:r>
          </w:p>
        </w:tc>
        <w:tc>
          <w:tcPr>
            <w:tcW w:w="2008" w:type="dxa"/>
          </w:tcPr>
          <w:p w14:paraId="5799B44C" w14:textId="77777777" w:rsidR="000D6DE5" w:rsidRPr="006900FE" w:rsidRDefault="000D6DE5" w:rsidP="00E37E7A">
            <w:pPr>
              <w:pStyle w:val="BodyText2"/>
              <w:jc w:val="center"/>
              <w:rPr>
                <w:rFonts w:asciiTheme="minorHAnsi" w:hAnsiTheme="minorHAnsi"/>
              </w:rPr>
            </w:pPr>
          </w:p>
        </w:tc>
      </w:tr>
      <w:tr w:rsidR="003122CE" w:rsidRPr="006900FE" w14:paraId="683C7ECA" w14:textId="77777777" w:rsidTr="000D6DE5">
        <w:tc>
          <w:tcPr>
            <w:tcW w:w="6228" w:type="dxa"/>
          </w:tcPr>
          <w:p w14:paraId="19B7A883" w14:textId="4BF9AA09" w:rsidR="000D6DE5" w:rsidRPr="006900FE" w:rsidRDefault="003122CE" w:rsidP="00A0001A">
            <w:pPr>
              <w:pStyle w:val="BodyText2"/>
              <w:rPr>
                <w:rFonts w:asciiTheme="minorHAnsi" w:hAnsiTheme="minorHAnsi"/>
              </w:rPr>
            </w:pPr>
            <w:r>
              <w:rPr>
                <w:rFonts w:asciiTheme="minorHAnsi" w:hAnsiTheme="minorHAnsi"/>
              </w:rPr>
              <w:t xml:space="preserve">SRPD Outcome 1: </w:t>
            </w:r>
            <w:r w:rsidR="009D5C75">
              <w:rPr>
                <w:rFonts w:asciiTheme="minorHAnsi" w:hAnsiTheme="minorHAnsi"/>
              </w:rPr>
              <w:t>Inclusive Economic Growth</w:t>
            </w:r>
          </w:p>
        </w:tc>
        <w:tc>
          <w:tcPr>
            <w:tcW w:w="1890" w:type="dxa"/>
          </w:tcPr>
          <w:p w14:paraId="35C86B87" w14:textId="77777777" w:rsidR="000D6DE5" w:rsidRPr="006900FE" w:rsidRDefault="000D6DE5" w:rsidP="00E37E7A">
            <w:pPr>
              <w:pStyle w:val="BodyText2"/>
              <w:jc w:val="center"/>
              <w:rPr>
                <w:rFonts w:asciiTheme="minorHAnsi" w:hAnsiTheme="minorHAnsi"/>
              </w:rPr>
            </w:pPr>
          </w:p>
        </w:tc>
        <w:tc>
          <w:tcPr>
            <w:tcW w:w="2070" w:type="dxa"/>
          </w:tcPr>
          <w:p w14:paraId="64D1EDE3" w14:textId="77777777" w:rsidR="000D6DE5" w:rsidRPr="006900FE" w:rsidRDefault="000D6DE5" w:rsidP="00E37E7A">
            <w:pPr>
              <w:pStyle w:val="BodyText2"/>
              <w:jc w:val="center"/>
              <w:rPr>
                <w:rFonts w:asciiTheme="minorHAnsi" w:hAnsiTheme="minorHAnsi"/>
              </w:rPr>
            </w:pPr>
          </w:p>
        </w:tc>
        <w:tc>
          <w:tcPr>
            <w:tcW w:w="1980" w:type="dxa"/>
          </w:tcPr>
          <w:p w14:paraId="64A0011E" w14:textId="49B2C884" w:rsidR="000D6DE5" w:rsidRPr="006900FE" w:rsidRDefault="003122CE" w:rsidP="00E37E7A">
            <w:pPr>
              <w:pStyle w:val="BodyText2"/>
              <w:jc w:val="center"/>
              <w:rPr>
                <w:rFonts w:asciiTheme="minorHAnsi" w:hAnsiTheme="minorHAnsi"/>
              </w:rPr>
            </w:pPr>
            <w:r>
              <w:rPr>
                <w:rFonts w:asciiTheme="minorHAnsi" w:hAnsiTheme="minorHAnsi"/>
              </w:rPr>
              <w:t>2,612,510</w:t>
            </w:r>
          </w:p>
        </w:tc>
        <w:tc>
          <w:tcPr>
            <w:tcW w:w="2008" w:type="dxa"/>
          </w:tcPr>
          <w:p w14:paraId="6957CC10" w14:textId="0165FC1E" w:rsidR="000D6DE5" w:rsidRPr="006900FE" w:rsidRDefault="003122CE" w:rsidP="00E37E7A">
            <w:pPr>
              <w:pStyle w:val="BodyText2"/>
              <w:jc w:val="center"/>
              <w:rPr>
                <w:rFonts w:asciiTheme="minorHAnsi" w:hAnsiTheme="minorHAnsi"/>
              </w:rPr>
            </w:pPr>
            <w:r>
              <w:rPr>
                <w:rFonts w:asciiTheme="minorHAnsi" w:hAnsiTheme="minorHAnsi"/>
              </w:rPr>
              <w:t>3%</w:t>
            </w:r>
          </w:p>
        </w:tc>
      </w:tr>
      <w:tr w:rsidR="003122CE" w:rsidRPr="006900FE" w14:paraId="19951425" w14:textId="77777777" w:rsidTr="000D6DE5">
        <w:tc>
          <w:tcPr>
            <w:tcW w:w="6228" w:type="dxa"/>
          </w:tcPr>
          <w:p w14:paraId="73D90AAF" w14:textId="57492772" w:rsidR="000D6DE5" w:rsidRPr="006900FE" w:rsidRDefault="003122CE" w:rsidP="00A0001A">
            <w:pPr>
              <w:pStyle w:val="BodyText2"/>
              <w:rPr>
                <w:rFonts w:asciiTheme="minorHAnsi" w:hAnsiTheme="minorHAnsi"/>
              </w:rPr>
            </w:pPr>
            <w:r>
              <w:rPr>
                <w:rFonts w:asciiTheme="minorHAnsi" w:hAnsiTheme="minorHAnsi"/>
              </w:rPr>
              <w:t xml:space="preserve">SRPD Outcome 2: </w:t>
            </w:r>
            <w:r w:rsidR="000D6DE5" w:rsidRPr="006900FE">
              <w:rPr>
                <w:rFonts w:asciiTheme="minorHAnsi" w:hAnsiTheme="minorHAnsi"/>
              </w:rPr>
              <w:t>Democratic Governance</w:t>
            </w:r>
          </w:p>
        </w:tc>
        <w:tc>
          <w:tcPr>
            <w:tcW w:w="1890" w:type="dxa"/>
          </w:tcPr>
          <w:p w14:paraId="687BCCB7" w14:textId="77777777" w:rsidR="000D6DE5" w:rsidRPr="006900FE" w:rsidRDefault="000D6DE5" w:rsidP="00E37E7A">
            <w:pPr>
              <w:pStyle w:val="BodyText2"/>
              <w:jc w:val="center"/>
              <w:rPr>
                <w:rFonts w:asciiTheme="minorHAnsi" w:hAnsiTheme="minorHAnsi"/>
              </w:rPr>
            </w:pPr>
          </w:p>
        </w:tc>
        <w:tc>
          <w:tcPr>
            <w:tcW w:w="2070" w:type="dxa"/>
          </w:tcPr>
          <w:p w14:paraId="70696D1B" w14:textId="77777777" w:rsidR="000D6DE5" w:rsidRPr="006900FE" w:rsidRDefault="000D6DE5" w:rsidP="00E37E7A">
            <w:pPr>
              <w:pStyle w:val="BodyText2"/>
              <w:jc w:val="center"/>
              <w:rPr>
                <w:rFonts w:asciiTheme="minorHAnsi" w:hAnsiTheme="minorHAnsi"/>
              </w:rPr>
            </w:pPr>
          </w:p>
        </w:tc>
        <w:tc>
          <w:tcPr>
            <w:tcW w:w="1980" w:type="dxa"/>
          </w:tcPr>
          <w:p w14:paraId="178BA2D7" w14:textId="6AC34D89" w:rsidR="000D6DE5" w:rsidRPr="006900FE" w:rsidRDefault="003122CE" w:rsidP="00E37E7A">
            <w:pPr>
              <w:pStyle w:val="BodyText2"/>
              <w:jc w:val="center"/>
              <w:rPr>
                <w:rFonts w:asciiTheme="minorHAnsi" w:hAnsiTheme="minorHAnsi"/>
              </w:rPr>
            </w:pPr>
            <w:r>
              <w:rPr>
                <w:rFonts w:asciiTheme="minorHAnsi" w:hAnsiTheme="minorHAnsi"/>
              </w:rPr>
              <w:t>3,128,037</w:t>
            </w:r>
          </w:p>
        </w:tc>
        <w:tc>
          <w:tcPr>
            <w:tcW w:w="2008" w:type="dxa"/>
          </w:tcPr>
          <w:p w14:paraId="62F2D9A9" w14:textId="4085B635" w:rsidR="000D6DE5" w:rsidRPr="006900FE" w:rsidRDefault="003122CE" w:rsidP="00E37E7A">
            <w:pPr>
              <w:pStyle w:val="BodyText2"/>
              <w:jc w:val="center"/>
              <w:rPr>
                <w:rFonts w:asciiTheme="minorHAnsi" w:hAnsiTheme="minorHAnsi"/>
              </w:rPr>
            </w:pPr>
            <w:r>
              <w:rPr>
                <w:rFonts w:asciiTheme="minorHAnsi" w:hAnsiTheme="minorHAnsi"/>
              </w:rPr>
              <w:t>4%</w:t>
            </w:r>
          </w:p>
        </w:tc>
      </w:tr>
      <w:tr w:rsidR="003122CE" w:rsidRPr="006900FE" w14:paraId="1EC224C4" w14:textId="77777777" w:rsidTr="000D6DE5">
        <w:tc>
          <w:tcPr>
            <w:tcW w:w="6228" w:type="dxa"/>
          </w:tcPr>
          <w:p w14:paraId="07328A90" w14:textId="43FCEAD8" w:rsidR="000D6DE5" w:rsidRPr="006900FE" w:rsidRDefault="003122CE" w:rsidP="00A0001A">
            <w:pPr>
              <w:pStyle w:val="BodyText2"/>
              <w:rPr>
                <w:rFonts w:asciiTheme="minorHAnsi" w:hAnsiTheme="minorHAnsi"/>
              </w:rPr>
            </w:pPr>
            <w:r>
              <w:rPr>
                <w:rFonts w:asciiTheme="minorHAnsi" w:hAnsiTheme="minorHAnsi"/>
              </w:rPr>
              <w:t xml:space="preserve">SRPD Outcome 3: </w:t>
            </w:r>
            <w:r w:rsidR="009D5C75">
              <w:rPr>
                <w:rFonts w:asciiTheme="minorHAnsi" w:hAnsiTheme="minorHAnsi"/>
              </w:rPr>
              <w:t xml:space="preserve">Increased Women’s Participation </w:t>
            </w:r>
          </w:p>
        </w:tc>
        <w:tc>
          <w:tcPr>
            <w:tcW w:w="1890" w:type="dxa"/>
          </w:tcPr>
          <w:p w14:paraId="38FA75DA" w14:textId="77777777" w:rsidR="000D6DE5" w:rsidRPr="006900FE" w:rsidRDefault="000D6DE5" w:rsidP="00E37E7A">
            <w:pPr>
              <w:pStyle w:val="BodyText2"/>
              <w:jc w:val="center"/>
              <w:rPr>
                <w:rFonts w:asciiTheme="minorHAnsi" w:hAnsiTheme="minorHAnsi"/>
              </w:rPr>
            </w:pPr>
          </w:p>
        </w:tc>
        <w:tc>
          <w:tcPr>
            <w:tcW w:w="2070" w:type="dxa"/>
          </w:tcPr>
          <w:p w14:paraId="7B88073B" w14:textId="77777777" w:rsidR="000D6DE5" w:rsidRPr="006900FE" w:rsidRDefault="000D6DE5" w:rsidP="00E37E7A">
            <w:pPr>
              <w:pStyle w:val="BodyText2"/>
              <w:jc w:val="center"/>
              <w:rPr>
                <w:rFonts w:asciiTheme="minorHAnsi" w:hAnsiTheme="minorHAnsi"/>
              </w:rPr>
            </w:pPr>
          </w:p>
        </w:tc>
        <w:tc>
          <w:tcPr>
            <w:tcW w:w="1980" w:type="dxa"/>
          </w:tcPr>
          <w:p w14:paraId="2C8A56E0" w14:textId="61827BF3" w:rsidR="000D6DE5" w:rsidRPr="006900FE" w:rsidRDefault="003122CE" w:rsidP="00E37E7A">
            <w:pPr>
              <w:pStyle w:val="BodyText2"/>
              <w:jc w:val="center"/>
              <w:rPr>
                <w:rFonts w:asciiTheme="minorHAnsi" w:hAnsiTheme="minorHAnsi"/>
              </w:rPr>
            </w:pPr>
            <w:r>
              <w:rPr>
                <w:rFonts w:asciiTheme="minorHAnsi" w:hAnsiTheme="minorHAnsi"/>
              </w:rPr>
              <w:t>540,498</w:t>
            </w:r>
          </w:p>
        </w:tc>
        <w:tc>
          <w:tcPr>
            <w:tcW w:w="2008" w:type="dxa"/>
          </w:tcPr>
          <w:p w14:paraId="52338D57" w14:textId="64ABE8A5" w:rsidR="000D6DE5" w:rsidRPr="006900FE" w:rsidRDefault="003122CE" w:rsidP="00E37E7A">
            <w:pPr>
              <w:pStyle w:val="BodyText2"/>
              <w:jc w:val="center"/>
              <w:rPr>
                <w:rFonts w:asciiTheme="minorHAnsi" w:hAnsiTheme="minorHAnsi"/>
              </w:rPr>
            </w:pPr>
            <w:r>
              <w:rPr>
                <w:rFonts w:asciiTheme="minorHAnsi" w:hAnsiTheme="minorHAnsi"/>
              </w:rPr>
              <w:t>1%</w:t>
            </w:r>
          </w:p>
        </w:tc>
      </w:tr>
      <w:tr w:rsidR="003122CE" w:rsidRPr="006900FE" w14:paraId="611DC085" w14:textId="77777777" w:rsidTr="000D6DE5">
        <w:tc>
          <w:tcPr>
            <w:tcW w:w="6228" w:type="dxa"/>
          </w:tcPr>
          <w:p w14:paraId="190924BC" w14:textId="58CA368F" w:rsidR="000D6DE5" w:rsidRPr="006900FE" w:rsidRDefault="003122CE" w:rsidP="00A0001A">
            <w:pPr>
              <w:pStyle w:val="BodyText2"/>
              <w:rPr>
                <w:rFonts w:asciiTheme="minorHAnsi" w:hAnsiTheme="minorHAnsi"/>
              </w:rPr>
            </w:pPr>
            <w:r>
              <w:rPr>
                <w:rFonts w:asciiTheme="minorHAnsi" w:hAnsiTheme="minorHAnsi"/>
              </w:rPr>
              <w:t xml:space="preserve">SRPD Outcome 4: </w:t>
            </w:r>
            <w:r w:rsidR="000D6DE5" w:rsidRPr="006900FE">
              <w:rPr>
                <w:rFonts w:asciiTheme="minorHAnsi" w:hAnsiTheme="minorHAnsi"/>
              </w:rPr>
              <w:t>Environment</w:t>
            </w:r>
            <w:r w:rsidR="009D5C75">
              <w:rPr>
                <w:rFonts w:asciiTheme="minorHAnsi" w:hAnsiTheme="minorHAnsi"/>
              </w:rPr>
              <w:t>, Climate Change, Disaster Risk Management</w:t>
            </w:r>
          </w:p>
        </w:tc>
        <w:tc>
          <w:tcPr>
            <w:tcW w:w="1890" w:type="dxa"/>
          </w:tcPr>
          <w:p w14:paraId="0ED2F640" w14:textId="77777777" w:rsidR="000D6DE5" w:rsidRPr="006900FE" w:rsidRDefault="000D6DE5" w:rsidP="00E37E7A">
            <w:pPr>
              <w:pStyle w:val="BodyText2"/>
              <w:jc w:val="center"/>
              <w:rPr>
                <w:rFonts w:asciiTheme="minorHAnsi" w:hAnsiTheme="minorHAnsi"/>
              </w:rPr>
            </w:pPr>
          </w:p>
        </w:tc>
        <w:tc>
          <w:tcPr>
            <w:tcW w:w="2070" w:type="dxa"/>
          </w:tcPr>
          <w:p w14:paraId="4E3DA055" w14:textId="77777777" w:rsidR="000D6DE5" w:rsidRPr="006900FE" w:rsidRDefault="000D6DE5" w:rsidP="00E37E7A">
            <w:pPr>
              <w:pStyle w:val="BodyText2"/>
              <w:jc w:val="center"/>
              <w:rPr>
                <w:rFonts w:asciiTheme="minorHAnsi" w:hAnsiTheme="minorHAnsi"/>
              </w:rPr>
            </w:pPr>
          </w:p>
        </w:tc>
        <w:tc>
          <w:tcPr>
            <w:tcW w:w="1980" w:type="dxa"/>
          </w:tcPr>
          <w:p w14:paraId="2D3CC7BA" w14:textId="65DA0ACB" w:rsidR="000D6DE5" w:rsidRPr="006900FE" w:rsidRDefault="003122CE" w:rsidP="00E37E7A">
            <w:pPr>
              <w:pStyle w:val="BodyText2"/>
              <w:jc w:val="center"/>
              <w:rPr>
                <w:rFonts w:asciiTheme="minorHAnsi" w:hAnsiTheme="minorHAnsi"/>
              </w:rPr>
            </w:pPr>
            <w:r>
              <w:rPr>
                <w:rFonts w:asciiTheme="minorHAnsi" w:hAnsiTheme="minorHAnsi"/>
              </w:rPr>
              <w:t>28,676,476</w:t>
            </w:r>
          </w:p>
        </w:tc>
        <w:tc>
          <w:tcPr>
            <w:tcW w:w="2008" w:type="dxa"/>
          </w:tcPr>
          <w:p w14:paraId="0FC70529" w14:textId="3208DBA2" w:rsidR="000D6DE5" w:rsidRPr="006900FE" w:rsidRDefault="003122CE" w:rsidP="00E37E7A">
            <w:pPr>
              <w:pStyle w:val="BodyText2"/>
              <w:jc w:val="center"/>
              <w:rPr>
                <w:rFonts w:asciiTheme="minorHAnsi" w:hAnsiTheme="minorHAnsi"/>
              </w:rPr>
            </w:pPr>
            <w:r>
              <w:rPr>
                <w:rFonts w:asciiTheme="minorHAnsi" w:hAnsiTheme="minorHAnsi"/>
              </w:rPr>
              <w:t>37%</w:t>
            </w:r>
          </w:p>
        </w:tc>
      </w:tr>
      <w:tr w:rsidR="003122CE" w:rsidRPr="006900FE" w14:paraId="25721910" w14:textId="77777777" w:rsidTr="000D6DE5">
        <w:tc>
          <w:tcPr>
            <w:tcW w:w="6228" w:type="dxa"/>
          </w:tcPr>
          <w:p w14:paraId="7E0F2704" w14:textId="74C8780F" w:rsidR="003122CE" w:rsidRDefault="003122CE" w:rsidP="00A0001A">
            <w:pPr>
              <w:pStyle w:val="BodyText2"/>
              <w:rPr>
                <w:rFonts w:asciiTheme="minorHAnsi" w:hAnsiTheme="minorHAnsi"/>
              </w:rPr>
            </w:pPr>
            <w:r>
              <w:rPr>
                <w:rFonts w:asciiTheme="minorHAnsi" w:hAnsiTheme="minorHAnsi"/>
              </w:rPr>
              <w:lastRenderedPageBreak/>
              <w:t>Unlinked to SRPD Outcome (Note that all country level expenditures except Fiji and Samoa are unlinked.)</w:t>
            </w:r>
          </w:p>
        </w:tc>
        <w:tc>
          <w:tcPr>
            <w:tcW w:w="1890" w:type="dxa"/>
          </w:tcPr>
          <w:p w14:paraId="2658BE5D" w14:textId="77777777" w:rsidR="003122CE" w:rsidRPr="006900FE" w:rsidRDefault="003122CE" w:rsidP="00E37E7A">
            <w:pPr>
              <w:pStyle w:val="BodyText2"/>
              <w:jc w:val="center"/>
              <w:rPr>
                <w:rFonts w:asciiTheme="minorHAnsi" w:hAnsiTheme="minorHAnsi"/>
              </w:rPr>
            </w:pPr>
          </w:p>
        </w:tc>
        <w:tc>
          <w:tcPr>
            <w:tcW w:w="2070" w:type="dxa"/>
          </w:tcPr>
          <w:p w14:paraId="358BBDA4" w14:textId="77777777" w:rsidR="003122CE" w:rsidRPr="006900FE" w:rsidRDefault="003122CE" w:rsidP="00E37E7A">
            <w:pPr>
              <w:pStyle w:val="BodyText2"/>
              <w:jc w:val="center"/>
              <w:rPr>
                <w:rFonts w:asciiTheme="minorHAnsi" w:hAnsiTheme="minorHAnsi"/>
              </w:rPr>
            </w:pPr>
          </w:p>
        </w:tc>
        <w:tc>
          <w:tcPr>
            <w:tcW w:w="1980" w:type="dxa"/>
          </w:tcPr>
          <w:p w14:paraId="4CF71DD6" w14:textId="754B6B55" w:rsidR="003122CE" w:rsidRPr="006900FE" w:rsidRDefault="003122CE" w:rsidP="00E37E7A">
            <w:pPr>
              <w:pStyle w:val="BodyText2"/>
              <w:jc w:val="center"/>
              <w:rPr>
                <w:rFonts w:asciiTheme="minorHAnsi" w:hAnsiTheme="minorHAnsi"/>
              </w:rPr>
            </w:pPr>
            <w:r>
              <w:rPr>
                <w:rFonts w:asciiTheme="minorHAnsi" w:hAnsiTheme="minorHAnsi"/>
              </w:rPr>
              <w:t>42,529,325</w:t>
            </w:r>
          </w:p>
        </w:tc>
        <w:tc>
          <w:tcPr>
            <w:tcW w:w="2008" w:type="dxa"/>
          </w:tcPr>
          <w:p w14:paraId="3F406BBD" w14:textId="18DE9997" w:rsidR="003122CE" w:rsidRPr="006900FE" w:rsidRDefault="003122CE" w:rsidP="00E37E7A">
            <w:pPr>
              <w:pStyle w:val="BodyText2"/>
              <w:jc w:val="center"/>
              <w:rPr>
                <w:rFonts w:asciiTheme="minorHAnsi" w:hAnsiTheme="minorHAnsi"/>
              </w:rPr>
            </w:pPr>
            <w:r>
              <w:rPr>
                <w:rFonts w:asciiTheme="minorHAnsi" w:hAnsiTheme="minorHAnsi"/>
              </w:rPr>
              <w:t>55%</w:t>
            </w:r>
          </w:p>
        </w:tc>
      </w:tr>
      <w:tr w:rsidR="003122CE" w:rsidRPr="006900FE" w14:paraId="03BCB241" w14:textId="77777777" w:rsidTr="000D6DE5">
        <w:tc>
          <w:tcPr>
            <w:tcW w:w="6228" w:type="dxa"/>
            <w:shd w:val="clear" w:color="auto" w:fill="00B0F0"/>
          </w:tcPr>
          <w:p w14:paraId="4D6FAB39" w14:textId="77777777" w:rsidR="000D6DE5" w:rsidRPr="006900FE" w:rsidRDefault="000D6DE5" w:rsidP="00A0001A">
            <w:pPr>
              <w:pStyle w:val="BodyText2"/>
              <w:jc w:val="center"/>
              <w:rPr>
                <w:rFonts w:asciiTheme="minorHAnsi" w:hAnsiTheme="minorHAnsi"/>
              </w:rPr>
            </w:pPr>
            <w:r w:rsidRPr="006900FE">
              <w:rPr>
                <w:rFonts w:asciiTheme="minorHAnsi" w:hAnsiTheme="minorHAnsi"/>
              </w:rPr>
              <w:t>Total</w:t>
            </w:r>
          </w:p>
        </w:tc>
        <w:tc>
          <w:tcPr>
            <w:tcW w:w="1890" w:type="dxa"/>
            <w:shd w:val="clear" w:color="auto" w:fill="00B0F0"/>
          </w:tcPr>
          <w:p w14:paraId="50087BAE" w14:textId="77777777" w:rsidR="000D6DE5" w:rsidRPr="006900FE" w:rsidRDefault="000D6DE5" w:rsidP="00E37E7A">
            <w:pPr>
              <w:pStyle w:val="BodyText2"/>
              <w:jc w:val="center"/>
              <w:rPr>
                <w:rFonts w:asciiTheme="minorHAnsi" w:hAnsiTheme="minorHAnsi"/>
              </w:rPr>
            </w:pPr>
          </w:p>
        </w:tc>
        <w:tc>
          <w:tcPr>
            <w:tcW w:w="2070" w:type="dxa"/>
            <w:shd w:val="clear" w:color="auto" w:fill="00B0F0"/>
          </w:tcPr>
          <w:p w14:paraId="707D911C" w14:textId="77777777" w:rsidR="000D6DE5" w:rsidRPr="006900FE" w:rsidRDefault="000D6DE5" w:rsidP="00E37E7A">
            <w:pPr>
              <w:pStyle w:val="BodyText2"/>
              <w:jc w:val="center"/>
              <w:rPr>
                <w:rFonts w:asciiTheme="minorHAnsi" w:hAnsiTheme="minorHAnsi"/>
              </w:rPr>
            </w:pPr>
          </w:p>
        </w:tc>
        <w:tc>
          <w:tcPr>
            <w:tcW w:w="1980" w:type="dxa"/>
            <w:shd w:val="clear" w:color="auto" w:fill="00B0F0"/>
          </w:tcPr>
          <w:p w14:paraId="1C34C347" w14:textId="696194A9" w:rsidR="000D6DE5" w:rsidRPr="006900FE" w:rsidRDefault="003122CE" w:rsidP="00E37E7A">
            <w:pPr>
              <w:pStyle w:val="BodyText2"/>
              <w:jc w:val="center"/>
              <w:rPr>
                <w:rFonts w:asciiTheme="minorHAnsi" w:hAnsiTheme="minorHAnsi"/>
              </w:rPr>
            </w:pPr>
            <w:r>
              <w:rPr>
                <w:rFonts w:asciiTheme="minorHAnsi" w:hAnsiTheme="minorHAnsi"/>
              </w:rPr>
              <w:t>77,486,846</w:t>
            </w:r>
          </w:p>
        </w:tc>
        <w:tc>
          <w:tcPr>
            <w:tcW w:w="2008" w:type="dxa"/>
            <w:shd w:val="clear" w:color="auto" w:fill="00B0F0"/>
          </w:tcPr>
          <w:p w14:paraId="2F34480C" w14:textId="77777777" w:rsidR="000D6DE5" w:rsidRPr="006900FE" w:rsidRDefault="000D6DE5" w:rsidP="00E37E7A">
            <w:pPr>
              <w:pStyle w:val="BodyText2"/>
              <w:jc w:val="center"/>
              <w:rPr>
                <w:rFonts w:asciiTheme="minorHAnsi" w:hAnsiTheme="minorHAnsi"/>
              </w:rPr>
            </w:pPr>
          </w:p>
        </w:tc>
      </w:tr>
    </w:tbl>
    <w:p w14:paraId="790F1C6F" w14:textId="77777777" w:rsidR="00635929" w:rsidRPr="006900FE" w:rsidRDefault="00635929" w:rsidP="002315A5">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2547CF" w:rsidRPr="006900FE" w14:paraId="73CD3EF6" w14:textId="77777777" w:rsidTr="00B64ACA">
        <w:tc>
          <w:tcPr>
            <w:tcW w:w="14176" w:type="dxa"/>
          </w:tcPr>
          <w:p w14:paraId="53C2D0B3" w14:textId="094D96FD" w:rsidR="002547CF" w:rsidRPr="006900FE" w:rsidRDefault="002547CF" w:rsidP="005E0C05">
            <w:pPr>
              <w:pStyle w:val="BodyText2"/>
              <w:rPr>
                <w:rFonts w:asciiTheme="minorHAnsi" w:hAnsiTheme="minorHAnsi"/>
                <w:b/>
              </w:rPr>
            </w:pPr>
            <w:r w:rsidRPr="006900FE">
              <w:rPr>
                <w:rFonts w:asciiTheme="minorHAnsi" w:hAnsiTheme="minorHAnsi"/>
                <w:b/>
              </w:rPr>
              <w:t>Data sources</w:t>
            </w:r>
            <w:r w:rsidR="007E6C6B" w:rsidRPr="006900FE">
              <w:rPr>
                <w:rFonts w:asciiTheme="minorHAnsi" w:hAnsiTheme="minorHAnsi"/>
                <w:b/>
              </w:rPr>
              <w:t>: (</w:t>
            </w:r>
            <w:r w:rsidRPr="006900FE">
              <w:rPr>
                <w:rFonts w:asciiTheme="minorHAnsi" w:hAnsiTheme="minorHAnsi"/>
                <w:b/>
              </w:rPr>
              <w:t xml:space="preserve">please indicate the main sources from which data were obtained for this report.) </w:t>
            </w:r>
          </w:p>
        </w:tc>
      </w:tr>
      <w:tr w:rsidR="00B64ACA" w:rsidRPr="006900FE" w14:paraId="0435D820" w14:textId="77777777" w:rsidTr="00B64ACA">
        <w:tc>
          <w:tcPr>
            <w:tcW w:w="14176" w:type="dxa"/>
          </w:tcPr>
          <w:p w14:paraId="23F55EB4" w14:textId="609C00D6" w:rsidR="00B64ACA" w:rsidRPr="00401176" w:rsidRDefault="00EE3B2E" w:rsidP="00EE3B2E">
            <w:pPr>
              <w:pStyle w:val="BodyText2"/>
              <w:numPr>
                <w:ilvl w:val="0"/>
                <w:numId w:val="27"/>
              </w:numPr>
              <w:rPr>
                <w:rFonts w:asciiTheme="minorHAnsi" w:hAnsiTheme="minorHAnsi"/>
                <w:b/>
                <w:color w:val="000000" w:themeColor="text1"/>
              </w:rPr>
            </w:pPr>
            <w:r w:rsidRPr="00401176">
              <w:rPr>
                <w:rFonts w:asciiTheme="minorHAnsi" w:hAnsiTheme="minorHAnsi"/>
                <w:b/>
                <w:color w:val="000000" w:themeColor="text1"/>
              </w:rPr>
              <w:t>S</w:t>
            </w:r>
            <w:r w:rsidR="003A5464">
              <w:rPr>
                <w:rFonts w:asciiTheme="minorHAnsi" w:hAnsiTheme="minorHAnsi"/>
                <w:b/>
                <w:color w:val="000000" w:themeColor="text1"/>
              </w:rPr>
              <w:t>ub-</w:t>
            </w:r>
            <w:r w:rsidRPr="00401176">
              <w:rPr>
                <w:rFonts w:asciiTheme="minorHAnsi" w:hAnsiTheme="minorHAnsi"/>
                <w:b/>
                <w:color w:val="000000" w:themeColor="text1"/>
              </w:rPr>
              <w:t>R</w:t>
            </w:r>
            <w:r w:rsidR="003A5464">
              <w:rPr>
                <w:rFonts w:asciiTheme="minorHAnsi" w:hAnsiTheme="minorHAnsi"/>
                <w:b/>
                <w:color w:val="000000" w:themeColor="text1"/>
              </w:rPr>
              <w:t xml:space="preserve">egional </w:t>
            </w:r>
            <w:r w:rsidRPr="00401176">
              <w:rPr>
                <w:rFonts w:asciiTheme="minorHAnsi" w:hAnsiTheme="minorHAnsi"/>
                <w:b/>
                <w:color w:val="000000" w:themeColor="text1"/>
              </w:rPr>
              <w:t>P</w:t>
            </w:r>
            <w:r w:rsidR="003A5464">
              <w:rPr>
                <w:rFonts w:asciiTheme="minorHAnsi" w:hAnsiTheme="minorHAnsi"/>
                <w:b/>
                <w:color w:val="000000" w:themeColor="text1"/>
              </w:rPr>
              <w:t xml:space="preserve">rogramme </w:t>
            </w:r>
            <w:r w:rsidRPr="00401176">
              <w:rPr>
                <w:rFonts w:asciiTheme="minorHAnsi" w:hAnsiTheme="minorHAnsi"/>
                <w:b/>
                <w:color w:val="000000" w:themeColor="text1"/>
              </w:rPr>
              <w:t>D</w:t>
            </w:r>
            <w:r w:rsidR="003A5464">
              <w:rPr>
                <w:rFonts w:asciiTheme="minorHAnsi" w:hAnsiTheme="minorHAnsi"/>
                <w:b/>
                <w:color w:val="000000" w:themeColor="text1"/>
              </w:rPr>
              <w:t>ocument Review</w:t>
            </w:r>
            <w:r w:rsidRPr="00401176">
              <w:rPr>
                <w:rFonts w:asciiTheme="minorHAnsi" w:hAnsiTheme="minorHAnsi"/>
                <w:b/>
                <w:color w:val="000000" w:themeColor="text1"/>
              </w:rPr>
              <w:t xml:space="preserve"> 2013-2014</w:t>
            </w:r>
          </w:p>
          <w:p w14:paraId="173ED245" w14:textId="77777777" w:rsidR="00EE3B2E" w:rsidRDefault="003A5464" w:rsidP="00EE3B2E">
            <w:pPr>
              <w:pStyle w:val="BodyText2"/>
              <w:numPr>
                <w:ilvl w:val="0"/>
                <w:numId w:val="27"/>
              </w:numPr>
              <w:rPr>
                <w:rFonts w:asciiTheme="minorHAnsi" w:hAnsiTheme="minorHAnsi"/>
                <w:b/>
                <w:color w:val="000000" w:themeColor="text1"/>
              </w:rPr>
            </w:pPr>
            <w:r>
              <w:rPr>
                <w:rFonts w:asciiTheme="minorHAnsi" w:hAnsiTheme="minorHAnsi"/>
                <w:b/>
                <w:color w:val="000000" w:themeColor="text1"/>
              </w:rPr>
              <w:t xml:space="preserve">UNDP Pacific Office in Fiji -  </w:t>
            </w:r>
            <w:r w:rsidR="00EE3B2E" w:rsidRPr="00401176">
              <w:rPr>
                <w:rFonts w:asciiTheme="minorHAnsi" w:hAnsiTheme="minorHAnsi"/>
                <w:b/>
                <w:color w:val="000000" w:themeColor="text1"/>
              </w:rPr>
              <w:t>ROAR 2016</w:t>
            </w:r>
          </w:p>
          <w:p w14:paraId="6015615A" w14:textId="77777777" w:rsidR="00C30E02" w:rsidRPr="00401176" w:rsidRDefault="00C30E02" w:rsidP="00EE3B2E">
            <w:pPr>
              <w:pStyle w:val="BodyText2"/>
              <w:numPr>
                <w:ilvl w:val="0"/>
                <w:numId w:val="27"/>
              </w:numPr>
              <w:rPr>
                <w:rFonts w:asciiTheme="minorHAnsi" w:hAnsiTheme="minorHAnsi"/>
                <w:b/>
                <w:color w:val="000000" w:themeColor="text1"/>
              </w:rPr>
            </w:pPr>
            <w:r>
              <w:rPr>
                <w:rFonts w:asciiTheme="minorHAnsi" w:hAnsiTheme="minorHAnsi"/>
                <w:b/>
                <w:color w:val="000000" w:themeColor="text1"/>
              </w:rPr>
              <w:t>UNDP Samoa Multi-country office ROAR 2016</w:t>
            </w:r>
          </w:p>
          <w:p w14:paraId="2F44B40E" w14:textId="77777777" w:rsidR="00EE3B2E" w:rsidRDefault="00EC1765" w:rsidP="00EE3B2E">
            <w:pPr>
              <w:pStyle w:val="BodyText2"/>
              <w:numPr>
                <w:ilvl w:val="0"/>
                <w:numId w:val="27"/>
              </w:numPr>
              <w:rPr>
                <w:rFonts w:asciiTheme="minorHAnsi" w:hAnsiTheme="minorHAnsi"/>
                <w:b/>
                <w:color w:val="000000" w:themeColor="text1"/>
              </w:rPr>
            </w:pPr>
            <w:r w:rsidRPr="00401176">
              <w:rPr>
                <w:rFonts w:asciiTheme="minorHAnsi" w:hAnsiTheme="minorHAnsi"/>
                <w:b/>
                <w:color w:val="000000" w:themeColor="text1"/>
              </w:rPr>
              <w:t>UND</w:t>
            </w:r>
            <w:r w:rsidR="00EE3B2E" w:rsidRPr="00401176">
              <w:rPr>
                <w:rFonts w:asciiTheme="minorHAnsi" w:hAnsiTheme="minorHAnsi"/>
                <w:b/>
                <w:color w:val="000000" w:themeColor="text1"/>
              </w:rPr>
              <w:t>P Pacific Office in Fiji DFAT-funded UNDP Regional Programme Activities: Annual Report January-December 2016</w:t>
            </w:r>
          </w:p>
          <w:p w14:paraId="79BC4850" w14:textId="77777777" w:rsidR="00E73B5D" w:rsidRPr="00E73B5D" w:rsidRDefault="00E73B5D" w:rsidP="00E73B5D">
            <w:pPr>
              <w:pStyle w:val="BodyText2"/>
              <w:numPr>
                <w:ilvl w:val="0"/>
                <w:numId w:val="27"/>
              </w:numPr>
              <w:rPr>
                <w:rFonts w:asciiTheme="minorHAnsi" w:hAnsiTheme="minorHAnsi"/>
                <w:b/>
                <w:color w:val="000000" w:themeColor="text1"/>
              </w:rPr>
            </w:pPr>
            <w:r w:rsidRPr="00E73B5D">
              <w:rPr>
                <w:rFonts w:asciiTheme="minorHAnsi" w:hAnsiTheme="minorHAnsi"/>
                <w:b/>
                <w:color w:val="000000" w:themeColor="text1"/>
              </w:rPr>
              <w:t>Samoa Hardship and Poverty Report;</w:t>
            </w:r>
          </w:p>
          <w:p w14:paraId="472F0CFD" w14:textId="77777777" w:rsidR="00E73B5D" w:rsidRPr="00E73B5D" w:rsidRDefault="00E73B5D" w:rsidP="00E73B5D">
            <w:pPr>
              <w:pStyle w:val="BodyText2"/>
              <w:numPr>
                <w:ilvl w:val="0"/>
                <w:numId w:val="27"/>
              </w:numPr>
              <w:rPr>
                <w:rFonts w:asciiTheme="minorHAnsi" w:hAnsiTheme="minorHAnsi"/>
                <w:b/>
                <w:color w:val="000000" w:themeColor="text1"/>
              </w:rPr>
            </w:pPr>
            <w:r w:rsidRPr="00E73B5D">
              <w:rPr>
                <w:rFonts w:asciiTheme="minorHAnsi" w:hAnsiTheme="minorHAnsi"/>
                <w:b/>
                <w:color w:val="000000" w:themeColor="text1"/>
              </w:rPr>
              <w:t xml:space="preserve">Final Evaluation: Samoa Parliamentary Support Project; </w:t>
            </w:r>
          </w:p>
          <w:p w14:paraId="73121D59" w14:textId="77777777" w:rsidR="00E73B5D" w:rsidRPr="00E73B5D" w:rsidRDefault="00E73B5D" w:rsidP="00E73B5D">
            <w:pPr>
              <w:pStyle w:val="BodyText2"/>
              <w:numPr>
                <w:ilvl w:val="0"/>
                <w:numId w:val="27"/>
              </w:numPr>
              <w:rPr>
                <w:rFonts w:asciiTheme="minorHAnsi" w:hAnsiTheme="minorHAnsi"/>
                <w:b/>
                <w:color w:val="000000" w:themeColor="text1"/>
              </w:rPr>
            </w:pPr>
            <w:r w:rsidRPr="00E73B5D">
              <w:rPr>
                <w:rFonts w:asciiTheme="minorHAnsi" w:hAnsiTheme="minorHAnsi"/>
                <w:b/>
                <w:color w:val="000000" w:themeColor="text1"/>
              </w:rPr>
              <w:t>Final Evaluation: Increasing Political Participation of Women in Samoa;</w:t>
            </w:r>
          </w:p>
          <w:p w14:paraId="18FCDE90" w14:textId="77777777" w:rsidR="00E73B5D" w:rsidRDefault="00E73B5D" w:rsidP="00E73B5D">
            <w:pPr>
              <w:pStyle w:val="BodyText2"/>
              <w:numPr>
                <w:ilvl w:val="0"/>
                <w:numId w:val="27"/>
              </w:numPr>
              <w:rPr>
                <w:rFonts w:asciiTheme="minorHAnsi" w:hAnsiTheme="minorHAnsi"/>
                <w:b/>
                <w:color w:val="000000" w:themeColor="text1"/>
              </w:rPr>
            </w:pPr>
            <w:r w:rsidRPr="00E73B5D">
              <w:rPr>
                <w:rFonts w:asciiTheme="minorHAnsi" w:hAnsiTheme="minorHAnsi"/>
                <w:b/>
                <w:color w:val="000000" w:themeColor="text1"/>
              </w:rPr>
              <w:t>Terminal Evaluation: Pacific Islands Greenhouse Gas Abatement through Renewable Energy Project (PIGGAREP)</w:t>
            </w:r>
          </w:p>
          <w:p w14:paraId="37F2FE46" w14:textId="77777777" w:rsidR="00965932" w:rsidRPr="00D82DE3" w:rsidRDefault="00965932" w:rsidP="00E73B5D">
            <w:pPr>
              <w:pStyle w:val="BodyText2"/>
              <w:numPr>
                <w:ilvl w:val="0"/>
                <w:numId w:val="27"/>
              </w:numPr>
              <w:rPr>
                <w:rFonts w:asciiTheme="minorHAnsi" w:hAnsiTheme="minorHAnsi"/>
                <w:b/>
                <w:color w:val="000000" w:themeColor="text1"/>
              </w:rPr>
            </w:pPr>
            <w:r w:rsidRPr="00A609E3">
              <w:rPr>
                <w:rFonts w:asciiTheme="minorHAnsi" w:hAnsiTheme="minorHAnsi"/>
                <w:b/>
              </w:rPr>
              <w:t>Foundation Training and Enhancement of Organizational  Skills  for Political Parties and Training of Trainers of Political Parties’ and ‘workshop on Empowering Women and strengthening Political Parties’ in the SECSIP Progress Report – 1</w:t>
            </w:r>
            <w:r w:rsidRPr="00A609E3">
              <w:rPr>
                <w:rFonts w:asciiTheme="minorHAnsi" w:hAnsiTheme="minorHAnsi"/>
                <w:b/>
                <w:vertAlign w:val="superscript"/>
              </w:rPr>
              <w:t>st</w:t>
            </w:r>
            <w:r w:rsidRPr="00A609E3">
              <w:rPr>
                <w:rFonts w:asciiTheme="minorHAnsi" w:hAnsiTheme="minorHAnsi"/>
                <w:b/>
              </w:rPr>
              <w:t xml:space="preserve"> January – 30</w:t>
            </w:r>
            <w:r w:rsidRPr="00A609E3">
              <w:rPr>
                <w:rFonts w:asciiTheme="minorHAnsi" w:hAnsiTheme="minorHAnsi"/>
                <w:b/>
                <w:vertAlign w:val="superscript"/>
              </w:rPr>
              <w:t>th</w:t>
            </w:r>
            <w:r w:rsidRPr="00A609E3">
              <w:rPr>
                <w:rFonts w:asciiTheme="minorHAnsi" w:hAnsiTheme="minorHAnsi"/>
                <w:b/>
              </w:rPr>
              <w:t xml:space="preserve"> April 2017.</w:t>
            </w:r>
          </w:p>
          <w:p w14:paraId="30F0C415" w14:textId="376A3AFE" w:rsidR="003122CE" w:rsidRPr="00A609E3" w:rsidRDefault="003122CE" w:rsidP="00E73B5D">
            <w:pPr>
              <w:pStyle w:val="BodyText2"/>
              <w:numPr>
                <w:ilvl w:val="0"/>
                <w:numId w:val="27"/>
              </w:numPr>
              <w:rPr>
                <w:rFonts w:asciiTheme="minorHAnsi" w:hAnsiTheme="minorHAnsi"/>
                <w:b/>
                <w:color w:val="000000" w:themeColor="text1"/>
              </w:rPr>
            </w:pPr>
            <w:r>
              <w:rPr>
                <w:rFonts w:asciiTheme="minorHAnsi" w:hAnsiTheme="minorHAnsi"/>
                <w:b/>
              </w:rPr>
              <w:t>For expenditures, each Country page from 2014 to 2016. This Corporate Planning System information available only from 2014 (thus 2013 figures not included.)</w:t>
            </w:r>
          </w:p>
          <w:p w14:paraId="0011939B" w14:textId="1317AB52" w:rsidR="00965932" w:rsidRDefault="0045239D" w:rsidP="00A609E3">
            <w:pPr>
              <w:pStyle w:val="BodyText2"/>
              <w:ind w:left="360"/>
              <w:rPr>
                <w:rFonts w:asciiTheme="minorHAnsi" w:hAnsiTheme="minorHAnsi"/>
                <w:b/>
                <w:color w:val="000000" w:themeColor="text1"/>
              </w:rPr>
            </w:pPr>
            <w:hyperlink r:id="rId15" w:history="1">
              <w:r w:rsidR="003122CE" w:rsidRPr="001D57CD">
                <w:rPr>
                  <w:rStyle w:val="Hyperlink"/>
                  <w:rFonts w:asciiTheme="minorHAnsi" w:hAnsiTheme="minorHAnsi"/>
                  <w:b/>
                </w:rPr>
                <w:t>https://intranet.undp.org/sites/WSM/sitepages/programmehome.aspx?year=2014</w:t>
              </w:r>
            </w:hyperlink>
          </w:p>
          <w:p w14:paraId="1C4E5594" w14:textId="7A19899E" w:rsidR="008D791F" w:rsidRPr="006900FE" w:rsidRDefault="008D791F" w:rsidP="002315A5">
            <w:pPr>
              <w:pStyle w:val="BodyText2"/>
              <w:rPr>
                <w:rFonts w:asciiTheme="minorHAnsi" w:hAnsiTheme="minorHAnsi"/>
                <w:b/>
              </w:rPr>
            </w:pPr>
          </w:p>
        </w:tc>
      </w:tr>
    </w:tbl>
    <w:p w14:paraId="20B0F06F" w14:textId="77777777" w:rsidR="00635929" w:rsidRDefault="00635929" w:rsidP="005E0C05">
      <w:pPr>
        <w:pStyle w:val="BodyText2"/>
        <w:rPr>
          <w:rFonts w:ascii="Times New Roman" w:hAnsi="Times New Roman"/>
          <w:sz w:val="24"/>
        </w:rPr>
      </w:pPr>
    </w:p>
    <w:sectPr w:rsidR="00635929"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D7F3C" w14:textId="77777777" w:rsidR="0045239D" w:rsidRDefault="0045239D">
      <w:r>
        <w:separator/>
      </w:r>
    </w:p>
  </w:endnote>
  <w:endnote w:type="continuationSeparator" w:id="0">
    <w:p w14:paraId="66BE5B7D" w14:textId="77777777" w:rsidR="0045239D" w:rsidRDefault="0045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813690"/>
      <w:docPartObj>
        <w:docPartGallery w:val="Page Numbers (Bottom of Page)"/>
        <w:docPartUnique/>
      </w:docPartObj>
    </w:sdtPr>
    <w:sdtEndPr/>
    <w:sdtContent>
      <w:p w14:paraId="0F208914" w14:textId="737F0239" w:rsidR="007F7914" w:rsidRDefault="007F7914">
        <w:pPr>
          <w:pStyle w:val="Footer"/>
          <w:jc w:val="center"/>
        </w:pPr>
        <w:r>
          <w:fldChar w:fldCharType="begin"/>
        </w:r>
        <w:r>
          <w:instrText xml:space="preserve"> PAGE   \* MERGEFORMAT </w:instrText>
        </w:r>
        <w:r>
          <w:fldChar w:fldCharType="separate"/>
        </w:r>
        <w:r w:rsidR="00FD2260">
          <w:rPr>
            <w:noProof/>
          </w:rPr>
          <w:t>2</w:t>
        </w:r>
        <w:r>
          <w:rPr>
            <w:noProof/>
          </w:rPr>
          <w:fldChar w:fldCharType="end"/>
        </w:r>
      </w:p>
    </w:sdtContent>
  </w:sdt>
  <w:p w14:paraId="6E378347" w14:textId="77777777" w:rsidR="007F7914" w:rsidRDefault="007F7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5B323" w14:textId="77777777" w:rsidR="0045239D" w:rsidRDefault="0045239D">
      <w:r>
        <w:separator/>
      </w:r>
    </w:p>
  </w:footnote>
  <w:footnote w:type="continuationSeparator" w:id="0">
    <w:p w14:paraId="4E62B433" w14:textId="77777777" w:rsidR="0045239D" w:rsidRDefault="0045239D">
      <w:r>
        <w:continuationSeparator/>
      </w:r>
    </w:p>
  </w:footnote>
  <w:footnote w:id="1">
    <w:p w14:paraId="68514189" w14:textId="77777777" w:rsidR="007F7914" w:rsidRPr="00BE74E4" w:rsidRDefault="007F7914" w:rsidP="007F7914">
      <w:pPr>
        <w:pStyle w:val="FootnoteText"/>
      </w:pPr>
      <w:r>
        <w:rPr>
          <w:rStyle w:val="FootnoteReference"/>
        </w:rPr>
        <w:footnoteRef/>
      </w:r>
      <w:r>
        <w:t xml:space="preserve"> </w:t>
      </w:r>
      <w:r w:rsidRPr="00BE74E4">
        <w:t xml:space="preserve">UNDP has two offices in the sub-region: the Pacific Office in Fiji implementing sub-regional, multi-country and country-level programmes in Federated States of Micronesia, Fiji, Kiribati, Marshall Islands, Nauru, Palau, Solomon Islands, Tonga, Tuvalu and Vanuatu; and the office in Samoa implementing multi-country and country-level programmes in Cook Islands, Niue, Samoa and Tokelau. </w:t>
      </w:r>
    </w:p>
    <w:p w14:paraId="104C11A5" w14:textId="77777777" w:rsidR="007F7914" w:rsidRDefault="007F7914" w:rsidP="007F791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0F7D2" w14:textId="77777777" w:rsidR="007F7914" w:rsidRPr="00517955" w:rsidRDefault="007F7914">
    <w:pPr>
      <w:pStyle w:val="Header"/>
      <w:rPr>
        <w:rFonts w:asciiTheme="minorHAnsi" w:hAnsiTheme="minorHAnsi"/>
      </w:rPr>
    </w:pPr>
    <w:r w:rsidRPr="00517955">
      <w:rPr>
        <w:rFonts w:asciiTheme="minorHAnsi" w:hAnsiTheme="minorHAnsi"/>
      </w:rPr>
      <w:t>DRAFT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F74"/>
    <w:multiLevelType w:val="hybridMultilevel"/>
    <w:tmpl w:val="36DAC990"/>
    <w:lvl w:ilvl="0" w:tplc="04090019">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F120C"/>
    <w:multiLevelType w:val="hybridMultilevel"/>
    <w:tmpl w:val="E1E0D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AC0FFF"/>
    <w:multiLevelType w:val="hybridMultilevel"/>
    <w:tmpl w:val="634CDDA0"/>
    <w:lvl w:ilvl="0" w:tplc="5916F3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83FF0"/>
    <w:multiLevelType w:val="hybridMultilevel"/>
    <w:tmpl w:val="FD9268BC"/>
    <w:lvl w:ilvl="0" w:tplc="C48E27E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53193E"/>
    <w:multiLevelType w:val="hybridMultilevel"/>
    <w:tmpl w:val="5418B8A6"/>
    <w:lvl w:ilvl="0" w:tplc="6F40546E">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857E6"/>
    <w:multiLevelType w:val="hybridMultilevel"/>
    <w:tmpl w:val="082CB890"/>
    <w:lvl w:ilvl="0" w:tplc="A6B281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2F41D7"/>
    <w:multiLevelType w:val="hybridMultilevel"/>
    <w:tmpl w:val="3196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F064B"/>
    <w:multiLevelType w:val="hybridMultilevel"/>
    <w:tmpl w:val="6D2CB096"/>
    <w:lvl w:ilvl="0" w:tplc="CBBA30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2E10FE"/>
    <w:multiLevelType w:val="hybridMultilevel"/>
    <w:tmpl w:val="226E5422"/>
    <w:lvl w:ilvl="0" w:tplc="EF60EAF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163E99"/>
    <w:multiLevelType w:val="hybridMultilevel"/>
    <w:tmpl w:val="F5DEFC8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250089"/>
    <w:multiLevelType w:val="hybridMultilevel"/>
    <w:tmpl w:val="A54E5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4C26C5"/>
    <w:multiLevelType w:val="hybridMultilevel"/>
    <w:tmpl w:val="BFA6B9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6227D"/>
    <w:multiLevelType w:val="hybridMultilevel"/>
    <w:tmpl w:val="E34EC786"/>
    <w:lvl w:ilvl="0" w:tplc="29946C6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7F6E9D"/>
    <w:multiLevelType w:val="hybridMultilevel"/>
    <w:tmpl w:val="B8BC9B50"/>
    <w:lvl w:ilvl="0" w:tplc="69E4D98E">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D80710"/>
    <w:multiLevelType w:val="hybridMultilevel"/>
    <w:tmpl w:val="5470B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155BDC"/>
    <w:multiLevelType w:val="hybridMultilevel"/>
    <w:tmpl w:val="EA10F068"/>
    <w:lvl w:ilvl="0" w:tplc="0B2E23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40197E"/>
    <w:multiLevelType w:val="hybridMultilevel"/>
    <w:tmpl w:val="5FEA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34B24"/>
    <w:multiLevelType w:val="hybridMultilevel"/>
    <w:tmpl w:val="DE1C5166"/>
    <w:lvl w:ilvl="0" w:tplc="2CB45E1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3A9773BA"/>
    <w:multiLevelType w:val="hybridMultilevel"/>
    <w:tmpl w:val="B2D08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1835F1"/>
    <w:multiLevelType w:val="hybridMultilevel"/>
    <w:tmpl w:val="7DA81802"/>
    <w:lvl w:ilvl="0" w:tplc="8B10598A">
      <w:start w:val="1"/>
      <w:numFmt w:val="lowerLetter"/>
      <w:lvlText w:val="%1."/>
      <w:lvlJc w:val="left"/>
      <w:pPr>
        <w:ind w:left="720" w:hanging="36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29" w15:restartNumberingAfterBreak="0">
    <w:nsid w:val="3F2E13E2"/>
    <w:multiLevelType w:val="hybridMultilevel"/>
    <w:tmpl w:val="0C3EF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8101B7"/>
    <w:multiLevelType w:val="hybridMultilevel"/>
    <w:tmpl w:val="C5DE8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5836D7E"/>
    <w:multiLevelType w:val="hybridMultilevel"/>
    <w:tmpl w:val="3C3AF81C"/>
    <w:lvl w:ilvl="0" w:tplc="B02067EC">
      <w:start w:val="1"/>
      <w:numFmt w:val="low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CA214E"/>
    <w:multiLevelType w:val="hybridMultilevel"/>
    <w:tmpl w:val="CAD4C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81386B"/>
    <w:multiLevelType w:val="hybridMultilevel"/>
    <w:tmpl w:val="C276996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2B951A1"/>
    <w:multiLevelType w:val="hybridMultilevel"/>
    <w:tmpl w:val="152C9BF2"/>
    <w:lvl w:ilvl="0" w:tplc="6A826A22">
      <w:start w:val="3"/>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AD90B62"/>
    <w:multiLevelType w:val="hybridMultilevel"/>
    <w:tmpl w:val="E1E0D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15671F3"/>
    <w:multiLevelType w:val="hybridMultilevel"/>
    <w:tmpl w:val="FC3A0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1A95B79"/>
    <w:multiLevelType w:val="hybridMultilevel"/>
    <w:tmpl w:val="226E5422"/>
    <w:lvl w:ilvl="0" w:tplc="EF60EAF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4EA1EAB"/>
    <w:multiLevelType w:val="hybridMultilevel"/>
    <w:tmpl w:val="E1E0D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68067B"/>
    <w:multiLevelType w:val="multilevel"/>
    <w:tmpl w:val="AC000F6E"/>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47" w15:restartNumberingAfterBreak="0">
    <w:nsid w:val="6693654B"/>
    <w:multiLevelType w:val="hybridMultilevel"/>
    <w:tmpl w:val="943AE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355581"/>
    <w:multiLevelType w:val="hybridMultilevel"/>
    <w:tmpl w:val="B1E0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0" w15:restartNumberingAfterBreak="0">
    <w:nsid w:val="7669666D"/>
    <w:multiLevelType w:val="hybridMultilevel"/>
    <w:tmpl w:val="94E247B0"/>
    <w:lvl w:ilvl="0" w:tplc="577E064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A6B3374"/>
    <w:multiLevelType w:val="hybridMultilevel"/>
    <w:tmpl w:val="71E03CF2"/>
    <w:lvl w:ilvl="0" w:tplc="396444CA">
      <w:start w:val="1"/>
      <w:numFmt w:val="bullet"/>
      <w:lvlText w:val="-"/>
      <w:lvlJc w:val="left"/>
      <w:pPr>
        <w:ind w:left="360" w:hanging="36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C1E4D27"/>
    <w:multiLevelType w:val="hybridMultilevel"/>
    <w:tmpl w:val="2AA422B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8"/>
  </w:num>
  <w:num w:numId="4">
    <w:abstractNumId w:val="13"/>
  </w:num>
  <w:num w:numId="5">
    <w:abstractNumId w:val="37"/>
  </w:num>
  <w:num w:numId="6">
    <w:abstractNumId w:val="40"/>
  </w:num>
  <w:num w:numId="7">
    <w:abstractNumId w:val="7"/>
  </w:num>
  <w:num w:numId="8">
    <w:abstractNumId w:val="38"/>
  </w:num>
  <w:num w:numId="9">
    <w:abstractNumId w:val="14"/>
  </w:num>
  <w:num w:numId="10">
    <w:abstractNumId w:val="25"/>
  </w:num>
  <w:num w:numId="11">
    <w:abstractNumId w:val="49"/>
  </w:num>
  <w:num w:numId="12">
    <w:abstractNumId w:val="30"/>
  </w:num>
  <w:num w:numId="13">
    <w:abstractNumId w:val="35"/>
  </w:num>
  <w:num w:numId="14">
    <w:abstractNumId w:val="19"/>
  </w:num>
  <w:num w:numId="15">
    <w:abstractNumId w:val="1"/>
  </w:num>
  <w:num w:numId="16">
    <w:abstractNumId w:val="44"/>
  </w:num>
  <w:num w:numId="17">
    <w:abstractNumId w:val="41"/>
  </w:num>
  <w:num w:numId="18">
    <w:abstractNumId w:val="34"/>
  </w:num>
  <w:num w:numId="19">
    <w:abstractNumId w:val="16"/>
  </w:num>
  <w:num w:numId="20">
    <w:abstractNumId w:val="0"/>
  </w:num>
  <w:num w:numId="21">
    <w:abstractNumId w:val="31"/>
  </w:num>
  <w:num w:numId="22">
    <w:abstractNumId w:val="21"/>
  </w:num>
  <w:num w:numId="23">
    <w:abstractNumId w:val="42"/>
  </w:num>
  <w:num w:numId="24">
    <w:abstractNumId w:val="12"/>
  </w:num>
  <w:num w:numId="25">
    <w:abstractNumId w:val="23"/>
  </w:num>
  <w:num w:numId="26">
    <w:abstractNumId w:val="29"/>
  </w:num>
  <w:num w:numId="27">
    <w:abstractNumId w:val="33"/>
  </w:num>
  <w:num w:numId="28">
    <w:abstractNumId w:val="32"/>
  </w:num>
  <w:num w:numId="29">
    <w:abstractNumId w:val="46"/>
  </w:num>
  <w:num w:numId="30">
    <w:abstractNumId w:val="9"/>
  </w:num>
  <w:num w:numId="31">
    <w:abstractNumId w:val="52"/>
  </w:num>
  <w:num w:numId="32">
    <w:abstractNumId w:val="27"/>
  </w:num>
  <w:num w:numId="33">
    <w:abstractNumId w:val="2"/>
  </w:num>
  <w:num w:numId="34">
    <w:abstractNumId w:val="45"/>
  </w:num>
  <w:num w:numId="35">
    <w:abstractNumId w:val="47"/>
  </w:num>
  <w:num w:numId="36">
    <w:abstractNumId w:val="15"/>
  </w:num>
  <w:num w:numId="37">
    <w:abstractNumId w:val="11"/>
  </w:num>
  <w:num w:numId="38">
    <w:abstractNumId w:val="24"/>
  </w:num>
  <w:num w:numId="39">
    <w:abstractNumId w:val="51"/>
  </w:num>
  <w:num w:numId="40">
    <w:abstractNumId w:val="48"/>
  </w:num>
  <w:num w:numId="41">
    <w:abstractNumId w:val="6"/>
  </w:num>
  <w:num w:numId="42">
    <w:abstractNumId w:val="26"/>
  </w:num>
  <w:num w:numId="43">
    <w:abstractNumId w:val="20"/>
  </w:num>
  <w:num w:numId="44">
    <w:abstractNumId w:val="10"/>
  </w:num>
  <w:num w:numId="45">
    <w:abstractNumId w:val="22"/>
  </w:num>
  <w:num w:numId="46">
    <w:abstractNumId w:val="8"/>
  </w:num>
  <w:num w:numId="47">
    <w:abstractNumId w:val="4"/>
  </w:num>
  <w:num w:numId="48">
    <w:abstractNumId w:val="39"/>
  </w:num>
  <w:num w:numId="49">
    <w:abstractNumId w:val="43"/>
  </w:num>
  <w:num w:numId="50">
    <w:abstractNumId w:val="17"/>
  </w:num>
  <w:num w:numId="51">
    <w:abstractNumId w:val="5"/>
  </w:num>
  <w:num w:numId="52">
    <w:abstractNumId w:val="50"/>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065D"/>
    <w:rsid w:val="00006360"/>
    <w:rsid w:val="00007461"/>
    <w:rsid w:val="000079CC"/>
    <w:rsid w:val="00011A63"/>
    <w:rsid w:val="0001282F"/>
    <w:rsid w:val="00012936"/>
    <w:rsid w:val="00013F47"/>
    <w:rsid w:val="0003574E"/>
    <w:rsid w:val="000366CF"/>
    <w:rsid w:val="00043F0D"/>
    <w:rsid w:val="000502AD"/>
    <w:rsid w:val="000600FE"/>
    <w:rsid w:val="0006079F"/>
    <w:rsid w:val="00065EFA"/>
    <w:rsid w:val="0007065A"/>
    <w:rsid w:val="000823AC"/>
    <w:rsid w:val="00086514"/>
    <w:rsid w:val="00090A69"/>
    <w:rsid w:val="0009347B"/>
    <w:rsid w:val="00096D78"/>
    <w:rsid w:val="000A0197"/>
    <w:rsid w:val="000A049E"/>
    <w:rsid w:val="000A7F3A"/>
    <w:rsid w:val="000B3743"/>
    <w:rsid w:val="000B698F"/>
    <w:rsid w:val="000C09B4"/>
    <w:rsid w:val="000C4457"/>
    <w:rsid w:val="000D6DE5"/>
    <w:rsid w:val="000F77FD"/>
    <w:rsid w:val="00102AC4"/>
    <w:rsid w:val="001072B0"/>
    <w:rsid w:val="00110213"/>
    <w:rsid w:val="00112612"/>
    <w:rsid w:val="001258FB"/>
    <w:rsid w:val="001527BE"/>
    <w:rsid w:val="0015409F"/>
    <w:rsid w:val="00157815"/>
    <w:rsid w:val="0016408A"/>
    <w:rsid w:val="001663A4"/>
    <w:rsid w:val="00167DA9"/>
    <w:rsid w:val="00171ABE"/>
    <w:rsid w:val="00173C07"/>
    <w:rsid w:val="00176076"/>
    <w:rsid w:val="00176942"/>
    <w:rsid w:val="00191377"/>
    <w:rsid w:val="001948FE"/>
    <w:rsid w:val="001956C7"/>
    <w:rsid w:val="001A3791"/>
    <w:rsid w:val="001A4D75"/>
    <w:rsid w:val="001A6C10"/>
    <w:rsid w:val="001B721D"/>
    <w:rsid w:val="001D356C"/>
    <w:rsid w:val="001E7F43"/>
    <w:rsid w:val="001F3524"/>
    <w:rsid w:val="001F4DE0"/>
    <w:rsid w:val="001F7AC8"/>
    <w:rsid w:val="0020517B"/>
    <w:rsid w:val="0021326E"/>
    <w:rsid w:val="00230362"/>
    <w:rsid w:val="00230A0E"/>
    <w:rsid w:val="002315A5"/>
    <w:rsid w:val="00231672"/>
    <w:rsid w:val="00231EF9"/>
    <w:rsid w:val="00232597"/>
    <w:rsid w:val="00235F0F"/>
    <w:rsid w:val="0024724E"/>
    <w:rsid w:val="002547CF"/>
    <w:rsid w:val="00257D02"/>
    <w:rsid w:val="0026321D"/>
    <w:rsid w:val="0027237C"/>
    <w:rsid w:val="00284CE2"/>
    <w:rsid w:val="002A1250"/>
    <w:rsid w:val="002A7D4C"/>
    <w:rsid w:val="002C4B80"/>
    <w:rsid w:val="002D59C2"/>
    <w:rsid w:val="002F7E65"/>
    <w:rsid w:val="00306545"/>
    <w:rsid w:val="003118BB"/>
    <w:rsid w:val="003122CE"/>
    <w:rsid w:val="00312BAD"/>
    <w:rsid w:val="0032175A"/>
    <w:rsid w:val="00322D56"/>
    <w:rsid w:val="00322DEA"/>
    <w:rsid w:val="00341C47"/>
    <w:rsid w:val="00346615"/>
    <w:rsid w:val="0034765F"/>
    <w:rsid w:val="00351399"/>
    <w:rsid w:val="00354CB5"/>
    <w:rsid w:val="00357B0E"/>
    <w:rsid w:val="00362412"/>
    <w:rsid w:val="00363EC5"/>
    <w:rsid w:val="00366AD1"/>
    <w:rsid w:val="0037523B"/>
    <w:rsid w:val="0038247E"/>
    <w:rsid w:val="0039300B"/>
    <w:rsid w:val="003930A0"/>
    <w:rsid w:val="003A47C0"/>
    <w:rsid w:val="003A5464"/>
    <w:rsid w:val="003A7C05"/>
    <w:rsid w:val="003B037A"/>
    <w:rsid w:val="003B1E8D"/>
    <w:rsid w:val="003B2CAB"/>
    <w:rsid w:val="003B422F"/>
    <w:rsid w:val="003B4DE1"/>
    <w:rsid w:val="003C107B"/>
    <w:rsid w:val="003C409C"/>
    <w:rsid w:val="003D653B"/>
    <w:rsid w:val="003E5840"/>
    <w:rsid w:val="004004FC"/>
    <w:rsid w:val="00400ADF"/>
    <w:rsid w:val="00401176"/>
    <w:rsid w:val="0040208E"/>
    <w:rsid w:val="00411FFD"/>
    <w:rsid w:val="00413096"/>
    <w:rsid w:val="004137B6"/>
    <w:rsid w:val="00416E34"/>
    <w:rsid w:val="00417008"/>
    <w:rsid w:val="004236FD"/>
    <w:rsid w:val="00424E4F"/>
    <w:rsid w:val="00437598"/>
    <w:rsid w:val="004451F7"/>
    <w:rsid w:val="00450078"/>
    <w:rsid w:val="00450B45"/>
    <w:rsid w:val="0045239D"/>
    <w:rsid w:val="00461D62"/>
    <w:rsid w:val="00466704"/>
    <w:rsid w:val="004735FE"/>
    <w:rsid w:val="00477B3F"/>
    <w:rsid w:val="00496084"/>
    <w:rsid w:val="004A1073"/>
    <w:rsid w:val="004A230D"/>
    <w:rsid w:val="004A445E"/>
    <w:rsid w:val="004B3911"/>
    <w:rsid w:val="004B4E55"/>
    <w:rsid w:val="004C5005"/>
    <w:rsid w:val="004C595C"/>
    <w:rsid w:val="004C7421"/>
    <w:rsid w:val="004D3DBE"/>
    <w:rsid w:val="004E258F"/>
    <w:rsid w:val="00500628"/>
    <w:rsid w:val="00513B4B"/>
    <w:rsid w:val="00515D02"/>
    <w:rsid w:val="00516AC8"/>
    <w:rsid w:val="00517955"/>
    <w:rsid w:val="00530FDE"/>
    <w:rsid w:val="005347AF"/>
    <w:rsid w:val="0054118E"/>
    <w:rsid w:val="00547419"/>
    <w:rsid w:val="005474ED"/>
    <w:rsid w:val="0056519A"/>
    <w:rsid w:val="00580282"/>
    <w:rsid w:val="00582355"/>
    <w:rsid w:val="0058303C"/>
    <w:rsid w:val="0059123E"/>
    <w:rsid w:val="005A7B65"/>
    <w:rsid w:val="005B10FB"/>
    <w:rsid w:val="005B7503"/>
    <w:rsid w:val="005C6168"/>
    <w:rsid w:val="005D6080"/>
    <w:rsid w:val="005D6817"/>
    <w:rsid w:val="005E0C05"/>
    <w:rsid w:val="005E38E8"/>
    <w:rsid w:val="005F2E08"/>
    <w:rsid w:val="005F6261"/>
    <w:rsid w:val="0060724B"/>
    <w:rsid w:val="0061097B"/>
    <w:rsid w:val="00612159"/>
    <w:rsid w:val="00617C1E"/>
    <w:rsid w:val="0062344C"/>
    <w:rsid w:val="00623F26"/>
    <w:rsid w:val="006277E3"/>
    <w:rsid w:val="006318B4"/>
    <w:rsid w:val="00635929"/>
    <w:rsid w:val="006455BC"/>
    <w:rsid w:val="0064746F"/>
    <w:rsid w:val="0065639C"/>
    <w:rsid w:val="00663607"/>
    <w:rsid w:val="006668F6"/>
    <w:rsid w:val="00672474"/>
    <w:rsid w:val="00673710"/>
    <w:rsid w:val="00674B1A"/>
    <w:rsid w:val="0068179B"/>
    <w:rsid w:val="006900FE"/>
    <w:rsid w:val="006B26AB"/>
    <w:rsid w:val="006C145A"/>
    <w:rsid w:val="006C2703"/>
    <w:rsid w:val="006C4BCC"/>
    <w:rsid w:val="006C7BAB"/>
    <w:rsid w:val="006D0905"/>
    <w:rsid w:val="006E5BAF"/>
    <w:rsid w:val="00700521"/>
    <w:rsid w:val="00707ABA"/>
    <w:rsid w:val="0071023F"/>
    <w:rsid w:val="00724E36"/>
    <w:rsid w:val="00732B69"/>
    <w:rsid w:val="00740785"/>
    <w:rsid w:val="007416D3"/>
    <w:rsid w:val="00760E32"/>
    <w:rsid w:val="00764E41"/>
    <w:rsid w:val="00771515"/>
    <w:rsid w:val="00776056"/>
    <w:rsid w:val="00785B07"/>
    <w:rsid w:val="00790C12"/>
    <w:rsid w:val="007B2A37"/>
    <w:rsid w:val="007B3775"/>
    <w:rsid w:val="007B6524"/>
    <w:rsid w:val="007C06D8"/>
    <w:rsid w:val="007C1B15"/>
    <w:rsid w:val="007D1B96"/>
    <w:rsid w:val="007E009F"/>
    <w:rsid w:val="007E1663"/>
    <w:rsid w:val="007E6C6B"/>
    <w:rsid w:val="007F7914"/>
    <w:rsid w:val="008018C5"/>
    <w:rsid w:val="008021A5"/>
    <w:rsid w:val="00803719"/>
    <w:rsid w:val="00805C7D"/>
    <w:rsid w:val="00813F1E"/>
    <w:rsid w:val="0081403B"/>
    <w:rsid w:val="008156B4"/>
    <w:rsid w:val="008173A4"/>
    <w:rsid w:val="008237AF"/>
    <w:rsid w:val="00824F56"/>
    <w:rsid w:val="00833363"/>
    <w:rsid w:val="00837C4B"/>
    <w:rsid w:val="00842737"/>
    <w:rsid w:val="00843006"/>
    <w:rsid w:val="008440D9"/>
    <w:rsid w:val="00845340"/>
    <w:rsid w:val="0084767B"/>
    <w:rsid w:val="00847EBB"/>
    <w:rsid w:val="00860C13"/>
    <w:rsid w:val="00867AAC"/>
    <w:rsid w:val="00882ECA"/>
    <w:rsid w:val="0088736A"/>
    <w:rsid w:val="00887C4C"/>
    <w:rsid w:val="00893958"/>
    <w:rsid w:val="00895D2E"/>
    <w:rsid w:val="00895D7D"/>
    <w:rsid w:val="008A5663"/>
    <w:rsid w:val="008A782A"/>
    <w:rsid w:val="008B06DD"/>
    <w:rsid w:val="008B14BA"/>
    <w:rsid w:val="008B35AA"/>
    <w:rsid w:val="008C584D"/>
    <w:rsid w:val="008C7EA0"/>
    <w:rsid w:val="008D4556"/>
    <w:rsid w:val="008D791F"/>
    <w:rsid w:val="008E0202"/>
    <w:rsid w:val="008E2A68"/>
    <w:rsid w:val="008F0A97"/>
    <w:rsid w:val="00920DBC"/>
    <w:rsid w:val="00922C57"/>
    <w:rsid w:val="00922E07"/>
    <w:rsid w:val="00933D5C"/>
    <w:rsid w:val="009353D7"/>
    <w:rsid w:val="00942B3B"/>
    <w:rsid w:val="009435DF"/>
    <w:rsid w:val="00946ADE"/>
    <w:rsid w:val="00962737"/>
    <w:rsid w:val="00965932"/>
    <w:rsid w:val="0097197E"/>
    <w:rsid w:val="00971C61"/>
    <w:rsid w:val="00975566"/>
    <w:rsid w:val="00990CED"/>
    <w:rsid w:val="00997A81"/>
    <w:rsid w:val="009A54DC"/>
    <w:rsid w:val="009B5421"/>
    <w:rsid w:val="009B739C"/>
    <w:rsid w:val="009B76A1"/>
    <w:rsid w:val="009C6732"/>
    <w:rsid w:val="009D4880"/>
    <w:rsid w:val="009D5C75"/>
    <w:rsid w:val="009E3791"/>
    <w:rsid w:val="009E40D3"/>
    <w:rsid w:val="009E7526"/>
    <w:rsid w:val="009F21FD"/>
    <w:rsid w:val="00A0001A"/>
    <w:rsid w:val="00A00E06"/>
    <w:rsid w:val="00A12469"/>
    <w:rsid w:val="00A1786A"/>
    <w:rsid w:val="00A201F1"/>
    <w:rsid w:val="00A210CD"/>
    <w:rsid w:val="00A241C8"/>
    <w:rsid w:val="00A30EBB"/>
    <w:rsid w:val="00A40130"/>
    <w:rsid w:val="00A43920"/>
    <w:rsid w:val="00A44F24"/>
    <w:rsid w:val="00A45528"/>
    <w:rsid w:val="00A45B5C"/>
    <w:rsid w:val="00A51271"/>
    <w:rsid w:val="00A57912"/>
    <w:rsid w:val="00A609E3"/>
    <w:rsid w:val="00A6124A"/>
    <w:rsid w:val="00A62CCC"/>
    <w:rsid w:val="00A67A21"/>
    <w:rsid w:val="00A72A03"/>
    <w:rsid w:val="00A74149"/>
    <w:rsid w:val="00A8005F"/>
    <w:rsid w:val="00A80BB7"/>
    <w:rsid w:val="00A82D8C"/>
    <w:rsid w:val="00A8337D"/>
    <w:rsid w:val="00A84087"/>
    <w:rsid w:val="00A85D79"/>
    <w:rsid w:val="00A85E34"/>
    <w:rsid w:val="00A8665A"/>
    <w:rsid w:val="00A91650"/>
    <w:rsid w:val="00A92219"/>
    <w:rsid w:val="00A93CCE"/>
    <w:rsid w:val="00AA71B4"/>
    <w:rsid w:val="00AA758C"/>
    <w:rsid w:val="00AD4278"/>
    <w:rsid w:val="00AE1449"/>
    <w:rsid w:val="00AF1A34"/>
    <w:rsid w:val="00AF7540"/>
    <w:rsid w:val="00B00E5C"/>
    <w:rsid w:val="00B053BE"/>
    <w:rsid w:val="00B07721"/>
    <w:rsid w:val="00B07DAA"/>
    <w:rsid w:val="00B10D90"/>
    <w:rsid w:val="00B10F49"/>
    <w:rsid w:val="00B17A51"/>
    <w:rsid w:val="00B2050D"/>
    <w:rsid w:val="00B246A5"/>
    <w:rsid w:val="00B25B8C"/>
    <w:rsid w:val="00B26622"/>
    <w:rsid w:val="00B32ADA"/>
    <w:rsid w:val="00B441E8"/>
    <w:rsid w:val="00B44993"/>
    <w:rsid w:val="00B61FFB"/>
    <w:rsid w:val="00B64ACA"/>
    <w:rsid w:val="00B7179F"/>
    <w:rsid w:val="00B71A2C"/>
    <w:rsid w:val="00B75CC7"/>
    <w:rsid w:val="00B852D6"/>
    <w:rsid w:val="00B90FE4"/>
    <w:rsid w:val="00B91215"/>
    <w:rsid w:val="00B91C15"/>
    <w:rsid w:val="00B94A6C"/>
    <w:rsid w:val="00B97023"/>
    <w:rsid w:val="00BA415F"/>
    <w:rsid w:val="00BB4336"/>
    <w:rsid w:val="00BC364A"/>
    <w:rsid w:val="00BC38E0"/>
    <w:rsid w:val="00BD15E7"/>
    <w:rsid w:val="00BD7EBA"/>
    <w:rsid w:val="00BE2925"/>
    <w:rsid w:val="00BE74E4"/>
    <w:rsid w:val="00BE791B"/>
    <w:rsid w:val="00C052EF"/>
    <w:rsid w:val="00C16EDB"/>
    <w:rsid w:val="00C20639"/>
    <w:rsid w:val="00C3017C"/>
    <w:rsid w:val="00C3062E"/>
    <w:rsid w:val="00C30E02"/>
    <w:rsid w:val="00C32DAE"/>
    <w:rsid w:val="00C4209C"/>
    <w:rsid w:val="00C4361C"/>
    <w:rsid w:val="00C44E55"/>
    <w:rsid w:val="00C471FD"/>
    <w:rsid w:val="00C52D10"/>
    <w:rsid w:val="00C66DE1"/>
    <w:rsid w:val="00C700E0"/>
    <w:rsid w:val="00C72653"/>
    <w:rsid w:val="00C822AB"/>
    <w:rsid w:val="00C82F26"/>
    <w:rsid w:val="00C84129"/>
    <w:rsid w:val="00C84F93"/>
    <w:rsid w:val="00C944D4"/>
    <w:rsid w:val="00C979FC"/>
    <w:rsid w:val="00C97E31"/>
    <w:rsid w:val="00CB647D"/>
    <w:rsid w:val="00CD5CC0"/>
    <w:rsid w:val="00D011DC"/>
    <w:rsid w:val="00D0190B"/>
    <w:rsid w:val="00D01F12"/>
    <w:rsid w:val="00D047F9"/>
    <w:rsid w:val="00D26285"/>
    <w:rsid w:val="00D30BE3"/>
    <w:rsid w:val="00D47CF8"/>
    <w:rsid w:val="00D54E0A"/>
    <w:rsid w:val="00D54F2F"/>
    <w:rsid w:val="00D6505B"/>
    <w:rsid w:val="00D701C0"/>
    <w:rsid w:val="00D73552"/>
    <w:rsid w:val="00D73586"/>
    <w:rsid w:val="00D80A4F"/>
    <w:rsid w:val="00D82DE3"/>
    <w:rsid w:val="00D9192E"/>
    <w:rsid w:val="00D93287"/>
    <w:rsid w:val="00DC465E"/>
    <w:rsid w:val="00DC4D86"/>
    <w:rsid w:val="00DC4FF7"/>
    <w:rsid w:val="00DC7354"/>
    <w:rsid w:val="00DD4368"/>
    <w:rsid w:val="00DD4B39"/>
    <w:rsid w:val="00DD5220"/>
    <w:rsid w:val="00DE16A1"/>
    <w:rsid w:val="00DF0357"/>
    <w:rsid w:val="00E06A4E"/>
    <w:rsid w:val="00E1547F"/>
    <w:rsid w:val="00E16729"/>
    <w:rsid w:val="00E32ACA"/>
    <w:rsid w:val="00E34439"/>
    <w:rsid w:val="00E37E7A"/>
    <w:rsid w:val="00E43C97"/>
    <w:rsid w:val="00E4455E"/>
    <w:rsid w:val="00E51321"/>
    <w:rsid w:val="00E51D77"/>
    <w:rsid w:val="00E73B5D"/>
    <w:rsid w:val="00E770DC"/>
    <w:rsid w:val="00E81422"/>
    <w:rsid w:val="00EA7740"/>
    <w:rsid w:val="00EB43DD"/>
    <w:rsid w:val="00EC1765"/>
    <w:rsid w:val="00EC495E"/>
    <w:rsid w:val="00EC63CE"/>
    <w:rsid w:val="00EC7BBC"/>
    <w:rsid w:val="00ED1561"/>
    <w:rsid w:val="00ED5AA4"/>
    <w:rsid w:val="00EE0D60"/>
    <w:rsid w:val="00EE1D60"/>
    <w:rsid w:val="00EE3B2E"/>
    <w:rsid w:val="00EE46EF"/>
    <w:rsid w:val="00EE4766"/>
    <w:rsid w:val="00EE674F"/>
    <w:rsid w:val="00EF2695"/>
    <w:rsid w:val="00EF4EAE"/>
    <w:rsid w:val="00F01FDE"/>
    <w:rsid w:val="00F06FC9"/>
    <w:rsid w:val="00F16195"/>
    <w:rsid w:val="00F21CAD"/>
    <w:rsid w:val="00F223EA"/>
    <w:rsid w:val="00F2552A"/>
    <w:rsid w:val="00F31949"/>
    <w:rsid w:val="00F325DA"/>
    <w:rsid w:val="00F378A0"/>
    <w:rsid w:val="00F37FA7"/>
    <w:rsid w:val="00F50F7F"/>
    <w:rsid w:val="00F62838"/>
    <w:rsid w:val="00F66248"/>
    <w:rsid w:val="00F6744E"/>
    <w:rsid w:val="00F72405"/>
    <w:rsid w:val="00F826EC"/>
    <w:rsid w:val="00F84FD4"/>
    <w:rsid w:val="00F91B2C"/>
    <w:rsid w:val="00F91CD4"/>
    <w:rsid w:val="00F93AD3"/>
    <w:rsid w:val="00F95E51"/>
    <w:rsid w:val="00F96AC3"/>
    <w:rsid w:val="00FA70A6"/>
    <w:rsid w:val="00FB2C4C"/>
    <w:rsid w:val="00FB3DB2"/>
    <w:rsid w:val="00FD2260"/>
    <w:rsid w:val="00FD35A3"/>
    <w:rsid w:val="00FE04B2"/>
    <w:rsid w:val="00FE3711"/>
    <w:rsid w:val="00FF5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D4A12"/>
  <w15:docId w15:val="{824CC753-F52E-4610-AAFC-20754319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link w:val="HeaderChar"/>
    <w:uiPriority w:val="99"/>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rsid w:val="001F3524"/>
    <w:rPr>
      <w:sz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1F3524"/>
  </w:style>
  <w:style w:type="character" w:styleId="FootnoteReference">
    <w:name w:val="footnote reference"/>
    <w:aliases w:val="16 Point,Superscript 6 Point,ftref,fr,(NECG) Footnote Reference,Ref,de nota al pie,BVI fnr,4_G,BVI fnr Char,BVI fnr Car Car Char,BVI fnr Car Char,BVI fnr Car Car Car Car Char,BVI fnr Car Car Car Car Char Char Char, BVI fnr Char"/>
    <w:basedOn w:val="DefaultParagraphFont"/>
    <w:link w:val="BVIfnrCarCar"/>
    <w:uiPriority w:val="99"/>
    <w:rsid w:val="001F3524"/>
    <w:rPr>
      <w:vertAlign w:val="superscript"/>
    </w:rPr>
  </w:style>
  <w:style w:type="character" w:customStyle="1" w:styleId="programmeoutcomedescription">
    <w:name w:val="programme_outcome_description"/>
    <w:basedOn w:val="DefaultParagraphFont"/>
    <w:rsid w:val="005B7503"/>
  </w:style>
  <w:style w:type="character" w:customStyle="1" w:styleId="countryprogrammetabletext">
    <w:name w:val="country_programme_table_text"/>
    <w:basedOn w:val="DefaultParagraphFont"/>
    <w:rsid w:val="005B7503"/>
  </w:style>
  <w:style w:type="character" w:customStyle="1" w:styleId="programmeoutcometitle">
    <w:name w:val="programme_outcome_title"/>
    <w:basedOn w:val="DefaultParagraphFont"/>
    <w:rsid w:val="003E5840"/>
  </w:style>
  <w:style w:type="paragraph" w:styleId="ListParagraph">
    <w:name w:val="List Paragraph"/>
    <w:basedOn w:val="Normal"/>
    <w:uiPriority w:val="34"/>
    <w:qFormat/>
    <w:rsid w:val="00EC1765"/>
    <w:pPr>
      <w:ind w:left="720"/>
      <w:contextualSpacing/>
    </w:pPr>
  </w:style>
  <w:style w:type="character" w:customStyle="1" w:styleId="BodyText2Char">
    <w:name w:val="Body Text 2 Char"/>
    <w:basedOn w:val="DefaultParagraphFont"/>
    <w:link w:val="BodyText2"/>
    <w:rsid w:val="00C052EF"/>
    <w:rPr>
      <w:rFonts w:ascii="Arial" w:hAnsi="Arial"/>
    </w:rPr>
  </w:style>
  <w:style w:type="character" w:customStyle="1" w:styleId="answertext">
    <w:name w:val="answer_text"/>
    <w:basedOn w:val="DefaultParagraphFont"/>
    <w:rsid w:val="00413096"/>
  </w:style>
  <w:style w:type="paragraph" w:customStyle="1" w:styleId="Default">
    <w:name w:val="Default"/>
    <w:rsid w:val="00A67A21"/>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8173A4"/>
    <w:rPr>
      <w:sz w:val="24"/>
    </w:rPr>
  </w:style>
  <w:style w:type="character" w:styleId="CommentReference">
    <w:name w:val="annotation reference"/>
    <w:basedOn w:val="DefaultParagraphFont"/>
    <w:semiHidden/>
    <w:unhideWhenUsed/>
    <w:rsid w:val="00BB4336"/>
    <w:rPr>
      <w:sz w:val="16"/>
      <w:szCs w:val="16"/>
    </w:rPr>
  </w:style>
  <w:style w:type="paragraph" w:styleId="CommentText">
    <w:name w:val="annotation text"/>
    <w:basedOn w:val="Normal"/>
    <w:link w:val="CommentTextChar"/>
    <w:uiPriority w:val="99"/>
    <w:unhideWhenUsed/>
    <w:rsid w:val="00BB4336"/>
    <w:rPr>
      <w:sz w:val="20"/>
    </w:rPr>
  </w:style>
  <w:style w:type="character" w:customStyle="1" w:styleId="CommentTextChar">
    <w:name w:val="Comment Text Char"/>
    <w:basedOn w:val="DefaultParagraphFont"/>
    <w:link w:val="CommentText"/>
    <w:uiPriority w:val="99"/>
    <w:rsid w:val="00BB4336"/>
  </w:style>
  <w:style w:type="paragraph" w:styleId="CommentSubject">
    <w:name w:val="annotation subject"/>
    <w:basedOn w:val="CommentText"/>
    <w:next w:val="CommentText"/>
    <w:link w:val="CommentSubjectChar"/>
    <w:semiHidden/>
    <w:unhideWhenUsed/>
    <w:rsid w:val="00BB4336"/>
    <w:rPr>
      <w:b/>
      <w:bCs/>
    </w:rPr>
  </w:style>
  <w:style w:type="character" w:customStyle="1" w:styleId="CommentSubjectChar">
    <w:name w:val="Comment Subject Char"/>
    <w:basedOn w:val="CommentTextChar"/>
    <w:link w:val="CommentSubject"/>
    <w:semiHidden/>
    <w:rsid w:val="00BB4336"/>
    <w:rPr>
      <w:b/>
      <w:bCs/>
    </w:rPr>
  </w:style>
  <w:style w:type="paragraph" w:styleId="BalloonText">
    <w:name w:val="Balloon Text"/>
    <w:basedOn w:val="Normal"/>
    <w:link w:val="BalloonTextChar"/>
    <w:semiHidden/>
    <w:unhideWhenUsed/>
    <w:rsid w:val="00BB4336"/>
    <w:rPr>
      <w:rFonts w:ascii="Segoe UI" w:hAnsi="Segoe UI" w:cs="Segoe UI"/>
      <w:sz w:val="18"/>
      <w:szCs w:val="18"/>
    </w:rPr>
  </w:style>
  <w:style w:type="character" w:customStyle="1" w:styleId="BalloonTextChar">
    <w:name w:val="Balloon Text Char"/>
    <w:basedOn w:val="DefaultParagraphFont"/>
    <w:link w:val="BalloonText"/>
    <w:semiHidden/>
    <w:rsid w:val="00BB4336"/>
    <w:rPr>
      <w:rFonts w:ascii="Segoe UI" w:hAnsi="Segoe UI" w:cs="Segoe UI"/>
      <w:sz w:val="18"/>
      <w:szCs w:val="18"/>
    </w:rPr>
  </w:style>
  <w:style w:type="paragraph" w:customStyle="1" w:styleId="BVIfnrCarCar">
    <w:name w:val="BVI fnr Car Car"/>
    <w:aliases w:val="BVI fnr Car,BVI fnr Car Car Car Car, BVI fnr, BVI fnr Car Car, BVI fnr Car Car Car Car"/>
    <w:basedOn w:val="Normal"/>
    <w:link w:val="FootnoteReference"/>
    <w:uiPriority w:val="99"/>
    <w:rsid w:val="00DD4B39"/>
    <w:pPr>
      <w:widowControl/>
      <w:spacing w:after="160" w:line="240" w:lineRule="exact"/>
    </w:pPr>
    <w:rPr>
      <w:sz w:val="20"/>
      <w:vertAlign w:val="superscript"/>
    </w:rPr>
  </w:style>
  <w:style w:type="paragraph" w:customStyle="1" w:styleId="ColorfulList-Accent11">
    <w:name w:val="Colorful List - Accent 11"/>
    <w:basedOn w:val="Normal"/>
    <w:uiPriority w:val="34"/>
    <w:qFormat/>
    <w:rsid w:val="00235F0F"/>
    <w:pPr>
      <w:widowControl/>
      <w:spacing w:after="200" w:line="276" w:lineRule="auto"/>
      <w:ind w:left="720"/>
      <w:contextualSpacing/>
    </w:pPr>
    <w:rPr>
      <w:rFonts w:ascii="Calibri" w:eastAsiaTheme="minorEastAsia" w:hAnsi="Calibri" w:cs="Times"/>
      <w:sz w:val="22"/>
      <w:szCs w:val="28"/>
      <w:lang w:bidi="th-TH"/>
    </w:rPr>
  </w:style>
  <w:style w:type="paragraph" w:styleId="Revision">
    <w:name w:val="Revision"/>
    <w:hidden/>
    <w:uiPriority w:val="99"/>
    <w:semiHidden/>
    <w:rsid w:val="0058303C"/>
    <w:rPr>
      <w:sz w:val="24"/>
    </w:rPr>
  </w:style>
  <w:style w:type="paragraph" w:styleId="NormalWeb">
    <w:name w:val="Normal (Web)"/>
    <w:basedOn w:val="Normal"/>
    <w:uiPriority w:val="99"/>
    <w:unhideWhenUsed/>
    <w:rsid w:val="0021326E"/>
    <w:pPr>
      <w:widowControl/>
      <w:spacing w:before="100" w:beforeAutospacing="1" w:after="100" w:afterAutospacing="1"/>
    </w:pPr>
    <w:rPr>
      <w:szCs w:val="24"/>
    </w:rPr>
  </w:style>
  <w:style w:type="character" w:styleId="Hyperlink">
    <w:name w:val="Hyperlink"/>
    <w:basedOn w:val="DefaultParagraphFont"/>
    <w:unhideWhenUsed/>
    <w:rsid w:val="00312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3684">
      <w:bodyDiv w:val="1"/>
      <w:marLeft w:val="0"/>
      <w:marRight w:val="0"/>
      <w:marTop w:val="0"/>
      <w:marBottom w:val="0"/>
      <w:divBdr>
        <w:top w:val="none" w:sz="0" w:space="0" w:color="auto"/>
        <w:left w:val="none" w:sz="0" w:space="0" w:color="auto"/>
        <w:bottom w:val="none" w:sz="0" w:space="0" w:color="auto"/>
        <w:right w:val="none" w:sz="0" w:space="0" w:color="auto"/>
      </w:divBdr>
    </w:div>
    <w:div w:id="636180956">
      <w:bodyDiv w:val="1"/>
      <w:marLeft w:val="0"/>
      <w:marRight w:val="0"/>
      <w:marTop w:val="0"/>
      <w:marBottom w:val="0"/>
      <w:divBdr>
        <w:top w:val="none" w:sz="0" w:space="0" w:color="auto"/>
        <w:left w:val="none" w:sz="0" w:space="0" w:color="auto"/>
        <w:bottom w:val="none" w:sz="0" w:space="0" w:color="auto"/>
        <w:right w:val="none" w:sz="0" w:space="0" w:color="auto"/>
      </w:divBdr>
    </w:div>
    <w:div w:id="103318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ntranet.undp.org/sites/WSM/sitepages/programmehome.aspx?year=2014"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2.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8f51a9bb55ccdb67ad49e9de7ce83471">
  <xsd:schema xmlns:xsd="http://www.w3.org/2001/XMLSchema" xmlns:xs="http://www.w3.org/2001/XMLSchema" xmlns:p="http://schemas.microsoft.com/office/2006/metadata/properties" xmlns:ns2="83ed2304-0f0e-45ba-b0cc-7d360cbc1769" targetNamespace="http://schemas.microsoft.com/office/2006/metadata/properties" ma:root="true" ma:fieldsID="d37ea4175c3e3aa15f908f44740efddf"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2.xml><?xml version="1.0" encoding="utf-8"?>
<ds:datastoreItem xmlns:ds="http://schemas.openxmlformats.org/officeDocument/2006/customXml" ds:itemID="{0D982BBA-3E97-4EE8-9D3B-0DAE4F36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4.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5.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6.xml><?xml version="1.0" encoding="utf-8"?>
<ds:datastoreItem xmlns:ds="http://schemas.openxmlformats.org/officeDocument/2006/customXml" ds:itemID="{E380D8A9-4702-4430-B716-D3129D4D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5574</Words>
  <Characters>31776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37276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2</cp:revision>
  <cp:lastPrinted>2008-06-06T15:39:00Z</cp:lastPrinted>
  <dcterms:created xsi:type="dcterms:W3CDTF">2017-06-09T16:49:00Z</dcterms:created>
  <dcterms:modified xsi:type="dcterms:W3CDTF">2017-06-09T16:49:00Z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