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21EC7" w14:textId="77777777" w:rsidR="00995A43" w:rsidRPr="00995A43" w:rsidRDefault="00995A43" w:rsidP="00995A43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  <w:rPr>
          <w:b/>
          <w:color w:val="000000"/>
          <w:lang w:val="en-GB"/>
        </w:rPr>
      </w:pPr>
      <w:r w:rsidRPr="00995A43">
        <w:rPr>
          <w:b/>
          <w:color w:val="000000"/>
          <w:lang w:val="en-GB"/>
        </w:rPr>
        <w:t>Second regular session 2016</w:t>
      </w:r>
    </w:p>
    <w:p w14:paraId="10838985" w14:textId="77777777" w:rsidR="00995A43" w:rsidRPr="00995A43" w:rsidRDefault="00995A43" w:rsidP="00995A43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  <w:rPr>
          <w:color w:val="000000"/>
          <w:lang w:val="en-GB"/>
        </w:rPr>
      </w:pPr>
      <w:r w:rsidRPr="00995A43">
        <w:rPr>
          <w:color w:val="000000"/>
          <w:lang w:val="en-GB"/>
        </w:rPr>
        <w:t>6-9 and 13 September 2016, New York</w:t>
      </w:r>
    </w:p>
    <w:p w14:paraId="213F79E7" w14:textId="131592E1" w:rsidR="00995A43" w:rsidRPr="00995A43" w:rsidRDefault="00995A43" w:rsidP="00995A43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  <w:rPr>
          <w:color w:val="000000"/>
          <w:lang w:val="en-GB"/>
        </w:rPr>
      </w:pPr>
      <w:r w:rsidRPr="00995A43">
        <w:rPr>
          <w:color w:val="000000"/>
          <w:lang w:val="en-GB"/>
        </w:rPr>
        <w:t xml:space="preserve">Item </w:t>
      </w:r>
      <w:r w:rsidR="00A419B7">
        <w:rPr>
          <w:color w:val="000000"/>
          <w:lang w:val="en-GB"/>
        </w:rPr>
        <w:t>x</w:t>
      </w:r>
      <w:r w:rsidRPr="00995A43">
        <w:rPr>
          <w:color w:val="000000"/>
          <w:lang w:val="en-GB"/>
        </w:rPr>
        <w:t xml:space="preserve"> of the provisional agenda</w:t>
      </w:r>
    </w:p>
    <w:p w14:paraId="1B344A71" w14:textId="77777777" w:rsidR="00995A43" w:rsidRPr="00995A43" w:rsidRDefault="00995A43" w:rsidP="00995A43">
      <w:pPr>
        <w:ind w:right="1260"/>
        <w:rPr>
          <w:b/>
          <w:color w:val="000000"/>
          <w:lang w:val="en-GB"/>
        </w:rPr>
      </w:pPr>
      <w:r w:rsidRPr="00995A43">
        <w:rPr>
          <w:b/>
          <w:color w:val="000000"/>
          <w:lang w:val="en-GB"/>
        </w:rPr>
        <w:t>Country programmes and related matters</w:t>
      </w:r>
    </w:p>
    <w:p w14:paraId="40189B61" w14:textId="77777777" w:rsidR="00995A43" w:rsidRPr="00995A43" w:rsidRDefault="00995A43" w:rsidP="00995A43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267" w:right="1267"/>
        <w:jc w:val="both"/>
        <w:rPr>
          <w:color w:val="000000"/>
          <w:spacing w:val="4"/>
          <w:w w:val="103"/>
          <w:kern w:val="14"/>
          <w:sz w:val="10"/>
          <w:lang w:val="en-GB"/>
        </w:rPr>
      </w:pPr>
    </w:p>
    <w:p w14:paraId="0B0DB946" w14:textId="77777777" w:rsidR="00995A43" w:rsidRPr="00995A43" w:rsidRDefault="00995A43" w:rsidP="00995A43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267" w:right="1267"/>
        <w:jc w:val="both"/>
        <w:rPr>
          <w:color w:val="000000"/>
          <w:spacing w:val="4"/>
          <w:w w:val="103"/>
          <w:kern w:val="14"/>
          <w:sz w:val="10"/>
          <w:lang w:val="en-GB"/>
        </w:rPr>
      </w:pPr>
    </w:p>
    <w:p w14:paraId="28896E86" w14:textId="77777777" w:rsidR="00995A43" w:rsidRPr="00995A43" w:rsidRDefault="00995A43" w:rsidP="00995A43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267" w:right="1267"/>
        <w:jc w:val="both"/>
        <w:rPr>
          <w:color w:val="000000"/>
          <w:spacing w:val="4"/>
          <w:w w:val="103"/>
          <w:kern w:val="14"/>
          <w:sz w:val="10"/>
          <w:lang w:val="en-GB"/>
        </w:rPr>
      </w:pPr>
    </w:p>
    <w:p w14:paraId="3B61D815" w14:textId="77777777" w:rsidR="00995A43" w:rsidRPr="00995A43" w:rsidRDefault="00995A43" w:rsidP="00995A43">
      <w:pPr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300" w:lineRule="exact"/>
        <w:ind w:left="1267" w:right="1260" w:hanging="1267"/>
        <w:outlineLvl w:val="0"/>
        <w:rPr>
          <w:rFonts w:ascii="Calibri" w:hAnsi="Calibri"/>
          <w:b/>
          <w:color w:val="000000"/>
          <w:spacing w:val="-2"/>
          <w:w w:val="103"/>
          <w:kern w:val="14"/>
          <w:sz w:val="28"/>
          <w:lang w:val="en-GB"/>
        </w:rPr>
      </w:pPr>
    </w:p>
    <w:p w14:paraId="33AB6975" w14:textId="77777777" w:rsidR="00995A43" w:rsidRPr="00995A43" w:rsidRDefault="00995A43" w:rsidP="00995A43">
      <w:pPr>
        <w:keepNext/>
        <w:keepLines/>
        <w:tabs>
          <w:tab w:val="left" w:pos="0"/>
          <w:tab w:val="right" w:pos="102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300" w:lineRule="exact"/>
        <w:outlineLvl w:val="0"/>
        <w:rPr>
          <w:b/>
          <w:color w:val="000000"/>
          <w:spacing w:val="-2"/>
          <w:w w:val="103"/>
          <w:kern w:val="14"/>
          <w:sz w:val="32"/>
          <w:szCs w:val="32"/>
          <w:lang w:val="en-GB"/>
        </w:rPr>
      </w:pPr>
      <w:r w:rsidRPr="00995A43">
        <w:rPr>
          <w:b/>
          <w:color w:val="000000"/>
          <w:spacing w:val="-2"/>
          <w:w w:val="103"/>
          <w:kern w:val="14"/>
          <w:sz w:val="32"/>
          <w:szCs w:val="32"/>
          <w:lang w:val="en-GB"/>
        </w:rPr>
        <w:t xml:space="preserve">Draft country programme document for </w:t>
      </w:r>
      <w:r w:rsidRPr="00995A43">
        <w:rPr>
          <w:b/>
          <w:color w:val="000000"/>
          <w:spacing w:val="-2"/>
          <w:w w:val="103"/>
          <w:kern w:val="14"/>
          <w:sz w:val="32"/>
          <w:szCs w:val="32"/>
        </w:rPr>
        <w:t>São Tomé and Príncipe</w:t>
      </w:r>
      <w:r>
        <w:rPr>
          <w:b/>
          <w:color w:val="000000"/>
          <w:spacing w:val="-2"/>
          <w:w w:val="103"/>
          <w:kern w:val="14"/>
          <w:sz w:val="32"/>
          <w:szCs w:val="32"/>
        </w:rPr>
        <w:br/>
      </w:r>
      <w:r w:rsidRPr="00995A43">
        <w:rPr>
          <w:b/>
          <w:color w:val="000000"/>
          <w:spacing w:val="-2"/>
          <w:w w:val="103"/>
          <w:kern w:val="14"/>
          <w:sz w:val="32"/>
          <w:szCs w:val="32"/>
          <w:lang w:val="en-GB"/>
        </w:rPr>
        <w:t>(2017-2021)</w:t>
      </w:r>
    </w:p>
    <w:p w14:paraId="51F98073" w14:textId="77777777" w:rsidR="00995A43" w:rsidRPr="00995A43" w:rsidRDefault="00995A43" w:rsidP="00995A43">
      <w:pPr>
        <w:rPr>
          <w:lang w:val="en-GB"/>
        </w:rPr>
      </w:pPr>
    </w:p>
    <w:p w14:paraId="6BC19889" w14:textId="77777777" w:rsidR="00995A43" w:rsidRPr="00995A43" w:rsidRDefault="00995A43" w:rsidP="00995A43">
      <w:pPr>
        <w:tabs>
          <w:tab w:val="left" w:pos="1620"/>
        </w:tabs>
        <w:rPr>
          <w:lang w:val="en-GB"/>
        </w:rPr>
      </w:pPr>
    </w:p>
    <w:p w14:paraId="7D05BB06" w14:textId="77777777" w:rsidR="00995A43" w:rsidRPr="00995A43" w:rsidRDefault="00995A43" w:rsidP="00995A43">
      <w:pPr>
        <w:keepNext/>
        <w:keepLines/>
        <w:tabs>
          <w:tab w:val="right" w:pos="1022"/>
          <w:tab w:val="left" w:pos="1267"/>
          <w:tab w:val="left" w:pos="1620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300" w:lineRule="exact"/>
        <w:ind w:firstLine="450"/>
        <w:outlineLvl w:val="0"/>
        <w:rPr>
          <w:spacing w:val="-2"/>
          <w:w w:val="103"/>
          <w:kern w:val="14"/>
          <w:sz w:val="28"/>
          <w:lang w:val="en-GB"/>
        </w:rPr>
      </w:pPr>
      <w:r w:rsidRPr="00995A43">
        <w:rPr>
          <w:spacing w:val="-2"/>
          <w:w w:val="103"/>
          <w:kern w:val="14"/>
          <w:sz w:val="28"/>
          <w:lang w:val="en-GB"/>
        </w:rPr>
        <w:t>Contents</w:t>
      </w:r>
    </w:p>
    <w:tbl>
      <w:tblPr>
        <w:tblW w:w="99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8300"/>
        <w:gridCol w:w="9"/>
        <w:gridCol w:w="533"/>
      </w:tblGrid>
      <w:tr w:rsidR="00995A43" w:rsidRPr="00995A43" w14:paraId="11FE6BBA" w14:textId="77777777" w:rsidTr="00995A43">
        <w:tc>
          <w:tcPr>
            <w:tcW w:w="1060" w:type="dxa"/>
            <w:shd w:val="clear" w:color="auto" w:fill="auto"/>
          </w:tcPr>
          <w:p w14:paraId="5FE4CDBD" w14:textId="77777777" w:rsidR="00995A43" w:rsidRPr="00995A43" w:rsidRDefault="00995A43" w:rsidP="00995A43">
            <w:pPr>
              <w:tabs>
                <w:tab w:val="left" w:pos="1620"/>
              </w:tabs>
              <w:suppressAutoHyphens/>
              <w:spacing w:after="120"/>
              <w:jc w:val="right"/>
              <w:rPr>
                <w:i/>
                <w:spacing w:val="4"/>
                <w:w w:val="103"/>
                <w:kern w:val="14"/>
                <w:sz w:val="14"/>
                <w:lang w:val="en-GB"/>
              </w:rPr>
            </w:pPr>
          </w:p>
        </w:tc>
        <w:tc>
          <w:tcPr>
            <w:tcW w:w="8300" w:type="dxa"/>
            <w:shd w:val="clear" w:color="auto" w:fill="auto"/>
          </w:tcPr>
          <w:p w14:paraId="67B5AF8A" w14:textId="77777777" w:rsidR="00995A43" w:rsidRPr="00995A43" w:rsidRDefault="00995A43" w:rsidP="00995A43">
            <w:pPr>
              <w:tabs>
                <w:tab w:val="left" w:pos="1620"/>
              </w:tabs>
              <w:suppressAutoHyphens/>
              <w:spacing w:after="120"/>
              <w:rPr>
                <w:i/>
                <w:spacing w:val="4"/>
                <w:w w:val="103"/>
                <w:kern w:val="14"/>
                <w:sz w:val="14"/>
                <w:lang w:val="en-GB"/>
              </w:rPr>
            </w:pPr>
          </w:p>
        </w:tc>
        <w:tc>
          <w:tcPr>
            <w:tcW w:w="542" w:type="dxa"/>
            <w:gridSpan w:val="2"/>
            <w:shd w:val="clear" w:color="auto" w:fill="auto"/>
          </w:tcPr>
          <w:p w14:paraId="401C1FD8" w14:textId="77777777" w:rsidR="00995A43" w:rsidRPr="00995A43" w:rsidRDefault="00995A43" w:rsidP="00995A43">
            <w:pPr>
              <w:tabs>
                <w:tab w:val="left" w:pos="1620"/>
              </w:tabs>
              <w:suppressAutoHyphens/>
              <w:spacing w:after="120"/>
              <w:jc w:val="right"/>
              <w:rPr>
                <w:i/>
                <w:spacing w:val="4"/>
                <w:w w:val="103"/>
                <w:kern w:val="14"/>
                <w:sz w:val="14"/>
                <w:lang w:val="en-GB"/>
              </w:rPr>
            </w:pPr>
            <w:r w:rsidRPr="00995A43">
              <w:rPr>
                <w:i/>
                <w:spacing w:val="4"/>
                <w:w w:val="103"/>
                <w:kern w:val="14"/>
                <w:sz w:val="14"/>
                <w:lang w:val="en-GB"/>
              </w:rPr>
              <w:t>Page</w:t>
            </w:r>
          </w:p>
        </w:tc>
      </w:tr>
      <w:tr w:rsidR="00995A43" w:rsidRPr="00995A43" w14:paraId="4B64C671" w14:textId="77777777" w:rsidTr="00995A43">
        <w:tc>
          <w:tcPr>
            <w:tcW w:w="9360" w:type="dxa"/>
            <w:gridSpan w:val="2"/>
            <w:shd w:val="clear" w:color="auto" w:fill="auto"/>
          </w:tcPr>
          <w:p w14:paraId="68777245" w14:textId="77777777" w:rsidR="00995A43" w:rsidRPr="00995A43" w:rsidRDefault="00995A43" w:rsidP="00995A43">
            <w:pPr>
              <w:numPr>
                <w:ilvl w:val="0"/>
                <w:numId w:val="18"/>
              </w:numPr>
              <w:tabs>
                <w:tab w:val="right" w:pos="1080"/>
                <w:tab w:val="left" w:pos="1296"/>
                <w:tab w:val="left" w:pos="1620"/>
                <w:tab w:val="left" w:pos="2160"/>
                <w:tab w:val="left" w:pos="2592"/>
                <w:tab w:val="right" w:leader="dot" w:pos="8381"/>
              </w:tabs>
              <w:suppressAutoHyphens/>
              <w:spacing w:after="120" w:line="240" w:lineRule="exact"/>
              <w:jc w:val="both"/>
              <w:rPr>
                <w:spacing w:val="4"/>
                <w:w w:val="103"/>
                <w:kern w:val="14"/>
                <w:lang w:val="en-GB"/>
              </w:rPr>
            </w:pPr>
            <w:r w:rsidRPr="00995A43">
              <w:rPr>
                <w:spacing w:val="4"/>
                <w:w w:val="103"/>
                <w:kern w:val="14"/>
                <w:lang w:val="en-GB"/>
              </w:rPr>
              <w:tab/>
              <w:t>Programme rationale</w:t>
            </w:r>
            <w:r w:rsidRPr="00995A43">
              <w:rPr>
                <w:spacing w:val="60"/>
                <w:w w:val="103"/>
                <w:kern w:val="14"/>
                <w:sz w:val="17"/>
                <w:lang w:val="en-GB"/>
              </w:rPr>
              <w:tab/>
            </w:r>
          </w:p>
        </w:tc>
        <w:tc>
          <w:tcPr>
            <w:tcW w:w="542" w:type="dxa"/>
            <w:gridSpan w:val="2"/>
            <w:vMerge w:val="restart"/>
            <w:shd w:val="clear" w:color="auto" w:fill="auto"/>
            <w:vAlign w:val="bottom"/>
          </w:tcPr>
          <w:p w14:paraId="4967A7A5" w14:textId="77777777" w:rsidR="00995A43" w:rsidRPr="00995A43" w:rsidRDefault="00995A43" w:rsidP="00995A43">
            <w:pPr>
              <w:tabs>
                <w:tab w:val="left" w:pos="1620"/>
              </w:tabs>
              <w:suppressAutoHyphens/>
              <w:spacing w:after="120" w:line="240" w:lineRule="exact"/>
              <w:jc w:val="right"/>
              <w:rPr>
                <w:spacing w:val="4"/>
                <w:w w:val="103"/>
                <w:kern w:val="14"/>
                <w:lang w:val="en-GB"/>
              </w:rPr>
            </w:pPr>
            <w:r w:rsidRPr="00995A43">
              <w:rPr>
                <w:spacing w:val="4"/>
                <w:w w:val="103"/>
                <w:kern w:val="14"/>
                <w:lang w:val="en-GB"/>
              </w:rPr>
              <w:t>2</w:t>
            </w:r>
          </w:p>
          <w:p w14:paraId="289731F8" w14:textId="77777777" w:rsidR="00995A43" w:rsidRPr="00995A43" w:rsidRDefault="00995A43" w:rsidP="00995A43">
            <w:pPr>
              <w:tabs>
                <w:tab w:val="left" w:pos="1620"/>
              </w:tabs>
              <w:suppressAutoHyphens/>
              <w:spacing w:after="120" w:line="240" w:lineRule="exact"/>
              <w:jc w:val="right"/>
              <w:rPr>
                <w:spacing w:val="4"/>
                <w:w w:val="103"/>
                <w:kern w:val="14"/>
                <w:lang w:val="en-GB"/>
              </w:rPr>
            </w:pPr>
            <w:r w:rsidRPr="00995A43">
              <w:rPr>
                <w:spacing w:val="4"/>
                <w:w w:val="103"/>
                <w:kern w:val="14"/>
                <w:lang w:val="en-GB"/>
              </w:rPr>
              <w:t>4</w:t>
            </w:r>
          </w:p>
        </w:tc>
      </w:tr>
      <w:tr w:rsidR="00995A43" w:rsidRPr="00995A43" w14:paraId="2DA12BF5" w14:textId="77777777" w:rsidTr="00995A43">
        <w:tc>
          <w:tcPr>
            <w:tcW w:w="9360" w:type="dxa"/>
            <w:gridSpan w:val="2"/>
            <w:shd w:val="clear" w:color="auto" w:fill="auto"/>
          </w:tcPr>
          <w:p w14:paraId="741DC499" w14:textId="77777777" w:rsidR="00995A43" w:rsidRPr="00995A43" w:rsidRDefault="00995A43" w:rsidP="00995A43">
            <w:pPr>
              <w:numPr>
                <w:ilvl w:val="0"/>
                <w:numId w:val="18"/>
              </w:numPr>
              <w:tabs>
                <w:tab w:val="right" w:pos="1080"/>
                <w:tab w:val="left" w:pos="1296"/>
                <w:tab w:val="left" w:pos="1620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right" w:leader="dot" w:pos="8381"/>
              </w:tabs>
              <w:suppressAutoHyphens/>
              <w:spacing w:after="120" w:line="240" w:lineRule="exact"/>
              <w:jc w:val="both"/>
              <w:rPr>
                <w:spacing w:val="4"/>
                <w:w w:val="103"/>
                <w:kern w:val="14"/>
                <w:lang w:val="en-GB"/>
              </w:rPr>
            </w:pPr>
            <w:r w:rsidRPr="00995A43">
              <w:rPr>
                <w:spacing w:val="4"/>
                <w:w w:val="103"/>
                <w:kern w:val="14"/>
                <w:lang w:val="en-GB"/>
              </w:rPr>
              <w:tab/>
              <w:t>Programme priorities and partnerships</w:t>
            </w:r>
            <w:r w:rsidRPr="00995A43">
              <w:rPr>
                <w:spacing w:val="60"/>
                <w:w w:val="103"/>
                <w:kern w:val="14"/>
                <w:sz w:val="17"/>
                <w:lang w:val="en-GB"/>
              </w:rPr>
              <w:tab/>
            </w:r>
          </w:p>
        </w:tc>
        <w:tc>
          <w:tcPr>
            <w:tcW w:w="542" w:type="dxa"/>
            <w:gridSpan w:val="2"/>
            <w:vMerge/>
            <w:shd w:val="clear" w:color="auto" w:fill="auto"/>
            <w:vAlign w:val="bottom"/>
          </w:tcPr>
          <w:p w14:paraId="350C22D6" w14:textId="77777777" w:rsidR="00995A43" w:rsidRPr="00995A43" w:rsidRDefault="00995A43" w:rsidP="00995A43">
            <w:pPr>
              <w:tabs>
                <w:tab w:val="left" w:pos="1620"/>
              </w:tabs>
              <w:suppressAutoHyphens/>
              <w:spacing w:after="120" w:line="240" w:lineRule="exact"/>
              <w:jc w:val="right"/>
              <w:rPr>
                <w:spacing w:val="4"/>
                <w:w w:val="103"/>
                <w:kern w:val="14"/>
                <w:lang w:val="en-GB"/>
              </w:rPr>
            </w:pPr>
          </w:p>
        </w:tc>
      </w:tr>
      <w:tr w:rsidR="00995A43" w:rsidRPr="00995A43" w14:paraId="5E3D5825" w14:textId="77777777" w:rsidTr="00995A43">
        <w:tc>
          <w:tcPr>
            <w:tcW w:w="9360" w:type="dxa"/>
            <w:gridSpan w:val="2"/>
            <w:shd w:val="clear" w:color="auto" w:fill="auto"/>
          </w:tcPr>
          <w:p w14:paraId="1B202308" w14:textId="77777777" w:rsidR="00995A43" w:rsidRPr="00995A43" w:rsidRDefault="00995A43" w:rsidP="00995A43">
            <w:pPr>
              <w:numPr>
                <w:ilvl w:val="0"/>
                <w:numId w:val="18"/>
              </w:numPr>
              <w:tabs>
                <w:tab w:val="right" w:pos="1080"/>
                <w:tab w:val="left" w:pos="1296"/>
                <w:tab w:val="left" w:pos="1620"/>
                <w:tab w:val="left" w:pos="2160"/>
                <w:tab w:val="left" w:pos="2592"/>
                <w:tab w:val="left" w:pos="3024"/>
                <w:tab w:val="right" w:leader="dot" w:pos="8381"/>
              </w:tabs>
              <w:suppressAutoHyphens/>
              <w:spacing w:after="120" w:line="240" w:lineRule="exact"/>
              <w:jc w:val="both"/>
              <w:rPr>
                <w:spacing w:val="4"/>
                <w:w w:val="103"/>
                <w:kern w:val="14"/>
                <w:lang w:val="en-GB"/>
              </w:rPr>
            </w:pPr>
            <w:r w:rsidRPr="00995A43">
              <w:rPr>
                <w:spacing w:val="4"/>
                <w:w w:val="103"/>
                <w:kern w:val="14"/>
                <w:lang w:val="en-GB"/>
              </w:rPr>
              <w:tab/>
              <w:t>Programme and risk management</w:t>
            </w:r>
            <w:r w:rsidRPr="00995A43">
              <w:rPr>
                <w:spacing w:val="60"/>
                <w:w w:val="103"/>
                <w:kern w:val="14"/>
                <w:sz w:val="17"/>
                <w:lang w:val="en-GB"/>
              </w:rPr>
              <w:tab/>
            </w:r>
          </w:p>
        </w:tc>
        <w:tc>
          <w:tcPr>
            <w:tcW w:w="542" w:type="dxa"/>
            <w:gridSpan w:val="2"/>
            <w:vMerge w:val="restart"/>
            <w:shd w:val="clear" w:color="auto" w:fill="auto"/>
            <w:vAlign w:val="bottom"/>
          </w:tcPr>
          <w:p w14:paraId="3AECB942" w14:textId="77777777" w:rsidR="00995A43" w:rsidRPr="00995A43" w:rsidRDefault="00221999" w:rsidP="00995A43">
            <w:pPr>
              <w:tabs>
                <w:tab w:val="left" w:pos="1620"/>
              </w:tabs>
              <w:suppressAutoHyphens/>
              <w:spacing w:after="120" w:line="240" w:lineRule="exact"/>
              <w:jc w:val="right"/>
              <w:rPr>
                <w:spacing w:val="4"/>
                <w:w w:val="103"/>
                <w:kern w:val="14"/>
                <w:lang w:val="en-GB"/>
              </w:rPr>
            </w:pPr>
            <w:r>
              <w:rPr>
                <w:spacing w:val="4"/>
                <w:w w:val="103"/>
                <w:kern w:val="14"/>
                <w:lang w:val="en-GB"/>
              </w:rPr>
              <w:t>7</w:t>
            </w:r>
          </w:p>
          <w:p w14:paraId="268BDA2B" w14:textId="77777777" w:rsidR="00995A43" w:rsidRPr="00995A43" w:rsidRDefault="00221999" w:rsidP="00995A43">
            <w:pPr>
              <w:tabs>
                <w:tab w:val="left" w:pos="1620"/>
              </w:tabs>
              <w:suppressAutoHyphens/>
              <w:spacing w:after="120" w:line="240" w:lineRule="exact"/>
              <w:jc w:val="right"/>
              <w:rPr>
                <w:spacing w:val="4"/>
                <w:w w:val="103"/>
                <w:kern w:val="14"/>
                <w:lang w:val="en-GB"/>
              </w:rPr>
            </w:pPr>
            <w:r>
              <w:rPr>
                <w:spacing w:val="4"/>
                <w:w w:val="103"/>
                <w:kern w:val="14"/>
                <w:lang w:val="en-GB"/>
              </w:rPr>
              <w:t>8</w:t>
            </w:r>
            <w:r w:rsidR="00995A43" w:rsidRPr="00995A43">
              <w:rPr>
                <w:spacing w:val="4"/>
                <w:w w:val="103"/>
                <w:kern w:val="14"/>
                <w:lang w:val="en-GB"/>
              </w:rPr>
              <w:t xml:space="preserve"> </w:t>
            </w:r>
          </w:p>
        </w:tc>
      </w:tr>
      <w:tr w:rsidR="00995A43" w:rsidRPr="00995A43" w14:paraId="3D32DA01" w14:textId="77777777" w:rsidTr="00995A43">
        <w:tc>
          <w:tcPr>
            <w:tcW w:w="9360" w:type="dxa"/>
            <w:gridSpan w:val="2"/>
            <w:shd w:val="clear" w:color="auto" w:fill="auto"/>
          </w:tcPr>
          <w:p w14:paraId="726B69F1" w14:textId="77777777" w:rsidR="00995A43" w:rsidRPr="00995A43" w:rsidRDefault="00995A43" w:rsidP="00995A43">
            <w:pPr>
              <w:numPr>
                <w:ilvl w:val="0"/>
                <w:numId w:val="18"/>
              </w:numPr>
              <w:tabs>
                <w:tab w:val="right" w:pos="1080"/>
                <w:tab w:val="left" w:pos="1296"/>
                <w:tab w:val="left" w:pos="1620"/>
                <w:tab w:val="left" w:pos="2160"/>
                <w:tab w:val="left" w:pos="2592"/>
                <w:tab w:val="left" w:pos="3024"/>
                <w:tab w:val="left" w:pos="3420"/>
                <w:tab w:val="left" w:pos="3456"/>
                <w:tab w:val="right" w:leader="dot" w:pos="8381"/>
              </w:tabs>
              <w:suppressAutoHyphens/>
              <w:spacing w:after="120" w:line="240" w:lineRule="exact"/>
              <w:jc w:val="both"/>
              <w:rPr>
                <w:spacing w:val="4"/>
                <w:w w:val="103"/>
                <w:kern w:val="14"/>
                <w:lang w:val="en-GB"/>
              </w:rPr>
            </w:pPr>
            <w:r w:rsidRPr="00995A43">
              <w:rPr>
                <w:spacing w:val="4"/>
                <w:w w:val="103"/>
                <w:kern w:val="14"/>
                <w:lang w:val="en-GB"/>
              </w:rPr>
              <w:tab/>
              <w:t>Monitoring and evaluation</w:t>
            </w:r>
            <w:r w:rsidRPr="00995A43">
              <w:rPr>
                <w:spacing w:val="60"/>
                <w:w w:val="103"/>
                <w:kern w:val="14"/>
                <w:sz w:val="17"/>
                <w:lang w:val="en-GB"/>
              </w:rPr>
              <w:tab/>
            </w:r>
            <w:r w:rsidRPr="00995A43">
              <w:rPr>
                <w:spacing w:val="60"/>
                <w:w w:val="103"/>
                <w:kern w:val="14"/>
                <w:sz w:val="17"/>
                <w:lang w:val="en-GB"/>
              </w:rPr>
              <w:tab/>
            </w:r>
          </w:p>
        </w:tc>
        <w:tc>
          <w:tcPr>
            <w:tcW w:w="542" w:type="dxa"/>
            <w:gridSpan w:val="2"/>
            <w:vMerge/>
            <w:shd w:val="clear" w:color="auto" w:fill="auto"/>
            <w:vAlign w:val="bottom"/>
          </w:tcPr>
          <w:p w14:paraId="1DCC2EF9" w14:textId="77777777" w:rsidR="00995A43" w:rsidRPr="00995A43" w:rsidRDefault="00995A43" w:rsidP="00995A43">
            <w:pPr>
              <w:tabs>
                <w:tab w:val="left" w:pos="1620"/>
              </w:tabs>
              <w:suppressAutoHyphens/>
              <w:spacing w:after="120" w:line="240" w:lineRule="exact"/>
              <w:jc w:val="right"/>
              <w:rPr>
                <w:spacing w:val="4"/>
                <w:w w:val="103"/>
                <w:kern w:val="14"/>
                <w:lang w:val="en-GB"/>
              </w:rPr>
            </w:pPr>
          </w:p>
        </w:tc>
      </w:tr>
      <w:tr w:rsidR="00995A43" w:rsidRPr="00995A43" w14:paraId="2100AC0E" w14:textId="77777777" w:rsidTr="00995A43">
        <w:tc>
          <w:tcPr>
            <w:tcW w:w="9369" w:type="dxa"/>
            <w:gridSpan w:val="3"/>
            <w:shd w:val="clear" w:color="auto" w:fill="auto"/>
          </w:tcPr>
          <w:p w14:paraId="62E22025" w14:textId="77777777" w:rsidR="00995A43" w:rsidRPr="00995A43" w:rsidRDefault="00995A43" w:rsidP="00995A43">
            <w:pPr>
              <w:tabs>
                <w:tab w:val="right" w:pos="1080"/>
                <w:tab w:val="left" w:pos="1296"/>
                <w:tab w:val="left" w:pos="1620"/>
                <w:tab w:val="right" w:pos="1714"/>
                <w:tab w:val="left" w:pos="2160"/>
                <w:tab w:val="left" w:pos="2592"/>
                <w:tab w:val="left" w:pos="3024"/>
                <w:tab w:val="left" w:pos="3456"/>
              </w:tabs>
              <w:suppressAutoHyphens/>
              <w:spacing w:after="120" w:line="240" w:lineRule="exact"/>
              <w:ind w:left="475"/>
              <w:rPr>
                <w:spacing w:val="4"/>
                <w:w w:val="103"/>
                <w:kern w:val="14"/>
                <w:lang w:val="en-GB"/>
              </w:rPr>
            </w:pPr>
            <w:r w:rsidRPr="00995A43">
              <w:rPr>
                <w:spacing w:val="4"/>
                <w:w w:val="103"/>
                <w:kern w:val="14"/>
                <w:lang w:val="en-GB"/>
              </w:rPr>
              <w:t xml:space="preserve">     Annex</w:t>
            </w:r>
          </w:p>
        </w:tc>
        <w:tc>
          <w:tcPr>
            <w:tcW w:w="533" w:type="dxa"/>
            <w:shd w:val="clear" w:color="auto" w:fill="auto"/>
            <w:vAlign w:val="bottom"/>
          </w:tcPr>
          <w:p w14:paraId="17F805BC" w14:textId="77777777" w:rsidR="00995A43" w:rsidRPr="00995A43" w:rsidRDefault="00995A43" w:rsidP="00995A43">
            <w:pPr>
              <w:tabs>
                <w:tab w:val="left" w:pos="1620"/>
              </w:tabs>
              <w:suppressAutoHyphens/>
              <w:spacing w:after="120" w:line="240" w:lineRule="exact"/>
              <w:jc w:val="right"/>
              <w:rPr>
                <w:spacing w:val="4"/>
                <w:w w:val="103"/>
                <w:kern w:val="14"/>
                <w:lang w:val="en-GB"/>
              </w:rPr>
            </w:pPr>
          </w:p>
        </w:tc>
      </w:tr>
      <w:tr w:rsidR="00995A43" w:rsidRPr="00995A43" w14:paraId="30B5A2B2" w14:textId="77777777" w:rsidTr="00995A43">
        <w:tc>
          <w:tcPr>
            <w:tcW w:w="9369" w:type="dxa"/>
            <w:gridSpan w:val="3"/>
            <w:shd w:val="clear" w:color="auto" w:fill="auto"/>
          </w:tcPr>
          <w:p w14:paraId="31D555C0" w14:textId="77777777" w:rsidR="00995A43" w:rsidRPr="00995A43" w:rsidRDefault="00995A43" w:rsidP="00995A43">
            <w:pPr>
              <w:tabs>
                <w:tab w:val="right" w:pos="1080"/>
                <w:tab w:val="left" w:pos="1296"/>
                <w:tab w:val="left" w:pos="1620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right" w:leader="dot" w:pos="9360"/>
              </w:tabs>
              <w:suppressAutoHyphens/>
              <w:spacing w:after="120" w:line="240" w:lineRule="exact"/>
              <w:ind w:left="1296"/>
              <w:rPr>
                <w:spacing w:val="60"/>
                <w:w w:val="103"/>
                <w:kern w:val="14"/>
                <w:sz w:val="17"/>
                <w:lang w:val="en-GB"/>
              </w:rPr>
            </w:pPr>
            <w:r w:rsidRPr="00995A43">
              <w:rPr>
                <w:spacing w:val="4"/>
                <w:w w:val="103"/>
                <w:kern w:val="14"/>
                <w:lang w:val="en-GB"/>
              </w:rPr>
              <w:t xml:space="preserve">Results and resources framework for </w:t>
            </w:r>
            <w:r w:rsidRPr="0071246A">
              <w:rPr>
                <w:spacing w:val="4"/>
                <w:w w:val="103"/>
                <w:kern w:val="14"/>
              </w:rPr>
              <w:t>São Tomé and Príncipe</w:t>
            </w:r>
            <w:r w:rsidRPr="00995A43">
              <w:rPr>
                <w:b/>
                <w:spacing w:val="4"/>
                <w:w w:val="103"/>
                <w:kern w:val="14"/>
              </w:rPr>
              <w:t xml:space="preserve"> </w:t>
            </w:r>
            <w:r w:rsidRPr="00995A43">
              <w:rPr>
                <w:spacing w:val="4"/>
                <w:w w:val="103"/>
                <w:kern w:val="14"/>
                <w:lang w:val="en-GB"/>
              </w:rPr>
              <w:t>(2017-2021)</w:t>
            </w:r>
            <w:r w:rsidRPr="00995A43">
              <w:rPr>
                <w:spacing w:val="60"/>
                <w:w w:val="103"/>
                <w:kern w:val="14"/>
                <w:sz w:val="17"/>
                <w:lang w:val="en-GB"/>
              </w:rPr>
              <w:tab/>
            </w:r>
          </w:p>
        </w:tc>
        <w:tc>
          <w:tcPr>
            <w:tcW w:w="533" w:type="dxa"/>
            <w:shd w:val="clear" w:color="auto" w:fill="auto"/>
            <w:vAlign w:val="bottom"/>
          </w:tcPr>
          <w:p w14:paraId="60477739" w14:textId="34DB75F8" w:rsidR="00995A43" w:rsidRPr="00995A43" w:rsidRDefault="00FC386D" w:rsidP="00FC386D">
            <w:pPr>
              <w:tabs>
                <w:tab w:val="left" w:pos="1620"/>
              </w:tabs>
              <w:suppressAutoHyphens/>
              <w:spacing w:after="120" w:line="240" w:lineRule="exact"/>
              <w:jc w:val="right"/>
              <w:rPr>
                <w:spacing w:val="4"/>
                <w:w w:val="103"/>
                <w:kern w:val="14"/>
                <w:lang w:val="en-GB"/>
              </w:rPr>
            </w:pPr>
            <w:r>
              <w:rPr>
                <w:spacing w:val="4"/>
                <w:w w:val="103"/>
                <w:kern w:val="14"/>
                <w:lang w:val="en-GB"/>
              </w:rPr>
              <w:t>9</w:t>
            </w:r>
          </w:p>
        </w:tc>
      </w:tr>
    </w:tbl>
    <w:p w14:paraId="432F4A1A" w14:textId="77777777" w:rsidR="0087753C" w:rsidRPr="005145F0" w:rsidRDefault="0087753C">
      <w:pPr>
        <w:rPr>
          <w:b/>
          <w:bCs/>
          <w:color w:val="000000"/>
          <w:sz w:val="22"/>
          <w:szCs w:val="22"/>
        </w:rPr>
      </w:pPr>
      <w:r w:rsidRPr="005145F0">
        <w:rPr>
          <w:bCs/>
          <w:color w:val="000000"/>
          <w:sz w:val="22"/>
          <w:szCs w:val="22"/>
        </w:rPr>
        <w:br w:type="page"/>
      </w:r>
    </w:p>
    <w:p w14:paraId="083A8D35" w14:textId="77777777" w:rsidR="00B548DD" w:rsidRPr="0071246A" w:rsidRDefault="00B548DD" w:rsidP="00A419B7">
      <w:pPr>
        <w:pStyle w:val="Heading2"/>
        <w:numPr>
          <w:ilvl w:val="0"/>
          <w:numId w:val="8"/>
        </w:numPr>
        <w:ind w:left="720" w:right="720" w:hanging="45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1246A">
        <w:rPr>
          <w:rFonts w:ascii="Times New Roman" w:hAnsi="Times New Roman"/>
          <w:bCs/>
          <w:color w:val="000000"/>
          <w:sz w:val="24"/>
          <w:szCs w:val="24"/>
        </w:rPr>
        <w:lastRenderedPageBreak/>
        <w:t>Programme rationale</w:t>
      </w:r>
    </w:p>
    <w:p w14:paraId="4947E1DA" w14:textId="77777777" w:rsidR="00B548DD" w:rsidRPr="00A419B7" w:rsidRDefault="00B548DD" w:rsidP="00B54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</w:p>
    <w:p w14:paraId="65B0397E" w14:textId="77777777" w:rsidR="00DF2430" w:rsidRPr="005145F0" w:rsidRDefault="00F36D19" w:rsidP="00A419B7">
      <w:pPr>
        <w:pStyle w:val="ListParagraph"/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after="120"/>
        <w:ind w:left="737" w:right="1644" w:hanging="17"/>
        <w:jc w:val="both"/>
      </w:pPr>
      <w:r>
        <w:t xml:space="preserve">The </w:t>
      </w:r>
      <w:r w:rsidR="00B548DD" w:rsidRPr="005145F0">
        <w:t>Transformation Agenda</w:t>
      </w:r>
      <w:r w:rsidR="00253853" w:rsidRPr="005145F0">
        <w:t xml:space="preserve"> 2030 </w:t>
      </w:r>
      <w:r w:rsidR="006C64B1">
        <w:t>f</w:t>
      </w:r>
      <w:r>
        <w:t xml:space="preserve">or </w:t>
      </w:r>
      <w:r w:rsidRPr="005145F0">
        <w:t>São Tomé and Príncipe</w:t>
      </w:r>
      <w:r>
        <w:t xml:space="preserve"> </w:t>
      </w:r>
      <w:r w:rsidR="00B548DD" w:rsidRPr="005145F0">
        <w:t xml:space="preserve">is </w:t>
      </w:r>
      <w:r w:rsidR="006A5E8F" w:rsidRPr="005145F0">
        <w:t xml:space="preserve">based </w:t>
      </w:r>
      <w:r w:rsidR="007E6573" w:rsidRPr="005145F0">
        <w:t>on</w:t>
      </w:r>
      <w:r w:rsidR="006A5E8F" w:rsidRPr="005145F0">
        <w:t xml:space="preserve"> </w:t>
      </w:r>
      <w:r>
        <w:t>the country’s</w:t>
      </w:r>
      <w:r w:rsidR="00B548DD" w:rsidRPr="005145F0">
        <w:t xml:space="preserve"> </w:t>
      </w:r>
      <w:r>
        <w:t>‘</w:t>
      </w:r>
      <w:r w:rsidR="00B548DD" w:rsidRPr="005145F0">
        <w:t xml:space="preserve">Vision </w:t>
      </w:r>
      <w:r w:rsidR="00693CD8" w:rsidRPr="005145F0">
        <w:t>São Tomé and Príncipe</w:t>
      </w:r>
      <w:r w:rsidR="00B548DD" w:rsidRPr="005145F0">
        <w:t xml:space="preserve"> 2030: </w:t>
      </w:r>
      <w:r>
        <w:t>T</w:t>
      </w:r>
      <w:r w:rsidR="00B548DD" w:rsidRPr="005145F0">
        <w:t>he country we need to build</w:t>
      </w:r>
      <w:r>
        <w:t>’</w:t>
      </w:r>
      <w:r w:rsidR="00B548DD" w:rsidRPr="005145F0">
        <w:t xml:space="preserve">. </w:t>
      </w:r>
      <w:r>
        <w:t>It</w:t>
      </w:r>
      <w:r w:rsidR="007E6573" w:rsidRPr="005145F0">
        <w:t xml:space="preserve"> aim</w:t>
      </w:r>
      <w:r>
        <w:t>s</w:t>
      </w:r>
      <w:r w:rsidR="00B548DD" w:rsidRPr="005145F0">
        <w:t xml:space="preserve"> to boost good governance and public </w:t>
      </w:r>
      <w:r w:rsidR="008F098C" w:rsidRPr="005145F0">
        <w:t>sector</w:t>
      </w:r>
      <w:r w:rsidR="00B548DD" w:rsidRPr="005145F0">
        <w:t xml:space="preserve"> reform; promote sustainable and inclusive growth; strengthen human capital and social service</w:t>
      </w:r>
      <w:r>
        <w:t>s</w:t>
      </w:r>
      <w:r w:rsidR="00B548DD" w:rsidRPr="005145F0">
        <w:t xml:space="preserve"> delivery; and bolster social cohesion and social protection.</w:t>
      </w:r>
      <w:r w:rsidR="00905579" w:rsidRPr="005145F0">
        <w:t xml:space="preserve"> </w:t>
      </w:r>
      <w:r w:rsidR="007D29FA" w:rsidRPr="005145F0">
        <w:t xml:space="preserve">To </w:t>
      </w:r>
      <w:r w:rsidR="00532738" w:rsidRPr="005145F0">
        <w:t>promote</w:t>
      </w:r>
      <w:r w:rsidR="00335202" w:rsidRPr="005145F0">
        <w:t xml:space="preserve"> </w:t>
      </w:r>
      <w:r w:rsidR="007D29FA" w:rsidRPr="005145F0">
        <w:t xml:space="preserve">rapid economic </w:t>
      </w:r>
      <w:r w:rsidR="000631F0" w:rsidRPr="005145F0">
        <w:t xml:space="preserve">growth and </w:t>
      </w:r>
      <w:r w:rsidR="00854490" w:rsidRPr="005145F0">
        <w:t xml:space="preserve">equitable </w:t>
      </w:r>
      <w:r w:rsidR="000631F0" w:rsidRPr="005145F0">
        <w:t>development</w:t>
      </w:r>
      <w:r w:rsidR="007D29FA" w:rsidRPr="005145F0">
        <w:t xml:space="preserve">, the </w:t>
      </w:r>
      <w:r>
        <w:t>G</w:t>
      </w:r>
      <w:r w:rsidR="007D29FA" w:rsidRPr="005145F0">
        <w:t>overnment</w:t>
      </w:r>
      <w:r>
        <w:t xml:space="preserve"> has</w:t>
      </w:r>
      <w:r w:rsidR="007D29FA" w:rsidRPr="005145F0">
        <w:t xml:space="preserve"> prioritized (</w:t>
      </w:r>
      <w:r>
        <w:t>a</w:t>
      </w:r>
      <w:r w:rsidR="007D29FA" w:rsidRPr="005145F0">
        <w:t>) consolidating the rule of law and deepen</w:t>
      </w:r>
      <w:r w:rsidR="000631F0" w:rsidRPr="005145F0">
        <w:t>ing</w:t>
      </w:r>
      <w:r w:rsidR="007D29FA" w:rsidRPr="005145F0">
        <w:t xml:space="preserve"> democracy; (</w:t>
      </w:r>
      <w:r>
        <w:t>b</w:t>
      </w:r>
      <w:r w:rsidR="007D29FA" w:rsidRPr="005145F0">
        <w:t>) achieving sustainable growth; (</w:t>
      </w:r>
      <w:r>
        <w:t>c</w:t>
      </w:r>
      <w:r w:rsidR="007D29FA" w:rsidRPr="005145F0">
        <w:t>) promoting human development; and (</w:t>
      </w:r>
      <w:r>
        <w:t>d</w:t>
      </w:r>
      <w:r w:rsidR="007D29FA" w:rsidRPr="005145F0">
        <w:t xml:space="preserve">) fostering </w:t>
      </w:r>
      <w:r w:rsidR="00854490" w:rsidRPr="005145F0">
        <w:t xml:space="preserve">positive </w:t>
      </w:r>
      <w:r w:rsidR="007D29FA" w:rsidRPr="005145F0">
        <w:t>values and behaviours</w:t>
      </w:r>
      <w:r w:rsidR="00532738" w:rsidRPr="005145F0">
        <w:t xml:space="preserve"> nationwide</w:t>
      </w:r>
      <w:r w:rsidR="007D29FA" w:rsidRPr="005145F0">
        <w:t xml:space="preserve"> </w:t>
      </w:r>
      <w:r w:rsidR="00532738" w:rsidRPr="005145F0">
        <w:t>to promote</w:t>
      </w:r>
      <w:r w:rsidR="00854490" w:rsidRPr="005145F0">
        <w:t xml:space="preserve"> successful development</w:t>
      </w:r>
      <w:r w:rsidR="007D29FA" w:rsidRPr="005145F0">
        <w:t>.</w:t>
      </w:r>
      <w:r w:rsidR="00DF2430" w:rsidRPr="005145F0">
        <w:t xml:space="preserve"> </w:t>
      </w:r>
      <w:r>
        <w:t>The country, classified as lower middle income, achieved</w:t>
      </w:r>
      <w:r w:rsidR="008F098C" w:rsidRPr="005145F0">
        <w:rPr>
          <w:rFonts w:eastAsiaTheme="minorEastAsia"/>
        </w:rPr>
        <w:t xml:space="preserve"> </w:t>
      </w:r>
      <w:r w:rsidR="007870F2">
        <w:rPr>
          <w:rFonts w:eastAsiaTheme="minorEastAsia"/>
        </w:rPr>
        <w:t xml:space="preserve">an </w:t>
      </w:r>
      <w:r w:rsidR="00854BB9" w:rsidRPr="005145F0">
        <w:t>estimated</w:t>
      </w:r>
      <w:r w:rsidR="00854BB9" w:rsidRPr="005145F0">
        <w:rPr>
          <w:rFonts w:eastAsiaTheme="minorEastAsia"/>
        </w:rPr>
        <w:t xml:space="preserve"> </w:t>
      </w:r>
      <w:r w:rsidR="008C5A36" w:rsidRPr="005145F0">
        <w:t>5</w:t>
      </w:r>
      <w:r w:rsidR="00467B40">
        <w:t xml:space="preserve"> </w:t>
      </w:r>
      <w:r w:rsidR="00BF1EB3">
        <w:t>per cent</w:t>
      </w:r>
      <w:r w:rsidR="00467B40">
        <w:t xml:space="preserve"> </w:t>
      </w:r>
      <w:r w:rsidR="00854BB9" w:rsidRPr="005145F0">
        <w:rPr>
          <w:rFonts w:eastAsiaTheme="minorEastAsia"/>
        </w:rPr>
        <w:t xml:space="preserve">growth </w:t>
      </w:r>
      <w:r>
        <w:rPr>
          <w:rFonts w:eastAsiaTheme="minorEastAsia"/>
        </w:rPr>
        <w:t>in gross domestic product</w:t>
      </w:r>
      <w:r w:rsidR="001B1944">
        <w:rPr>
          <w:rFonts w:eastAsiaTheme="minorEastAsia"/>
        </w:rPr>
        <w:t xml:space="preserve"> (GDP) </w:t>
      </w:r>
      <w:r w:rsidR="00DD32DF" w:rsidRPr="005145F0">
        <w:rPr>
          <w:rFonts w:eastAsiaTheme="minorEastAsia"/>
        </w:rPr>
        <w:t>in 2016</w:t>
      </w:r>
      <w:r>
        <w:rPr>
          <w:rFonts w:eastAsiaTheme="minorEastAsia"/>
        </w:rPr>
        <w:t>. This was</w:t>
      </w:r>
      <w:r w:rsidR="00DD32DF" w:rsidRPr="005145F0">
        <w:rPr>
          <w:rFonts w:eastAsiaTheme="minorEastAsia"/>
        </w:rPr>
        <w:t xml:space="preserve"> </w:t>
      </w:r>
      <w:r w:rsidR="00854490" w:rsidRPr="005145F0">
        <w:rPr>
          <w:rFonts w:eastAsiaTheme="minorEastAsia"/>
        </w:rPr>
        <w:t xml:space="preserve">due to increased </w:t>
      </w:r>
      <w:r w:rsidR="00DD32DF" w:rsidRPr="005145F0">
        <w:rPr>
          <w:rFonts w:eastAsiaTheme="minorEastAsia"/>
        </w:rPr>
        <w:t>public investments</w:t>
      </w:r>
      <w:r>
        <w:rPr>
          <w:rFonts w:eastAsiaTheme="minorEastAsia"/>
        </w:rPr>
        <w:t xml:space="preserve"> (financed through official development assistance)</w:t>
      </w:r>
      <w:r w:rsidR="00DD32DF" w:rsidRPr="005145F0">
        <w:rPr>
          <w:rFonts w:eastAsiaTheme="minorEastAsia"/>
        </w:rPr>
        <w:t xml:space="preserve">, </w:t>
      </w:r>
      <w:r>
        <w:rPr>
          <w:rFonts w:eastAsiaTheme="minorEastAsia"/>
        </w:rPr>
        <w:t xml:space="preserve">recovery of </w:t>
      </w:r>
      <w:r w:rsidR="008C5A36" w:rsidRPr="005145F0">
        <w:rPr>
          <w:rFonts w:eastAsiaTheme="minorEastAsia"/>
        </w:rPr>
        <w:t xml:space="preserve">cocoa production </w:t>
      </w:r>
      <w:r w:rsidR="00DD32DF" w:rsidRPr="005145F0">
        <w:rPr>
          <w:rFonts w:eastAsiaTheme="minorEastAsia"/>
        </w:rPr>
        <w:t xml:space="preserve">and </w:t>
      </w:r>
      <w:r w:rsidR="00AD7D75">
        <w:rPr>
          <w:rFonts w:eastAsiaTheme="minorEastAsia"/>
        </w:rPr>
        <w:t xml:space="preserve">the projected increase in </w:t>
      </w:r>
      <w:r w:rsidR="00DD32DF" w:rsidRPr="005145F0">
        <w:rPr>
          <w:rFonts w:eastAsiaTheme="minorEastAsia"/>
        </w:rPr>
        <w:t>foreign direct i</w:t>
      </w:r>
      <w:r w:rsidR="00DD32DF" w:rsidRPr="005145F0">
        <w:t xml:space="preserve">nvestment in the tourism sector. </w:t>
      </w:r>
    </w:p>
    <w:p w14:paraId="349A73AF" w14:textId="77777777" w:rsidR="001B1944" w:rsidRDefault="00F36D19" w:rsidP="00A419B7">
      <w:pPr>
        <w:pStyle w:val="ListParagraph"/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after="120"/>
        <w:ind w:right="1644" w:hanging="17"/>
        <w:jc w:val="both"/>
      </w:pPr>
      <w:r>
        <w:t xml:space="preserve">Yet </w:t>
      </w:r>
      <w:r w:rsidRPr="005145F0">
        <w:t>São Tomé and Príncipe</w:t>
      </w:r>
      <w:r>
        <w:t xml:space="preserve"> </w:t>
      </w:r>
      <w:r w:rsidR="00EC7188" w:rsidRPr="005145F0">
        <w:t xml:space="preserve">faces </w:t>
      </w:r>
      <w:r>
        <w:t>a number of</w:t>
      </w:r>
      <w:r w:rsidR="002A7703" w:rsidRPr="005145F0">
        <w:t xml:space="preserve"> </w:t>
      </w:r>
      <w:r>
        <w:t>related</w:t>
      </w:r>
      <w:r w:rsidRPr="005145F0">
        <w:t xml:space="preserve"> </w:t>
      </w:r>
      <w:r w:rsidR="00EC7188" w:rsidRPr="005145F0">
        <w:t>challenges</w:t>
      </w:r>
      <w:r w:rsidR="00A06091">
        <w:t>.</w:t>
      </w:r>
      <w:r w:rsidR="0010108C">
        <w:t xml:space="preserve"> </w:t>
      </w:r>
      <w:r w:rsidR="001B1944">
        <w:t xml:space="preserve">Despite average GDP growth of over 4 </w:t>
      </w:r>
      <w:r w:rsidR="00BF1EB3">
        <w:t>per cent</w:t>
      </w:r>
      <w:r w:rsidR="001B1944">
        <w:t xml:space="preserve"> since 2012, poverty has not declined significantly. Around two thirds of the adult population lives below the national poverty line – 71.3 </w:t>
      </w:r>
      <w:r w:rsidR="00BF1EB3">
        <w:t>per cent</w:t>
      </w:r>
      <w:r w:rsidR="001B1944">
        <w:t xml:space="preserve"> of women and 63.4 </w:t>
      </w:r>
      <w:r w:rsidR="00BF1EB3">
        <w:t>per cent</w:t>
      </w:r>
      <w:r w:rsidR="001B1944">
        <w:t xml:space="preserve"> of men. </w:t>
      </w:r>
      <w:r w:rsidR="00A06091">
        <w:t>A</w:t>
      </w:r>
      <w:r w:rsidR="00EC7188" w:rsidRPr="005145F0">
        <w:t>ccess to economic opportunities</w:t>
      </w:r>
      <w:r w:rsidR="00A06091">
        <w:t xml:space="preserve"> is </w:t>
      </w:r>
      <w:r w:rsidR="00E32F5D">
        <w:t>skewed</w:t>
      </w:r>
      <w:r w:rsidR="00EC7188" w:rsidRPr="005145F0">
        <w:t>,</w:t>
      </w:r>
      <w:r w:rsidR="00A06091">
        <w:t xml:space="preserve"> as shown by the unemployment rates of</w:t>
      </w:r>
      <w:r w:rsidR="00EC7188" w:rsidRPr="005145F0">
        <w:t xml:space="preserve"> </w:t>
      </w:r>
      <w:r w:rsidR="00335202" w:rsidRPr="005145F0">
        <w:t>19.7</w:t>
      </w:r>
      <w:r w:rsidR="004B5B8A" w:rsidRPr="004B5B8A">
        <w:t xml:space="preserve"> </w:t>
      </w:r>
      <w:r w:rsidR="00BF1EB3">
        <w:t>per cent</w:t>
      </w:r>
      <w:r w:rsidR="004B5B8A" w:rsidDel="004B5B8A">
        <w:t xml:space="preserve"> </w:t>
      </w:r>
      <w:r w:rsidR="00F66FB2" w:rsidRPr="005145F0">
        <w:t>for w</w:t>
      </w:r>
      <w:r w:rsidR="00007F65" w:rsidRPr="005145F0">
        <w:t>omen and 9.3</w:t>
      </w:r>
      <w:r w:rsidR="00A06091">
        <w:t xml:space="preserve"> </w:t>
      </w:r>
      <w:r w:rsidR="00BF1EB3">
        <w:t>per cent</w:t>
      </w:r>
      <w:r w:rsidR="00007F65" w:rsidRPr="005145F0">
        <w:t xml:space="preserve"> for men</w:t>
      </w:r>
      <w:r w:rsidR="00A06091">
        <w:t>,</w:t>
      </w:r>
      <w:r w:rsidR="00A06091">
        <w:rPr>
          <w:rStyle w:val="FootnoteReference"/>
        </w:rPr>
        <w:footnoteReference w:id="2"/>
      </w:r>
      <w:r w:rsidR="00007F65" w:rsidRPr="005145F0">
        <w:t xml:space="preserve"> </w:t>
      </w:r>
      <w:r w:rsidR="00F66FB2" w:rsidRPr="005145F0">
        <w:t>and</w:t>
      </w:r>
      <w:r w:rsidR="00A06091">
        <w:t xml:space="preserve"> the economic activity rate of</w:t>
      </w:r>
      <w:r w:rsidR="00F66FB2" w:rsidRPr="005145F0">
        <w:t xml:space="preserve"> </w:t>
      </w:r>
      <w:r w:rsidR="008C5A36" w:rsidRPr="005145F0">
        <w:t>51</w:t>
      </w:r>
      <w:r w:rsidR="004B5B8A" w:rsidRPr="004B5B8A">
        <w:t xml:space="preserve"> </w:t>
      </w:r>
      <w:r w:rsidR="00BF1EB3">
        <w:t>per cent</w:t>
      </w:r>
      <w:r w:rsidR="004B5B8A" w:rsidDel="004B5B8A">
        <w:t xml:space="preserve"> </w:t>
      </w:r>
      <w:r w:rsidR="00A06091">
        <w:t xml:space="preserve">for </w:t>
      </w:r>
      <w:r w:rsidR="00882931" w:rsidRPr="005145F0">
        <w:t>women</w:t>
      </w:r>
      <w:r w:rsidR="00A06091">
        <w:t xml:space="preserve"> and </w:t>
      </w:r>
      <w:r w:rsidR="008C5A36" w:rsidRPr="005145F0">
        <w:t>75</w:t>
      </w:r>
      <w:r w:rsidR="004B5B8A" w:rsidRPr="004B5B8A">
        <w:t xml:space="preserve"> </w:t>
      </w:r>
      <w:r w:rsidR="00BF1EB3">
        <w:t>per cent</w:t>
      </w:r>
      <w:r w:rsidR="004B5B8A" w:rsidDel="004B5B8A">
        <w:t xml:space="preserve"> </w:t>
      </w:r>
      <w:r w:rsidR="00A06091">
        <w:t xml:space="preserve">for </w:t>
      </w:r>
      <w:r w:rsidR="008C5A36" w:rsidRPr="005145F0">
        <w:t>men</w:t>
      </w:r>
      <w:r w:rsidR="00A06091">
        <w:t>.</w:t>
      </w:r>
      <w:r w:rsidR="004B5B8A" w:rsidRPr="005145F0">
        <w:rPr>
          <w:rStyle w:val="FootnoteReference"/>
        </w:rPr>
        <w:footnoteReference w:id="3"/>
      </w:r>
      <w:r w:rsidR="00A06091">
        <w:t xml:space="preserve"> </w:t>
      </w:r>
      <w:r w:rsidR="001B1944">
        <w:t xml:space="preserve">The unemployment rate among young people aged 15-24 is 23 </w:t>
      </w:r>
      <w:r w:rsidR="00BF1EB3">
        <w:t>per cent</w:t>
      </w:r>
      <w:r w:rsidR="001B1944">
        <w:t xml:space="preserve">, compared to the global average of 13 </w:t>
      </w:r>
      <w:r w:rsidR="00BF1EB3">
        <w:t>per cent</w:t>
      </w:r>
      <w:r w:rsidR="001B1944">
        <w:t xml:space="preserve"> in 2015.</w:t>
      </w:r>
    </w:p>
    <w:p w14:paraId="2454E368" w14:textId="77777777" w:rsidR="00DF2430" w:rsidRPr="005145F0" w:rsidRDefault="00A06091" w:rsidP="00A419B7">
      <w:pPr>
        <w:pStyle w:val="ListParagraph"/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after="120"/>
        <w:ind w:right="1644" w:hanging="17"/>
        <w:jc w:val="both"/>
      </w:pPr>
      <w:r>
        <w:t>E</w:t>
      </w:r>
      <w:r w:rsidR="001326E6" w:rsidRPr="005145F0">
        <w:t xml:space="preserve">mployment figures </w:t>
      </w:r>
      <w:r w:rsidR="00253853" w:rsidRPr="005145F0">
        <w:t xml:space="preserve">are </w:t>
      </w:r>
      <w:r w:rsidR="00E32F5D">
        <w:t>low</w:t>
      </w:r>
      <w:r>
        <w:t xml:space="preserve"> </w:t>
      </w:r>
      <w:r w:rsidR="00253853" w:rsidRPr="005145F0">
        <w:t xml:space="preserve">due to </w:t>
      </w:r>
      <w:r>
        <w:t>poor</w:t>
      </w:r>
      <w:r w:rsidR="00EC7188" w:rsidRPr="005145F0">
        <w:t xml:space="preserve"> </w:t>
      </w:r>
      <w:r w:rsidR="00E97B49" w:rsidRPr="005145F0">
        <w:t xml:space="preserve">economic </w:t>
      </w:r>
      <w:r w:rsidR="00EC7188" w:rsidRPr="005145F0">
        <w:t>diversification</w:t>
      </w:r>
      <w:r>
        <w:t xml:space="preserve"> – for instance, </w:t>
      </w:r>
      <w:r w:rsidRPr="00E32F5D">
        <w:rPr>
          <w:lang w:val="en-GB"/>
        </w:rPr>
        <w:t>c</w:t>
      </w:r>
      <w:r w:rsidRPr="009B2E26">
        <w:rPr>
          <w:lang w:val="en-GB"/>
        </w:rPr>
        <w:t>ocoa export</w:t>
      </w:r>
      <w:r w:rsidRPr="00E32F5D">
        <w:rPr>
          <w:lang w:val="en-GB"/>
        </w:rPr>
        <w:t>s contribute</w:t>
      </w:r>
      <w:r w:rsidRPr="009B2E26">
        <w:rPr>
          <w:lang w:val="en-GB"/>
        </w:rPr>
        <w:t xml:space="preserve"> 95</w:t>
      </w:r>
      <w:r w:rsidRPr="00E32F5D">
        <w:rPr>
          <w:lang w:val="en-GB"/>
        </w:rPr>
        <w:t xml:space="preserve"> </w:t>
      </w:r>
      <w:r w:rsidR="00BF1EB3">
        <w:rPr>
          <w:lang w:val="en-GB"/>
        </w:rPr>
        <w:t>per cent</w:t>
      </w:r>
      <w:r w:rsidRPr="009B2E26">
        <w:rPr>
          <w:lang w:val="en-GB"/>
        </w:rPr>
        <w:t xml:space="preserve"> of a trade balance always in deficit</w:t>
      </w:r>
      <w:r w:rsidRPr="00E32F5D">
        <w:rPr>
          <w:lang w:val="en-GB"/>
        </w:rPr>
        <w:t>.</w:t>
      </w:r>
      <w:r w:rsidR="00EC7188" w:rsidRPr="005145F0">
        <w:rPr>
          <w:rStyle w:val="FootnoteReference"/>
        </w:rPr>
        <w:footnoteReference w:id="4"/>
      </w:r>
      <w:r w:rsidR="001326E6" w:rsidRPr="005145F0">
        <w:t xml:space="preserve"> </w:t>
      </w:r>
      <w:r w:rsidR="00E32F5D" w:rsidRPr="005145F0">
        <w:t>Many citizens have benefited minimally or not at all from the country’s development</w:t>
      </w:r>
      <w:r w:rsidR="00E32F5D">
        <w:t>, and e</w:t>
      </w:r>
      <w:r w:rsidR="00E56232" w:rsidRPr="005145F0">
        <w:t>nvironment</w:t>
      </w:r>
      <w:r w:rsidR="001326E6" w:rsidRPr="005145F0">
        <w:t>al</w:t>
      </w:r>
      <w:r w:rsidR="00E56232" w:rsidRPr="005145F0">
        <w:t xml:space="preserve"> vulnerability</w:t>
      </w:r>
      <w:r w:rsidR="00842A4B" w:rsidRPr="005145F0">
        <w:t xml:space="preserve"> has exacerbated </w:t>
      </w:r>
      <w:r w:rsidR="000821ED" w:rsidRPr="005145F0">
        <w:t>poverty</w:t>
      </w:r>
      <w:r w:rsidR="00842A4B" w:rsidRPr="005145F0">
        <w:t xml:space="preserve"> in certain regions</w:t>
      </w:r>
      <w:r w:rsidR="006A422D" w:rsidRPr="005145F0">
        <w:t>.</w:t>
      </w:r>
      <w:r w:rsidR="00DF2430" w:rsidRPr="005145F0">
        <w:t xml:space="preserve"> </w:t>
      </w:r>
      <w:r w:rsidR="00612609" w:rsidRPr="005145F0">
        <w:t>T</w:t>
      </w:r>
      <w:r w:rsidR="000821ED" w:rsidRPr="005145F0">
        <w:t xml:space="preserve">hese issues are compounded by </w:t>
      </w:r>
      <w:r w:rsidR="00335202" w:rsidRPr="005145F0">
        <w:t>inadequate social protection</w:t>
      </w:r>
      <w:r w:rsidR="00612609" w:rsidRPr="005145F0">
        <w:t xml:space="preserve">. </w:t>
      </w:r>
      <w:r w:rsidR="001B1944">
        <w:t>The</w:t>
      </w:r>
      <w:r w:rsidR="001B1944" w:rsidRPr="005145F0">
        <w:t xml:space="preserve"> </w:t>
      </w:r>
      <w:r w:rsidR="001B1944" w:rsidRPr="00913E55">
        <w:t>deficient</w:t>
      </w:r>
      <w:r w:rsidR="001B1944" w:rsidRPr="005145F0">
        <w:t xml:space="preserve"> rule of law</w:t>
      </w:r>
      <w:r w:rsidR="001B1944">
        <w:t xml:space="preserve"> </w:t>
      </w:r>
      <w:r w:rsidR="001B1944" w:rsidRPr="005145F0">
        <w:t>imped</w:t>
      </w:r>
      <w:r w:rsidR="001B1944">
        <w:t>es</w:t>
      </w:r>
      <w:r w:rsidR="001B1944" w:rsidRPr="005145F0">
        <w:t xml:space="preserve"> economic growth, resource mobilization and development management</w:t>
      </w:r>
      <w:r w:rsidR="001B1944">
        <w:t xml:space="preserve">. The </w:t>
      </w:r>
      <w:r w:rsidR="001B1944" w:rsidRPr="005145F0">
        <w:t xml:space="preserve">justice system </w:t>
      </w:r>
      <w:r w:rsidR="001B1944">
        <w:t xml:space="preserve">is weak </w:t>
      </w:r>
      <w:r w:rsidR="001B1944" w:rsidRPr="005145F0">
        <w:t xml:space="preserve">and </w:t>
      </w:r>
      <w:r w:rsidR="001B1944">
        <w:t>largely</w:t>
      </w:r>
      <w:r w:rsidR="001B1944" w:rsidRPr="005145F0">
        <w:t xml:space="preserve"> </w:t>
      </w:r>
      <w:r w:rsidR="001B1944">
        <w:t>in</w:t>
      </w:r>
      <w:r w:rsidR="001B1944" w:rsidRPr="005145F0">
        <w:t>access</w:t>
      </w:r>
      <w:r w:rsidR="001B1944">
        <w:t>ible</w:t>
      </w:r>
      <w:r w:rsidR="001B1944" w:rsidRPr="005145F0">
        <w:t xml:space="preserve"> for vulnerable groups, particularly women and poor</w:t>
      </w:r>
      <w:r w:rsidR="001B1944">
        <w:t xml:space="preserve"> people. The</w:t>
      </w:r>
      <w:r w:rsidR="001B1944" w:rsidRPr="005145F0">
        <w:t xml:space="preserve"> uneven income distribution</w:t>
      </w:r>
      <w:r w:rsidR="001B1944">
        <w:t xml:space="preserve"> leads to variable economic growth</w:t>
      </w:r>
      <w:r w:rsidR="00DE64F2">
        <w:t>.</w:t>
      </w:r>
    </w:p>
    <w:p w14:paraId="67A4D6A9" w14:textId="77777777" w:rsidR="0035579E" w:rsidRPr="005145F0" w:rsidRDefault="0013385A" w:rsidP="00A419B7">
      <w:pPr>
        <w:pStyle w:val="ListParagraph"/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after="120"/>
        <w:ind w:right="1644" w:hanging="17"/>
        <w:jc w:val="both"/>
      </w:pPr>
      <w:r w:rsidRPr="005145F0">
        <w:t xml:space="preserve">As a </w:t>
      </w:r>
      <w:r w:rsidR="004B5B8A">
        <w:t>small island developing state</w:t>
      </w:r>
      <w:r w:rsidR="001769B4" w:rsidRPr="005145F0">
        <w:t xml:space="preserve">, </w:t>
      </w:r>
      <w:r w:rsidR="00A06091" w:rsidRPr="005145F0">
        <w:t>São Tomé and Príncipe</w:t>
      </w:r>
      <w:r w:rsidR="00A06091">
        <w:t xml:space="preserve"> </w:t>
      </w:r>
      <w:r w:rsidR="00027732">
        <w:t xml:space="preserve">(population 193,712) </w:t>
      </w:r>
      <w:r w:rsidR="00253853" w:rsidRPr="005145F0">
        <w:t>is particularly vulnerable</w:t>
      </w:r>
      <w:r w:rsidR="001769B4" w:rsidRPr="005145F0">
        <w:t xml:space="preserve"> to climate change. </w:t>
      </w:r>
      <w:r w:rsidR="00586FA8" w:rsidRPr="005145F0">
        <w:t>The country’s economy revolves around agriculture and fishing</w:t>
      </w:r>
      <w:r w:rsidR="00A06091">
        <w:t xml:space="preserve">, which employ 19 </w:t>
      </w:r>
      <w:r w:rsidR="00BF1EB3">
        <w:t>per cent</w:t>
      </w:r>
      <w:r w:rsidR="00A06091">
        <w:t xml:space="preserve"> of the population (25 </w:t>
      </w:r>
      <w:r w:rsidR="00BF1EB3">
        <w:t>per cent</w:t>
      </w:r>
      <w:r w:rsidR="00A06091">
        <w:t xml:space="preserve"> of men and 8 </w:t>
      </w:r>
      <w:r w:rsidR="00BF1EB3">
        <w:t>per cent</w:t>
      </w:r>
      <w:r w:rsidR="00A06091">
        <w:t xml:space="preserve"> of women)</w:t>
      </w:r>
      <w:r w:rsidR="00E32F5D">
        <w:t>,</w:t>
      </w:r>
      <w:r w:rsidR="00A06091">
        <w:t xml:space="preserve"> </w:t>
      </w:r>
      <w:r w:rsidR="00E32F5D">
        <w:t>and</w:t>
      </w:r>
      <w:r w:rsidR="00A06091">
        <w:t xml:space="preserve"> </w:t>
      </w:r>
      <w:r w:rsidR="00EF64FA" w:rsidRPr="005145F0">
        <w:t>both</w:t>
      </w:r>
      <w:r w:rsidR="00A06091">
        <w:t xml:space="preserve"> are </w:t>
      </w:r>
      <w:r w:rsidR="00586FA8" w:rsidRPr="005145F0">
        <w:t>highly vulnerable to climate change</w:t>
      </w:r>
      <w:r w:rsidR="00A06091">
        <w:t>.</w:t>
      </w:r>
      <w:r w:rsidR="00C43C7A" w:rsidRPr="005145F0">
        <w:rPr>
          <w:rStyle w:val="FootnoteReference"/>
        </w:rPr>
        <w:footnoteReference w:id="5"/>
      </w:r>
      <w:r w:rsidR="00586FA8" w:rsidRPr="005145F0">
        <w:t> </w:t>
      </w:r>
      <w:r w:rsidR="00827F90" w:rsidRPr="005145F0">
        <w:t>S</w:t>
      </w:r>
      <w:r w:rsidR="00BD4CDF" w:rsidRPr="005145F0">
        <w:t>mall</w:t>
      </w:r>
      <w:r w:rsidR="00A06091">
        <w:t>-scale</w:t>
      </w:r>
      <w:r w:rsidR="00BD4CDF" w:rsidRPr="005145F0">
        <w:t xml:space="preserve"> farmers, traders of agricultural products</w:t>
      </w:r>
      <w:r w:rsidR="00CA1963" w:rsidRPr="005145F0">
        <w:t xml:space="preserve"> (</w:t>
      </w:r>
      <w:r w:rsidR="00BD4CDF" w:rsidRPr="005145F0">
        <w:t>women</w:t>
      </w:r>
      <w:r w:rsidR="00CA1963" w:rsidRPr="005145F0">
        <w:t xml:space="preserve"> and young girls)</w:t>
      </w:r>
      <w:r w:rsidR="00BD4CDF" w:rsidRPr="005145F0">
        <w:t xml:space="preserve"> and fisher</w:t>
      </w:r>
      <w:r w:rsidR="00E32F5D">
        <w:t>folk</w:t>
      </w:r>
      <w:r w:rsidR="008C71C2" w:rsidRPr="005145F0">
        <w:t xml:space="preserve"> </w:t>
      </w:r>
      <w:r w:rsidR="00827F90" w:rsidRPr="005145F0">
        <w:t>are</w:t>
      </w:r>
      <w:r w:rsidR="00A06091">
        <w:t xml:space="preserve"> the</w:t>
      </w:r>
      <w:r w:rsidR="00827F90" w:rsidRPr="005145F0">
        <w:t xml:space="preserve"> most vulnerable</w:t>
      </w:r>
      <w:r w:rsidR="00BD4CDF" w:rsidRPr="005145F0">
        <w:t xml:space="preserve">. </w:t>
      </w:r>
      <w:r w:rsidR="006C64B1">
        <w:t>The Transformation Agenda</w:t>
      </w:r>
      <w:r w:rsidR="00586FA8" w:rsidRPr="005145F0">
        <w:t xml:space="preserve"> </w:t>
      </w:r>
      <w:r w:rsidR="000637A9">
        <w:t>calls for</w:t>
      </w:r>
      <w:r w:rsidR="000637A9" w:rsidRPr="005145F0">
        <w:t xml:space="preserve"> </w:t>
      </w:r>
      <w:r w:rsidR="007E06BA" w:rsidRPr="005145F0">
        <w:t>optimizing</w:t>
      </w:r>
      <w:r w:rsidR="00586FA8" w:rsidRPr="005145F0">
        <w:t xml:space="preserve"> the potential of these two sectors to </w:t>
      </w:r>
      <w:r w:rsidR="007E06BA" w:rsidRPr="005145F0">
        <w:t>tackle poverty</w:t>
      </w:r>
      <w:r w:rsidR="00DD4D18" w:rsidRPr="005145F0">
        <w:t xml:space="preserve">, increase economic growth and </w:t>
      </w:r>
      <w:r w:rsidR="00BD4CDF" w:rsidRPr="005145F0">
        <w:t xml:space="preserve">green </w:t>
      </w:r>
      <w:r w:rsidR="00586FA8" w:rsidRPr="005145F0">
        <w:t>employment opportunities</w:t>
      </w:r>
      <w:r w:rsidR="00827F90" w:rsidRPr="005145F0">
        <w:t xml:space="preserve">, </w:t>
      </w:r>
      <w:r w:rsidR="00DD4D18" w:rsidRPr="005145F0">
        <w:t xml:space="preserve">and </w:t>
      </w:r>
      <w:r w:rsidR="00882931" w:rsidRPr="005145F0">
        <w:t>reduce</w:t>
      </w:r>
      <w:r w:rsidR="00827F90" w:rsidRPr="005145F0">
        <w:t xml:space="preserve"> the negative impact of climate change</w:t>
      </w:r>
      <w:r w:rsidR="00DE5E95" w:rsidRPr="005145F0">
        <w:t>.</w:t>
      </w:r>
      <w:r w:rsidR="00DE5E95" w:rsidRPr="005145F0" w:rsidDel="001769B4">
        <w:t xml:space="preserve"> </w:t>
      </w:r>
      <w:r w:rsidR="000637A9">
        <w:t xml:space="preserve">The country’s </w:t>
      </w:r>
      <w:r w:rsidR="005145F0">
        <w:t>p</w:t>
      </w:r>
      <w:r w:rsidR="007E06BA" w:rsidRPr="005145F0">
        <w:t xml:space="preserve">artners are </w:t>
      </w:r>
      <w:r w:rsidR="00D07D65">
        <w:t xml:space="preserve">helping to </w:t>
      </w:r>
      <w:r w:rsidR="00CA0021" w:rsidRPr="005145F0">
        <w:t xml:space="preserve">develop </w:t>
      </w:r>
      <w:r w:rsidR="00D15C5B" w:rsidRPr="005145F0">
        <w:t>intervention</w:t>
      </w:r>
      <w:r w:rsidR="00EF64FA" w:rsidRPr="005145F0">
        <w:t xml:space="preserve">s </w:t>
      </w:r>
      <w:r w:rsidR="00D07D65">
        <w:t>to</w:t>
      </w:r>
      <w:r w:rsidR="00EF64FA" w:rsidRPr="005145F0">
        <w:t xml:space="preserve"> </w:t>
      </w:r>
      <w:r w:rsidR="00792F16" w:rsidRPr="005145F0">
        <w:t>manage disasters</w:t>
      </w:r>
      <w:r w:rsidR="002A7703">
        <w:t>; for example,</w:t>
      </w:r>
      <w:r w:rsidR="00D15C5B" w:rsidRPr="005145F0">
        <w:t xml:space="preserve"> the World Bank </w:t>
      </w:r>
      <w:r w:rsidR="002A7703">
        <w:t xml:space="preserve">is supporting </w:t>
      </w:r>
      <w:r w:rsidR="007E06BA" w:rsidRPr="005145F0">
        <w:t xml:space="preserve">coastal zone </w:t>
      </w:r>
      <w:r w:rsidR="00D15C5B" w:rsidRPr="005145F0">
        <w:t>management</w:t>
      </w:r>
      <w:r w:rsidR="00D07D65">
        <w:t>.</w:t>
      </w:r>
      <w:r w:rsidR="00D92375" w:rsidRPr="005145F0">
        <w:rPr>
          <w:rStyle w:val="FootnoteReference"/>
        </w:rPr>
        <w:footnoteReference w:id="6"/>
      </w:r>
      <w:r w:rsidR="00D15C5B" w:rsidRPr="005145F0">
        <w:t xml:space="preserve"> </w:t>
      </w:r>
      <w:r w:rsidR="00D07D65" w:rsidRPr="005145F0">
        <w:t>São Tomé and Príncipe</w:t>
      </w:r>
      <w:r w:rsidR="00D07D65">
        <w:t xml:space="preserve"> </w:t>
      </w:r>
      <w:r w:rsidR="00586FA8" w:rsidRPr="005145F0">
        <w:t>has impo</w:t>
      </w:r>
      <w:r w:rsidR="00464DEB" w:rsidRPr="005145F0">
        <w:t>r</w:t>
      </w:r>
      <w:r w:rsidR="00586FA8" w:rsidRPr="005145F0">
        <w:t xml:space="preserve">tant hydropower potential, </w:t>
      </w:r>
      <w:r w:rsidR="00253853" w:rsidRPr="005145F0">
        <w:t>providing</w:t>
      </w:r>
      <w:r w:rsidR="00586FA8" w:rsidRPr="005145F0">
        <w:t xml:space="preserve"> an opportunity </w:t>
      </w:r>
      <w:r w:rsidR="00464DEB" w:rsidRPr="005145F0">
        <w:t>to increase</w:t>
      </w:r>
      <w:r w:rsidR="00586FA8" w:rsidRPr="005145F0">
        <w:t xml:space="preserve"> renewable energy</w:t>
      </w:r>
      <w:r w:rsidR="00464DEB" w:rsidRPr="005145F0">
        <w:t xml:space="preserve"> production</w:t>
      </w:r>
      <w:r w:rsidR="00586FA8" w:rsidRPr="005145F0">
        <w:t xml:space="preserve"> </w:t>
      </w:r>
      <w:r w:rsidR="00D07D65">
        <w:t>and</w:t>
      </w:r>
      <w:r w:rsidR="00D07D65" w:rsidRPr="005145F0">
        <w:t xml:space="preserve"> </w:t>
      </w:r>
      <w:r w:rsidR="00792F16" w:rsidRPr="005145F0">
        <w:t>reduc</w:t>
      </w:r>
      <w:r w:rsidR="00D07D65">
        <w:t xml:space="preserve">e </w:t>
      </w:r>
      <w:r w:rsidR="00586FA8" w:rsidRPr="005145F0">
        <w:t xml:space="preserve">government </w:t>
      </w:r>
      <w:r w:rsidR="004B5B8A">
        <w:t>expenditure</w:t>
      </w:r>
      <w:r w:rsidR="00586FA8" w:rsidRPr="005145F0">
        <w:t xml:space="preserve"> on imported fuel for electricity</w:t>
      </w:r>
      <w:r w:rsidR="00D07D65">
        <w:t>.</w:t>
      </w:r>
      <w:r w:rsidR="00586FA8" w:rsidRPr="005145F0">
        <w:rPr>
          <w:rStyle w:val="FootnoteReference"/>
        </w:rPr>
        <w:footnoteReference w:id="7"/>
      </w:r>
      <w:r w:rsidR="00586FA8" w:rsidRPr="005145F0">
        <w:t xml:space="preserve"> </w:t>
      </w:r>
    </w:p>
    <w:p w14:paraId="39CBEEFB" w14:textId="77777777" w:rsidR="008F098C" w:rsidRPr="005145F0" w:rsidRDefault="006C64B1" w:rsidP="00A419B7">
      <w:pPr>
        <w:pStyle w:val="ListParagraph"/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after="120"/>
        <w:ind w:right="1644" w:hanging="17"/>
        <w:jc w:val="both"/>
      </w:pPr>
      <w:r>
        <w:t>The Transformation Agenda</w:t>
      </w:r>
      <w:r w:rsidR="00870DDA" w:rsidRPr="005145F0">
        <w:t xml:space="preserve"> </w:t>
      </w:r>
      <w:r w:rsidR="00D04CEC" w:rsidRPr="005145F0">
        <w:t>highlights how</w:t>
      </w:r>
      <w:r w:rsidR="00870DDA" w:rsidRPr="005145F0">
        <w:t xml:space="preserve"> </w:t>
      </w:r>
      <w:r w:rsidR="00D07D65">
        <w:t xml:space="preserve">inadequate </w:t>
      </w:r>
      <w:r w:rsidR="00D32E62">
        <w:t xml:space="preserve">rule of law </w:t>
      </w:r>
      <w:r w:rsidR="00870DDA" w:rsidRPr="005145F0">
        <w:t>discourage</w:t>
      </w:r>
      <w:r w:rsidR="00D07D65">
        <w:t>s</w:t>
      </w:r>
      <w:r w:rsidR="00870DDA" w:rsidRPr="005145F0">
        <w:t xml:space="preserve"> </w:t>
      </w:r>
      <w:r w:rsidR="0073419C" w:rsidRPr="005145F0">
        <w:t xml:space="preserve">resource mobilization, </w:t>
      </w:r>
      <w:r w:rsidR="00870DDA" w:rsidRPr="005145F0">
        <w:t>foreign investment</w:t>
      </w:r>
      <w:r w:rsidR="0073419C" w:rsidRPr="005145F0">
        <w:t xml:space="preserve"> and economic development</w:t>
      </w:r>
      <w:r w:rsidR="00870DDA" w:rsidRPr="005145F0">
        <w:t xml:space="preserve">. </w:t>
      </w:r>
      <w:r w:rsidR="007E5B2D" w:rsidRPr="005145F0">
        <w:t xml:space="preserve">Although the </w:t>
      </w:r>
      <w:r w:rsidR="00026AE3" w:rsidRPr="005145F0">
        <w:t xml:space="preserve">2015 </w:t>
      </w:r>
      <w:r w:rsidR="007E5B2D" w:rsidRPr="005145F0">
        <w:t>Mo Ibrahim</w:t>
      </w:r>
      <w:r w:rsidR="00DD182C" w:rsidRPr="005145F0">
        <w:t xml:space="preserve"> G</w:t>
      </w:r>
      <w:r w:rsidR="007E5B2D" w:rsidRPr="005145F0">
        <w:t xml:space="preserve">overnance Index ranked </w:t>
      </w:r>
      <w:r w:rsidR="00D07D65">
        <w:t xml:space="preserve">the country </w:t>
      </w:r>
      <w:r w:rsidR="007E5B2D" w:rsidRPr="005145F0">
        <w:t>13</w:t>
      </w:r>
      <w:r w:rsidR="00D07D65">
        <w:rPr>
          <w:vertAlign w:val="superscript"/>
        </w:rPr>
        <w:t xml:space="preserve"> </w:t>
      </w:r>
      <w:r w:rsidR="00D07D65">
        <w:t xml:space="preserve">out </w:t>
      </w:r>
      <w:r w:rsidR="007E5B2D" w:rsidRPr="005145F0">
        <w:t>of 54 African countries</w:t>
      </w:r>
      <w:r w:rsidR="00D04CEC" w:rsidRPr="005145F0">
        <w:t xml:space="preserve">, </w:t>
      </w:r>
      <w:r w:rsidR="0073419C" w:rsidRPr="005145F0">
        <w:t>public finance management is</w:t>
      </w:r>
      <w:r w:rsidR="00D04CEC" w:rsidRPr="005145F0">
        <w:t xml:space="preserve"> </w:t>
      </w:r>
      <w:r w:rsidR="001530B7">
        <w:t xml:space="preserve">not </w:t>
      </w:r>
      <w:r w:rsidR="0048142F">
        <w:t>fully transparent</w:t>
      </w:r>
      <w:r w:rsidR="00D07D65">
        <w:t>,</w:t>
      </w:r>
      <w:r w:rsidR="0048142F" w:rsidRPr="005145F0">
        <w:t xml:space="preserve"> </w:t>
      </w:r>
      <w:r w:rsidR="00870DDA" w:rsidRPr="005145F0">
        <w:t xml:space="preserve">and </w:t>
      </w:r>
      <w:r w:rsidR="0073419C" w:rsidRPr="005145F0">
        <w:t xml:space="preserve">the lack of </w:t>
      </w:r>
      <w:r w:rsidR="004712E5" w:rsidRPr="005145F0">
        <w:t>c</w:t>
      </w:r>
      <w:r w:rsidR="0073419C" w:rsidRPr="005145F0">
        <w:t>itizen involvement</w:t>
      </w:r>
      <w:r w:rsidR="00D04CEC" w:rsidRPr="005145F0">
        <w:t xml:space="preserve"> </w:t>
      </w:r>
      <w:r w:rsidR="0073419C" w:rsidRPr="005145F0">
        <w:t>impedes</w:t>
      </w:r>
      <w:r w:rsidR="004712E5" w:rsidRPr="005145F0">
        <w:t xml:space="preserve"> </w:t>
      </w:r>
      <w:r w:rsidR="00870DDA" w:rsidRPr="005145F0">
        <w:lastRenderedPageBreak/>
        <w:t>improve</w:t>
      </w:r>
      <w:r w:rsidR="00D07D65">
        <w:t>ments to</w:t>
      </w:r>
      <w:r w:rsidR="00870DDA" w:rsidRPr="005145F0">
        <w:t xml:space="preserve"> </w:t>
      </w:r>
      <w:r w:rsidR="0073419C" w:rsidRPr="005145F0">
        <w:t xml:space="preserve">information and service </w:t>
      </w:r>
      <w:r w:rsidR="00870DDA" w:rsidRPr="005145F0">
        <w:t>acces</w:t>
      </w:r>
      <w:r w:rsidR="004712E5" w:rsidRPr="005145F0">
        <w:t xml:space="preserve">s. These issues are directly </w:t>
      </w:r>
      <w:r w:rsidR="00870DDA" w:rsidRPr="005145F0">
        <w:t xml:space="preserve">related to </w:t>
      </w:r>
      <w:r w:rsidR="00E62BE9">
        <w:t xml:space="preserve">the </w:t>
      </w:r>
      <w:r w:rsidR="00D04CEC" w:rsidRPr="005145F0">
        <w:t xml:space="preserve">inequitable </w:t>
      </w:r>
      <w:r w:rsidR="00145BAD">
        <w:t xml:space="preserve">distribution of </w:t>
      </w:r>
      <w:r w:rsidR="00D07D65">
        <w:t xml:space="preserve">the country’s </w:t>
      </w:r>
      <w:r w:rsidR="00145BAD">
        <w:t>economic infrastructure</w:t>
      </w:r>
      <w:r w:rsidR="00870DDA" w:rsidRPr="005145F0">
        <w:t xml:space="preserve">. </w:t>
      </w:r>
      <w:r w:rsidR="00DD182C" w:rsidRPr="005145F0">
        <w:t xml:space="preserve">Principal obstacles to </w:t>
      </w:r>
      <w:r w:rsidR="00236130" w:rsidRPr="005145F0">
        <w:t xml:space="preserve">establishing </w:t>
      </w:r>
      <w:r w:rsidR="00D07D65">
        <w:t xml:space="preserve">the </w:t>
      </w:r>
      <w:r w:rsidR="00DD182C" w:rsidRPr="005145F0">
        <w:t xml:space="preserve">rule of law are </w:t>
      </w:r>
      <w:r w:rsidR="0048142F">
        <w:t>impunity</w:t>
      </w:r>
      <w:r w:rsidR="00D07D65">
        <w:t xml:space="preserve"> for crimes</w:t>
      </w:r>
      <w:r w:rsidR="0048142F">
        <w:t xml:space="preserve"> </w:t>
      </w:r>
      <w:r w:rsidR="00913E55" w:rsidRPr="005145F0">
        <w:t>and</w:t>
      </w:r>
      <w:r w:rsidR="00870DDA" w:rsidRPr="005145F0">
        <w:t xml:space="preserve"> </w:t>
      </w:r>
      <w:r w:rsidR="00D04CEC" w:rsidRPr="005145F0">
        <w:t>a</w:t>
      </w:r>
      <w:r w:rsidR="00870DDA" w:rsidRPr="005145F0">
        <w:t xml:space="preserve"> </w:t>
      </w:r>
      <w:r w:rsidR="00687AE7">
        <w:t>weak</w:t>
      </w:r>
      <w:r w:rsidR="00870DDA" w:rsidRPr="005145F0">
        <w:t xml:space="preserve"> justice system</w:t>
      </w:r>
      <w:r w:rsidR="009D255C" w:rsidRPr="005145F0">
        <w:t>.</w:t>
      </w:r>
    </w:p>
    <w:p w14:paraId="5F9BE800" w14:textId="77777777" w:rsidR="00913E55" w:rsidRPr="009E29E1" w:rsidRDefault="00687AE7" w:rsidP="00A419B7">
      <w:pPr>
        <w:pStyle w:val="ListParagraph"/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after="120"/>
        <w:ind w:right="1644" w:hanging="17"/>
        <w:jc w:val="both"/>
      </w:pPr>
      <w:r>
        <w:t>The 201</w:t>
      </w:r>
      <w:r w:rsidR="004D3C10">
        <w:t>4</w:t>
      </w:r>
      <w:r>
        <w:t xml:space="preserve"> </w:t>
      </w:r>
      <w:r w:rsidR="003552B8">
        <w:t>m</w:t>
      </w:r>
      <w:r>
        <w:t>id</w:t>
      </w:r>
      <w:r w:rsidR="003552B8">
        <w:t>t</w:t>
      </w:r>
      <w:r>
        <w:t xml:space="preserve">erm </w:t>
      </w:r>
      <w:r w:rsidR="003552B8">
        <w:t>e</w:t>
      </w:r>
      <w:r>
        <w:t xml:space="preserve">valuation of the </w:t>
      </w:r>
      <w:r w:rsidR="004D3C10">
        <w:t>current p</w:t>
      </w:r>
      <w:r>
        <w:t>rogramme highlight</w:t>
      </w:r>
      <w:r w:rsidR="00E32F5D">
        <w:t>ed</w:t>
      </w:r>
      <w:r>
        <w:t xml:space="preserve"> the</w:t>
      </w:r>
      <w:r w:rsidR="008F098C" w:rsidRPr="005145F0">
        <w:t xml:space="preserve"> inefficient delivery of</w:t>
      </w:r>
      <w:r w:rsidR="006A422D" w:rsidRPr="005145F0">
        <w:t xml:space="preserve"> public services</w:t>
      </w:r>
      <w:r w:rsidR="00D07D65">
        <w:t>. Poor operational capacity by non-governmental organizations</w:t>
      </w:r>
      <w:r w:rsidR="006A422D" w:rsidRPr="005145F0">
        <w:t xml:space="preserve"> </w:t>
      </w:r>
      <w:r w:rsidR="00E32F5D">
        <w:t xml:space="preserve">(NGOs) </w:t>
      </w:r>
      <w:r w:rsidR="002B3D8A">
        <w:t xml:space="preserve">and </w:t>
      </w:r>
      <w:r w:rsidR="00D07D65">
        <w:t>the</w:t>
      </w:r>
      <w:r w:rsidR="009975C0" w:rsidRPr="005145F0">
        <w:t xml:space="preserve"> private sector are</w:t>
      </w:r>
      <w:r w:rsidR="006A422D" w:rsidRPr="005145F0">
        <w:t xml:space="preserve"> </w:t>
      </w:r>
      <w:r w:rsidR="008F098C" w:rsidRPr="005145F0">
        <w:t xml:space="preserve">due to </w:t>
      </w:r>
      <w:r w:rsidR="004F7AD6" w:rsidRPr="005145F0">
        <w:t>weak</w:t>
      </w:r>
      <w:r w:rsidR="008F098C" w:rsidRPr="005145F0">
        <w:t xml:space="preserve"> national institutions</w:t>
      </w:r>
      <w:r w:rsidR="006A422D" w:rsidRPr="005145F0">
        <w:t xml:space="preserve"> </w:t>
      </w:r>
      <w:r w:rsidR="008F098C" w:rsidRPr="005145F0">
        <w:t>and</w:t>
      </w:r>
      <w:r w:rsidR="006A422D" w:rsidRPr="005145F0">
        <w:t xml:space="preserve"> low</w:t>
      </w:r>
      <w:r w:rsidR="00390B73" w:rsidRPr="005145F0">
        <w:t xml:space="preserve"> </w:t>
      </w:r>
      <w:r w:rsidR="008F098C" w:rsidRPr="005145F0">
        <w:t xml:space="preserve">public </w:t>
      </w:r>
      <w:r w:rsidR="00390B73" w:rsidRPr="005145F0">
        <w:t>administration</w:t>
      </w:r>
      <w:r w:rsidR="006A422D" w:rsidRPr="005145F0">
        <w:t xml:space="preserve"> productivity at </w:t>
      </w:r>
      <w:r w:rsidR="00D04CEC" w:rsidRPr="005145F0">
        <w:t>all</w:t>
      </w:r>
      <w:r w:rsidR="006A422D" w:rsidRPr="005145F0">
        <w:t xml:space="preserve"> levels</w:t>
      </w:r>
      <w:r w:rsidR="00D07D65">
        <w:t xml:space="preserve">. This </w:t>
      </w:r>
      <w:r w:rsidR="008F098C" w:rsidRPr="005145F0">
        <w:t>severely hampers</w:t>
      </w:r>
      <w:r w:rsidR="006A422D" w:rsidRPr="005145F0">
        <w:t xml:space="preserve"> the </w:t>
      </w:r>
      <w:r w:rsidR="00390B73" w:rsidRPr="005145F0">
        <w:t>smooth</w:t>
      </w:r>
      <w:r w:rsidR="006A422D" w:rsidRPr="005145F0">
        <w:t xml:space="preserve"> functioning of </w:t>
      </w:r>
      <w:r w:rsidR="00D04CEC" w:rsidRPr="005145F0">
        <w:t>critical government and public a</w:t>
      </w:r>
      <w:r w:rsidR="00724296" w:rsidRPr="005145F0">
        <w:t>dministration functions</w:t>
      </w:r>
      <w:r w:rsidR="006A422D" w:rsidRPr="005145F0">
        <w:t xml:space="preserve">. </w:t>
      </w:r>
      <w:r w:rsidR="002B3D8A">
        <w:t xml:space="preserve">The report </w:t>
      </w:r>
      <w:r w:rsidR="00913E55">
        <w:t xml:space="preserve">also </w:t>
      </w:r>
      <w:r w:rsidR="00736AC7">
        <w:t>highlight</w:t>
      </w:r>
      <w:r w:rsidR="00E32F5D">
        <w:t>ed</w:t>
      </w:r>
      <w:r w:rsidR="00736AC7">
        <w:t xml:space="preserve"> the</w:t>
      </w:r>
      <w:r w:rsidR="00913E55">
        <w:t xml:space="preserve"> lack of relevant data due </w:t>
      </w:r>
      <w:r w:rsidR="00D07D65">
        <w:t xml:space="preserve">to </w:t>
      </w:r>
      <w:r w:rsidR="00E32F5D">
        <w:t>inadequate</w:t>
      </w:r>
      <w:r w:rsidR="00913E55">
        <w:t xml:space="preserve"> capacity of the National Statistics Inst</w:t>
      </w:r>
      <w:r w:rsidR="002C4C14">
        <w:t>it</w:t>
      </w:r>
      <w:r w:rsidR="00913E55">
        <w:t xml:space="preserve">ute to carry </w:t>
      </w:r>
      <w:r w:rsidR="00736AC7">
        <w:t>out</w:t>
      </w:r>
      <w:r w:rsidR="00913E55">
        <w:t xml:space="preserve"> some surveys. </w:t>
      </w:r>
      <w:r w:rsidR="00913E55" w:rsidRPr="009E29E1">
        <w:t xml:space="preserve">The </w:t>
      </w:r>
      <w:r w:rsidR="00E32F5D">
        <w:t>G</w:t>
      </w:r>
      <w:r w:rsidR="00913E55" w:rsidRPr="009E29E1">
        <w:t>overnment has a social protection strategy in place (Law 07/2004)</w:t>
      </w:r>
      <w:r w:rsidR="002B3D8A">
        <w:t xml:space="preserve"> </w:t>
      </w:r>
      <w:r w:rsidR="00913E55" w:rsidRPr="009E29E1">
        <w:t xml:space="preserve">but its implementation is lagging due to lack of financial resources. </w:t>
      </w:r>
    </w:p>
    <w:p w14:paraId="7B203983" w14:textId="2254370D" w:rsidR="00D07D65" w:rsidRDefault="00D04CEC" w:rsidP="00A419B7">
      <w:pPr>
        <w:pStyle w:val="ListParagraph"/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after="120"/>
        <w:ind w:right="1644" w:hanging="17"/>
        <w:jc w:val="both"/>
      </w:pPr>
      <w:r w:rsidRPr="005145F0">
        <w:t>Interventions against endemic diseases have been very effective</w:t>
      </w:r>
      <w:r w:rsidR="00042384" w:rsidRPr="005145F0">
        <w:t>. F</w:t>
      </w:r>
      <w:r w:rsidR="00DD32DF" w:rsidRPr="005145F0">
        <w:t xml:space="preserve">or three </w:t>
      </w:r>
      <w:r w:rsidRPr="005145F0">
        <w:t xml:space="preserve">consecutive </w:t>
      </w:r>
      <w:r w:rsidR="00DD32DF" w:rsidRPr="005145F0">
        <w:t xml:space="preserve">years, </w:t>
      </w:r>
      <w:r w:rsidR="00D07D65" w:rsidRPr="005145F0">
        <w:t>São Tomé and Príncipe</w:t>
      </w:r>
      <w:r w:rsidR="00D07D65">
        <w:t xml:space="preserve"> </w:t>
      </w:r>
      <w:r w:rsidR="00AF0BF7" w:rsidRPr="005145F0">
        <w:t>received</w:t>
      </w:r>
      <w:r w:rsidR="00DD32DF" w:rsidRPr="005145F0">
        <w:t xml:space="preserve"> the African Leaders Malaria Alliance Award for excellence </w:t>
      </w:r>
      <w:r w:rsidR="00556DDF" w:rsidRPr="005145F0">
        <w:t>in</w:t>
      </w:r>
      <w:r w:rsidR="00DD32DF" w:rsidRPr="005145F0">
        <w:t xml:space="preserve"> achieving </w:t>
      </w:r>
      <w:r w:rsidR="00D07D65">
        <w:t xml:space="preserve">Millennium Development Goal </w:t>
      </w:r>
      <w:r w:rsidR="004B5B8A">
        <w:t xml:space="preserve">6 </w:t>
      </w:r>
      <w:r w:rsidR="00DD32DF" w:rsidRPr="005145F0">
        <w:t>on malaria</w:t>
      </w:r>
      <w:r w:rsidR="00D07D65">
        <w:t>.</w:t>
      </w:r>
      <w:r w:rsidR="00DD32DF" w:rsidRPr="005145F0">
        <w:rPr>
          <w:rStyle w:val="FootnoteReference"/>
        </w:rPr>
        <w:footnoteReference w:id="8"/>
      </w:r>
      <w:r w:rsidR="00DD32DF" w:rsidRPr="005145F0">
        <w:t xml:space="preserve"> </w:t>
      </w:r>
      <w:r w:rsidR="0073419C" w:rsidRPr="005145F0">
        <w:t>UNDP</w:t>
      </w:r>
      <w:r w:rsidR="004B5B8A">
        <w:t>’s</w:t>
      </w:r>
      <w:r w:rsidR="0073419C" w:rsidRPr="005145F0">
        <w:t xml:space="preserve"> support through the Global Fund </w:t>
      </w:r>
      <w:r w:rsidR="00D07D65">
        <w:t xml:space="preserve">to Fight AIDS, Tuberculosis and Malaria </w:t>
      </w:r>
      <w:r w:rsidR="00956345">
        <w:t xml:space="preserve">(the Global Fund) </w:t>
      </w:r>
      <w:r w:rsidR="00710C1E" w:rsidRPr="005145F0">
        <w:t xml:space="preserve">has helped reduce </w:t>
      </w:r>
      <w:r w:rsidR="0073419C" w:rsidRPr="005145F0">
        <w:t>malaria cases</w:t>
      </w:r>
      <w:r w:rsidR="00E32F5D">
        <w:t>, and</w:t>
      </w:r>
      <w:r w:rsidR="00D07D65">
        <w:t xml:space="preserve"> </w:t>
      </w:r>
      <w:r w:rsidR="0073419C" w:rsidRPr="005145F0">
        <w:t xml:space="preserve">no </w:t>
      </w:r>
      <w:r w:rsidR="00710C1E" w:rsidRPr="005145F0">
        <w:t xml:space="preserve">malaria </w:t>
      </w:r>
      <w:r w:rsidR="0073419C" w:rsidRPr="005145F0">
        <w:t xml:space="preserve">deaths </w:t>
      </w:r>
      <w:r w:rsidR="00D07D65">
        <w:t xml:space="preserve">have been reported </w:t>
      </w:r>
      <w:r w:rsidR="0073419C" w:rsidRPr="005145F0">
        <w:t xml:space="preserve">since 2014. </w:t>
      </w:r>
      <w:r w:rsidR="00D07D65">
        <w:t>M</w:t>
      </w:r>
      <w:r w:rsidR="00710C1E" w:rsidRPr="005145F0">
        <w:t>alaria is in a control phase</w:t>
      </w:r>
      <w:r w:rsidR="00221999">
        <w:t>,</w:t>
      </w:r>
      <w:r w:rsidR="00710C1E" w:rsidRPr="005145F0">
        <w:t xml:space="preserve"> with moderate transmission</w:t>
      </w:r>
      <w:r w:rsidR="00D07D65">
        <w:t xml:space="preserve"> and a rate of 9.3 cases per 1,000 inhabitants</w:t>
      </w:r>
      <w:r w:rsidR="00710C1E" w:rsidRPr="005145F0">
        <w:t>.</w:t>
      </w:r>
      <w:r w:rsidR="00D07D65">
        <w:rPr>
          <w:rStyle w:val="FootnoteReference"/>
        </w:rPr>
        <w:footnoteReference w:id="9"/>
      </w:r>
      <w:r w:rsidR="00710C1E" w:rsidRPr="005145F0">
        <w:t xml:space="preserve"> </w:t>
      </w:r>
      <w:r w:rsidR="0073419C" w:rsidRPr="005145F0">
        <w:t xml:space="preserve">Príncipe is in the pre-elimination stage and São Tomé </w:t>
      </w:r>
      <w:r w:rsidR="004B5B8A">
        <w:t xml:space="preserve">in </w:t>
      </w:r>
      <w:r w:rsidR="0073419C" w:rsidRPr="005145F0">
        <w:t>the consolidation phase.</w:t>
      </w:r>
      <w:r w:rsidR="000E23CF" w:rsidRPr="005145F0">
        <w:t xml:space="preserve"> </w:t>
      </w:r>
    </w:p>
    <w:p w14:paraId="1E4B5DEA" w14:textId="77777777" w:rsidR="00E13B58" w:rsidRPr="005145F0" w:rsidRDefault="00816F96" w:rsidP="00A419B7">
      <w:pPr>
        <w:pStyle w:val="ListParagraph"/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after="120"/>
        <w:ind w:right="1644" w:hanging="17"/>
        <w:jc w:val="both"/>
      </w:pPr>
      <w:r w:rsidRPr="005145F0">
        <w:t xml:space="preserve">There has been progress </w:t>
      </w:r>
      <w:r w:rsidR="00D07D65">
        <w:t xml:space="preserve">in </w:t>
      </w:r>
      <w:r w:rsidRPr="005145F0">
        <w:t>reducing HIV/AIDS infection rates</w:t>
      </w:r>
      <w:r w:rsidR="00D07D65">
        <w:t>,</w:t>
      </w:r>
      <w:r w:rsidRPr="005145F0">
        <w:t xml:space="preserve"> and </w:t>
      </w:r>
      <w:r w:rsidR="000E23CF" w:rsidRPr="005145F0">
        <w:t>HIV prevalence is low at 0.5</w:t>
      </w:r>
      <w:r w:rsidR="004B5B8A">
        <w:t xml:space="preserve"> </w:t>
      </w:r>
      <w:r w:rsidR="00BF1EB3">
        <w:t>per cent</w:t>
      </w:r>
      <w:r w:rsidR="00D07D65">
        <w:t>.</w:t>
      </w:r>
      <w:r w:rsidR="00637269" w:rsidRPr="005145F0">
        <w:rPr>
          <w:rStyle w:val="FootnoteReference"/>
        </w:rPr>
        <w:footnoteReference w:id="10"/>
      </w:r>
      <w:r w:rsidR="00D07D65">
        <w:t xml:space="preserve"> It is</w:t>
      </w:r>
      <w:r w:rsidR="00BC045C" w:rsidRPr="005145F0">
        <w:t xml:space="preserve"> </w:t>
      </w:r>
      <w:r w:rsidR="00F82914" w:rsidRPr="005145F0">
        <w:t>slightly</w:t>
      </w:r>
      <w:r w:rsidR="00BC045C" w:rsidRPr="005145F0">
        <w:t xml:space="preserve"> high</w:t>
      </w:r>
      <w:r w:rsidR="00390B73" w:rsidRPr="005145F0">
        <w:t>er</w:t>
      </w:r>
      <w:r w:rsidR="00BC045C" w:rsidRPr="005145F0">
        <w:t xml:space="preserve"> among female sex </w:t>
      </w:r>
      <w:r w:rsidR="00A9126D" w:rsidRPr="005145F0">
        <w:t>workers</w:t>
      </w:r>
      <w:r w:rsidR="00390B73" w:rsidRPr="005145F0">
        <w:t xml:space="preserve"> at</w:t>
      </w:r>
      <w:r w:rsidR="00A9126D" w:rsidRPr="005145F0">
        <w:t xml:space="preserve"> 1.1</w:t>
      </w:r>
      <w:r w:rsidR="004B5B8A">
        <w:t xml:space="preserve"> </w:t>
      </w:r>
      <w:r w:rsidR="00BF1EB3">
        <w:t>per cent</w:t>
      </w:r>
      <w:r w:rsidR="00D07D65">
        <w:t>.</w:t>
      </w:r>
      <w:r w:rsidR="00A9126D" w:rsidRPr="005145F0">
        <w:rPr>
          <w:rStyle w:val="FootnoteReference"/>
        </w:rPr>
        <w:footnoteReference w:id="11"/>
      </w:r>
      <w:r w:rsidRPr="005145F0">
        <w:t xml:space="preserve"> </w:t>
      </w:r>
      <w:r w:rsidR="00556DDF" w:rsidRPr="005145F0">
        <w:t>Although</w:t>
      </w:r>
      <w:r w:rsidR="00A01971" w:rsidRPr="005145F0">
        <w:t xml:space="preserve"> </w:t>
      </w:r>
      <w:r w:rsidR="00D07D65" w:rsidRPr="005145F0">
        <w:t>São Tomé and Príncipe</w:t>
      </w:r>
      <w:r w:rsidR="00D07D65">
        <w:t xml:space="preserve"> </w:t>
      </w:r>
      <w:r w:rsidR="0073419C" w:rsidRPr="005145F0">
        <w:rPr>
          <w:rStyle w:val="hps"/>
        </w:rPr>
        <w:t>has the</w:t>
      </w:r>
      <w:r w:rsidR="0073419C" w:rsidRPr="005145F0">
        <w:t xml:space="preserve"> </w:t>
      </w:r>
      <w:r w:rsidR="0073419C" w:rsidRPr="005145F0">
        <w:rPr>
          <w:rStyle w:val="hps"/>
        </w:rPr>
        <w:t>second</w:t>
      </w:r>
      <w:r w:rsidR="0073419C" w:rsidRPr="005145F0">
        <w:t xml:space="preserve"> </w:t>
      </w:r>
      <w:r w:rsidR="0073419C" w:rsidRPr="005145F0">
        <w:rPr>
          <w:rStyle w:val="hps"/>
        </w:rPr>
        <w:t>highest incidence</w:t>
      </w:r>
      <w:r w:rsidR="00E64366">
        <w:rPr>
          <w:rStyle w:val="hps"/>
        </w:rPr>
        <w:t xml:space="preserve"> of tuberculosis among similar islands in Africa</w:t>
      </w:r>
      <w:r w:rsidR="0073419C" w:rsidRPr="005145F0">
        <w:t xml:space="preserve"> </w:t>
      </w:r>
      <w:r w:rsidR="0073419C" w:rsidRPr="005145F0">
        <w:rPr>
          <w:rStyle w:val="hps"/>
        </w:rPr>
        <w:t>(</w:t>
      </w:r>
      <w:r w:rsidR="0073419C" w:rsidRPr="005145F0">
        <w:t>93 cases</w:t>
      </w:r>
      <w:r w:rsidR="00E64366">
        <w:t xml:space="preserve"> per </w:t>
      </w:r>
      <w:r w:rsidR="0073419C" w:rsidRPr="005145F0">
        <w:rPr>
          <w:rStyle w:val="hps"/>
        </w:rPr>
        <w:t>100</w:t>
      </w:r>
      <w:r w:rsidR="00556DDF" w:rsidRPr="005145F0">
        <w:rPr>
          <w:rStyle w:val="hps"/>
        </w:rPr>
        <w:t>,</w:t>
      </w:r>
      <w:r w:rsidR="0073419C" w:rsidRPr="005145F0">
        <w:rPr>
          <w:rStyle w:val="hps"/>
        </w:rPr>
        <w:t>000</w:t>
      </w:r>
      <w:r w:rsidR="00E64366">
        <w:rPr>
          <w:rStyle w:val="hps"/>
        </w:rPr>
        <w:t xml:space="preserve"> residents</w:t>
      </w:r>
      <w:r w:rsidR="0073419C" w:rsidRPr="005145F0">
        <w:rPr>
          <w:rStyle w:val="hps"/>
        </w:rPr>
        <w:t>)</w:t>
      </w:r>
      <w:r w:rsidR="00E64366">
        <w:rPr>
          <w:rStyle w:val="hps"/>
        </w:rPr>
        <w:t>,</w:t>
      </w:r>
      <w:r w:rsidR="0073419C" w:rsidRPr="005145F0">
        <w:rPr>
          <w:rStyle w:val="FootnoteReference"/>
        </w:rPr>
        <w:footnoteReference w:id="12"/>
      </w:r>
      <w:r w:rsidR="0073419C" w:rsidRPr="005145F0">
        <w:t xml:space="preserve"> </w:t>
      </w:r>
      <w:r w:rsidR="00556DDF" w:rsidRPr="005145F0">
        <w:t>m</w:t>
      </w:r>
      <w:r w:rsidR="00BA1498" w:rsidRPr="005145F0">
        <w:t>orbidity</w:t>
      </w:r>
      <w:r w:rsidR="00E13B58" w:rsidRPr="005145F0">
        <w:t xml:space="preserve"> and</w:t>
      </w:r>
      <w:r w:rsidR="0039735C" w:rsidRPr="005145F0">
        <w:t xml:space="preserve"> mortality have</w:t>
      </w:r>
      <w:r w:rsidR="00E13B58" w:rsidRPr="005145F0">
        <w:t xml:space="preserve"> declined and screening </w:t>
      </w:r>
      <w:r w:rsidR="00E64366">
        <w:t xml:space="preserve">has </w:t>
      </w:r>
      <w:r w:rsidR="00E13B58" w:rsidRPr="005145F0">
        <w:t xml:space="preserve">improved due to </w:t>
      </w:r>
      <w:r w:rsidR="00516199" w:rsidRPr="005145F0">
        <w:t xml:space="preserve">laboratory </w:t>
      </w:r>
      <w:r w:rsidR="00A01971" w:rsidRPr="005145F0">
        <w:t>upgrading</w:t>
      </w:r>
      <w:r w:rsidR="00E13B58" w:rsidRPr="005145F0">
        <w:t xml:space="preserve">. UNDP has an </w:t>
      </w:r>
      <w:r w:rsidR="00390B73" w:rsidRPr="005145F0">
        <w:t xml:space="preserve">opportunity to </w:t>
      </w:r>
      <w:r w:rsidR="00A01971" w:rsidRPr="005145F0">
        <w:t>build on</w:t>
      </w:r>
      <w:r w:rsidR="00390B73" w:rsidRPr="005145F0">
        <w:t xml:space="preserve"> the</w:t>
      </w:r>
      <w:r w:rsidR="00A01971" w:rsidRPr="005145F0">
        <w:t>se</w:t>
      </w:r>
      <w:r w:rsidR="00E13B58" w:rsidRPr="005145F0">
        <w:t xml:space="preserve"> results and enhance national ownership.  </w:t>
      </w:r>
    </w:p>
    <w:p w14:paraId="4C5E8F48" w14:textId="77777777" w:rsidR="00306B25" w:rsidRPr="005145F0" w:rsidRDefault="00516199" w:rsidP="00A419B7">
      <w:pPr>
        <w:pStyle w:val="ListParagraph"/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after="120"/>
        <w:ind w:right="1644" w:hanging="17"/>
        <w:jc w:val="both"/>
      </w:pPr>
      <w:r w:rsidRPr="005145F0">
        <w:t>T</w:t>
      </w:r>
      <w:r w:rsidR="008C1CE1" w:rsidRPr="005145F0">
        <w:t>he 2015 Assessment of Development Results</w:t>
      </w:r>
      <w:r w:rsidRPr="005145F0">
        <w:t xml:space="preserve"> (ADR) revealed that</w:t>
      </w:r>
      <w:r w:rsidR="008C1CE1" w:rsidRPr="005145F0">
        <w:t xml:space="preserve"> UNDP</w:t>
      </w:r>
      <w:r w:rsidR="00DF5F1B" w:rsidRPr="005145F0">
        <w:t xml:space="preserve"> made significant contributions</w:t>
      </w:r>
      <w:r w:rsidR="00DF5F1B" w:rsidRPr="005145F0" w:rsidDel="00CC70B0">
        <w:t xml:space="preserve"> </w:t>
      </w:r>
      <w:r w:rsidR="00FD6992" w:rsidRPr="005145F0">
        <w:t xml:space="preserve">in </w:t>
      </w:r>
      <w:r w:rsidR="005148F8" w:rsidRPr="005145F0">
        <w:t xml:space="preserve">the </w:t>
      </w:r>
      <w:r w:rsidR="004151A6" w:rsidRPr="005145F0">
        <w:t xml:space="preserve">three </w:t>
      </w:r>
      <w:r w:rsidR="00556DDF" w:rsidRPr="005145F0">
        <w:t>principal intervention</w:t>
      </w:r>
      <w:r w:rsidR="004151A6" w:rsidRPr="005145F0">
        <w:t xml:space="preserve"> </w:t>
      </w:r>
      <w:r w:rsidR="00556DDF" w:rsidRPr="005145F0">
        <w:t>areas</w:t>
      </w:r>
      <w:r w:rsidR="004151A6" w:rsidRPr="005145F0">
        <w:t>:</w:t>
      </w:r>
      <w:r w:rsidRPr="005145F0">
        <w:t xml:space="preserve"> </w:t>
      </w:r>
      <w:r w:rsidR="00E64366">
        <w:t>(a</w:t>
      </w:r>
      <w:r w:rsidRPr="005145F0">
        <w:t>)</w:t>
      </w:r>
      <w:r w:rsidR="004151A6" w:rsidRPr="005145F0">
        <w:t xml:space="preserve"> democratic governance; </w:t>
      </w:r>
      <w:r w:rsidR="00E64366">
        <w:t>(b</w:t>
      </w:r>
      <w:r w:rsidRPr="005145F0">
        <w:t xml:space="preserve">) </w:t>
      </w:r>
      <w:r w:rsidR="004151A6" w:rsidRPr="005145F0">
        <w:t>reducing poverty</w:t>
      </w:r>
      <w:r w:rsidRPr="005145F0">
        <w:t xml:space="preserve"> and </w:t>
      </w:r>
      <w:r w:rsidR="004151A6" w:rsidRPr="005145F0">
        <w:t xml:space="preserve">achieving the </w:t>
      </w:r>
      <w:r w:rsidR="00E64366">
        <w:t>Millennium Development Goals</w:t>
      </w:r>
      <w:r w:rsidR="004151A6" w:rsidRPr="005145F0">
        <w:t>; and</w:t>
      </w:r>
      <w:r w:rsidRPr="005145F0">
        <w:t xml:space="preserve"> </w:t>
      </w:r>
      <w:r w:rsidR="00E64366">
        <w:t>(c</w:t>
      </w:r>
      <w:r w:rsidRPr="005145F0">
        <w:t>)</w:t>
      </w:r>
      <w:r w:rsidR="004151A6" w:rsidRPr="005145F0">
        <w:t xml:space="preserve"> environment and sustainable development</w:t>
      </w:r>
      <w:r w:rsidR="00C76B5B" w:rsidRPr="005145F0">
        <w:t>.</w:t>
      </w:r>
      <w:r w:rsidR="00FD6992" w:rsidRPr="005145F0">
        <w:t xml:space="preserve"> </w:t>
      </w:r>
      <w:r w:rsidR="00C258A3" w:rsidRPr="005145F0">
        <w:t xml:space="preserve">In </w:t>
      </w:r>
      <w:r w:rsidR="00306B25" w:rsidRPr="005145F0">
        <w:t>democratic governance, UNDP</w:t>
      </w:r>
      <w:r w:rsidR="004151A6" w:rsidRPr="005145F0">
        <w:t>’s</w:t>
      </w:r>
      <w:r w:rsidR="00306B25" w:rsidRPr="005145F0">
        <w:t xml:space="preserve"> </w:t>
      </w:r>
      <w:r w:rsidR="00C0183F" w:rsidRPr="005145F0">
        <w:t xml:space="preserve">support </w:t>
      </w:r>
      <w:r w:rsidRPr="005145F0">
        <w:t>helped improve</w:t>
      </w:r>
      <w:r w:rsidR="00306B25" w:rsidRPr="005145F0">
        <w:t xml:space="preserve"> </w:t>
      </w:r>
      <w:r w:rsidRPr="005145F0">
        <w:t xml:space="preserve">electoral </w:t>
      </w:r>
      <w:r w:rsidR="00306B25" w:rsidRPr="005145F0">
        <w:t>transparency and credibility</w:t>
      </w:r>
      <w:r w:rsidR="00B3727A" w:rsidRPr="005145F0">
        <w:t xml:space="preserve">, </w:t>
      </w:r>
      <w:r w:rsidR="0039735C" w:rsidRPr="005145F0">
        <w:t xml:space="preserve">resulting in </w:t>
      </w:r>
      <w:r w:rsidRPr="005145F0">
        <w:t xml:space="preserve">75 </w:t>
      </w:r>
      <w:r w:rsidR="00BF1EB3">
        <w:t>per cent</w:t>
      </w:r>
      <w:r w:rsidRPr="005145F0">
        <w:t xml:space="preserve"> </w:t>
      </w:r>
      <w:r w:rsidR="00B3727A" w:rsidRPr="005145F0">
        <w:t xml:space="preserve">participation </w:t>
      </w:r>
      <w:r w:rsidR="00571501" w:rsidRPr="005145F0">
        <w:t>in the</w:t>
      </w:r>
      <w:r w:rsidRPr="005145F0">
        <w:t xml:space="preserve"> October 2014 election</w:t>
      </w:r>
      <w:r w:rsidR="00E64366">
        <w:t xml:space="preserve">. The </w:t>
      </w:r>
      <w:r w:rsidRPr="005145F0">
        <w:t xml:space="preserve">quality of </w:t>
      </w:r>
      <w:r w:rsidR="00E64366">
        <w:t xml:space="preserve">services by the </w:t>
      </w:r>
      <w:r w:rsidRPr="005145F0">
        <w:t>Criminal Investigation Police</w:t>
      </w:r>
      <w:r w:rsidR="00E64366">
        <w:t xml:space="preserve"> has improved, </w:t>
      </w:r>
      <w:r w:rsidR="00571501" w:rsidRPr="005145F0">
        <w:t xml:space="preserve">with </w:t>
      </w:r>
      <w:r w:rsidR="00E64366">
        <w:t>around</w:t>
      </w:r>
      <w:r w:rsidR="00E64366" w:rsidRPr="005145F0">
        <w:t xml:space="preserve"> </w:t>
      </w:r>
      <w:r w:rsidRPr="005145F0">
        <w:t>30</w:t>
      </w:r>
      <w:r w:rsidR="004B5B8A">
        <w:t xml:space="preserve"> </w:t>
      </w:r>
      <w:r w:rsidR="00BF1EB3">
        <w:t>per cent</w:t>
      </w:r>
      <w:r w:rsidRPr="005145F0">
        <w:t xml:space="preserve"> of </w:t>
      </w:r>
      <w:r w:rsidR="00E64366">
        <w:t>its</w:t>
      </w:r>
      <w:r w:rsidR="00E64366" w:rsidRPr="005145F0">
        <w:t xml:space="preserve"> </w:t>
      </w:r>
      <w:r w:rsidRPr="005145F0">
        <w:t xml:space="preserve">personnel </w:t>
      </w:r>
      <w:r w:rsidR="00571501" w:rsidRPr="005145F0">
        <w:t xml:space="preserve">having </w:t>
      </w:r>
      <w:r w:rsidRPr="005145F0">
        <w:t>received human rights training</w:t>
      </w:r>
      <w:r w:rsidR="00E64366">
        <w:t>.</w:t>
      </w:r>
      <w:r w:rsidR="004B5B8A" w:rsidRPr="005145F0">
        <w:rPr>
          <w:rStyle w:val="FootnoteReference"/>
        </w:rPr>
        <w:footnoteReference w:id="13"/>
      </w:r>
      <w:r w:rsidR="00E64366">
        <w:t xml:space="preserve"> G</w:t>
      </w:r>
      <w:r w:rsidR="00556DDF" w:rsidRPr="005145F0">
        <w:t>overnment</w:t>
      </w:r>
      <w:r w:rsidR="0039735C" w:rsidRPr="005145F0">
        <w:t xml:space="preserve"> resource mobilization,</w:t>
      </w:r>
      <w:r w:rsidR="004151A6" w:rsidRPr="005145F0">
        <w:t xml:space="preserve"> </w:t>
      </w:r>
      <w:r w:rsidR="00C951D1" w:rsidRPr="005145F0">
        <w:t>aid management and coordination</w:t>
      </w:r>
      <w:r w:rsidR="00E64366">
        <w:t xml:space="preserve"> have all been enhanced</w:t>
      </w:r>
      <w:r w:rsidR="00306B25" w:rsidRPr="005145F0">
        <w:t>.</w:t>
      </w:r>
      <w:r w:rsidR="00035C57" w:rsidRPr="005145F0">
        <w:rPr>
          <w:bCs/>
        </w:rPr>
        <w:t xml:space="preserve"> </w:t>
      </w:r>
      <w:r w:rsidRPr="005145F0">
        <w:t>C</w:t>
      </w:r>
      <w:r w:rsidR="00C0183F" w:rsidRPr="005145F0">
        <w:t xml:space="preserve">hallenges </w:t>
      </w:r>
      <w:r w:rsidR="004151A6" w:rsidRPr="005145F0">
        <w:t>remain</w:t>
      </w:r>
      <w:r w:rsidR="00C0183F" w:rsidRPr="005145F0">
        <w:t xml:space="preserve"> </w:t>
      </w:r>
      <w:r w:rsidRPr="005145F0">
        <w:t>to make</w:t>
      </w:r>
      <w:r w:rsidR="00FD6992" w:rsidRPr="005145F0">
        <w:t xml:space="preserve"> justice </w:t>
      </w:r>
      <w:r w:rsidRPr="005145F0">
        <w:t xml:space="preserve">more </w:t>
      </w:r>
      <w:r w:rsidR="00FD6992" w:rsidRPr="005145F0">
        <w:t>accessible</w:t>
      </w:r>
      <w:r w:rsidR="00EB63DC" w:rsidRPr="005145F0">
        <w:t>,</w:t>
      </w:r>
      <w:r w:rsidR="00FD6992" w:rsidRPr="005145F0">
        <w:t xml:space="preserve"> </w:t>
      </w:r>
      <w:r w:rsidR="00556DDF" w:rsidRPr="005145F0">
        <w:t xml:space="preserve">particularly </w:t>
      </w:r>
      <w:r w:rsidR="00EB63DC" w:rsidRPr="005145F0">
        <w:t>for women and</w:t>
      </w:r>
      <w:r w:rsidR="00E64366">
        <w:t xml:space="preserve"> </w:t>
      </w:r>
      <w:r w:rsidR="00EB63DC" w:rsidRPr="005145F0">
        <w:t>marginalized</w:t>
      </w:r>
      <w:r w:rsidR="00E64366">
        <w:t xml:space="preserve"> </w:t>
      </w:r>
      <w:r w:rsidR="00EB63DC" w:rsidRPr="005145F0">
        <w:t xml:space="preserve">populations; </w:t>
      </w:r>
      <w:r w:rsidR="00BF62E6">
        <w:t xml:space="preserve">to </w:t>
      </w:r>
      <w:r w:rsidRPr="005145F0">
        <w:t>strengthen</w:t>
      </w:r>
      <w:r w:rsidR="00C0183F" w:rsidRPr="005145F0">
        <w:t xml:space="preserve"> </w:t>
      </w:r>
      <w:r w:rsidR="00556DDF" w:rsidRPr="005145F0">
        <w:t xml:space="preserve">resource management </w:t>
      </w:r>
      <w:r w:rsidR="0039735C" w:rsidRPr="005145F0">
        <w:t xml:space="preserve">ownership and </w:t>
      </w:r>
      <w:r w:rsidR="00C0183F" w:rsidRPr="005145F0">
        <w:t>tra</w:t>
      </w:r>
      <w:r w:rsidR="00556DDF" w:rsidRPr="005145F0">
        <w:t>nsparency</w:t>
      </w:r>
      <w:r w:rsidR="00EB63DC" w:rsidRPr="005145F0">
        <w:t>;</w:t>
      </w:r>
      <w:r w:rsidR="0039735C" w:rsidRPr="005145F0">
        <w:t xml:space="preserve"> and </w:t>
      </w:r>
      <w:r w:rsidR="00BF62E6">
        <w:t xml:space="preserve">to </w:t>
      </w:r>
      <w:r w:rsidR="00E64366">
        <w:t>improve</w:t>
      </w:r>
      <w:r w:rsidR="0039735C" w:rsidRPr="005145F0">
        <w:t xml:space="preserve"> </w:t>
      </w:r>
      <w:r w:rsidR="00556DDF" w:rsidRPr="005145F0">
        <w:t>implementation</w:t>
      </w:r>
      <w:r w:rsidR="0039735C" w:rsidRPr="005145F0">
        <w:t xml:space="preserve"> of</w:t>
      </w:r>
      <w:r w:rsidR="00F10169" w:rsidRPr="005145F0">
        <w:t xml:space="preserve"> the decentralization process. </w:t>
      </w:r>
    </w:p>
    <w:p w14:paraId="62AB9C9D" w14:textId="77777777" w:rsidR="00A9090B" w:rsidRPr="005145F0" w:rsidRDefault="00C76B5B" w:rsidP="00A419B7">
      <w:pPr>
        <w:pStyle w:val="ListParagraph"/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after="120"/>
        <w:ind w:left="737" w:right="1644" w:hanging="17"/>
        <w:jc w:val="both"/>
      </w:pPr>
      <w:r w:rsidRPr="005145F0">
        <w:t xml:space="preserve">With UNDP support, </w:t>
      </w:r>
      <w:r w:rsidR="00E64366" w:rsidRPr="005145F0">
        <w:t>São Tomé and Príncipe</w:t>
      </w:r>
      <w:r w:rsidR="00E64366">
        <w:t xml:space="preserve"> </w:t>
      </w:r>
      <w:r w:rsidRPr="005145F0">
        <w:t xml:space="preserve">prepared its </w:t>
      </w:r>
      <w:r w:rsidR="00E64366">
        <w:t>s</w:t>
      </w:r>
      <w:r w:rsidRPr="005145F0">
        <w:t xml:space="preserve">econd </w:t>
      </w:r>
      <w:r w:rsidR="00E64366">
        <w:t>n</w:t>
      </w:r>
      <w:r w:rsidRPr="005145F0">
        <w:t>atio</w:t>
      </w:r>
      <w:r w:rsidR="00863BEF" w:rsidRPr="005145F0">
        <w:t>n</w:t>
      </w:r>
      <w:r w:rsidR="005148F8" w:rsidRPr="005145F0">
        <w:t xml:space="preserve">al </w:t>
      </w:r>
      <w:r w:rsidR="00E64366">
        <w:t>c</w:t>
      </w:r>
      <w:r w:rsidR="005148F8" w:rsidRPr="005145F0">
        <w:t>ommunication</w:t>
      </w:r>
      <w:r w:rsidR="00E64366">
        <w:t xml:space="preserve"> to the United Nations Framework Convention on Climate Change. It</w:t>
      </w:r>
      <w:r w:rsidR="005148F8" w:rsidRPr="005145F0">
        <w:t xml:space="preserve"> </w:t>
      </w:r>
      <w:r w:rsidR="002C4C14" w:rsidRPr="005145F0">
        <w:t>analy</w:t>
      </w:r>
      <w:r w:rsidR="00E64366">
        <w:t>sed</w:t>
      </w:r>
      <w:r w:rsidR="005148F8" w:rsidRPr="005145F0">
        <w:t xml:space="preserve"> </w:t>
      </w:r>
      <w:r w:rsidR="00C50921" w:rsidRPr="005145F0">
        <w:t>vulnerability to climate change</w:t>
      </w:r>
      <w:r w:rsidR="00E64366">
        <w:t xml:space="preserve"> and</w:t>
      </w:r>
      <w:r w:rsidR="00C50921" w:rsidRPr="005145F0">
        <w:t xml:space="preserve"> </w:t>
      </w:r>
      <w:r w:rsidR="005148F8" w:rsidRPr="005145F0">
        <w:t>identif</w:t>
      </w:r>
      <w:r w:rsidR="00E64366">
        <w:t xml:space="preserve">ied </w:t>
      </w:r>
      <w:r w:rsidRPr="005145F0">
        <w:t>mitigation measures</w:t>
      </w:r>
      <w:r w:rsidR="007D5B04" w:rsidRPr="005145F0">
        <w:t xml:space="preserve"> and support </w:t>
      </w:r>
      <w:r w:rsidR="00C22127">
        <w:t xml:space="preserve">needed </w:t>
      </w:r>
      <w:r w:rsidR="007D5B04" w:rsidRPr="005145F0">
        <w:t>to establish a National Council for Disaster Reduction and P</w:t>
      </w:r>
      <w:r w:rsidR="007D56D5" w:rsidRPr="005145F0">
        <w:t>revention</w:t>
      </w:r>
      <w:r w:rsidRPr="005145F0">
        <w:t xml:space="preserve">. </w:t>
      </w:r>
      <w:r w:rsidR="007D5B04" w:rsidRPr="005145F0">
        <w:t>T</w:t>
      </w:r>
      <w:r w:rsidRPr="005145F0">
        <w:t xml:space="preserve">wo projects </w:t>
      </w:r>
      <w:r w:rsidR="00221999">
        <w:t xml:space="preserve">funded by the Least Developed Countries Fund </w:t>
      </w:r>
      <w:r w:rsidRPr="005145F0">
        <w:t>are under implementation, one on early warning systems and one on climate</w:t>
      </w:r>
      <w:r w:rsidR="00AE6E9E">
        <w:t>-</w:t>
      </w:r>
      <w:r w:rsidRPr="005145F0">
        <w:t>resilient livelihood options</w:t>
      </w:r>
      <w:r w:rsidR="00E32F5D">
        <w:t>. A</w:t>
      </w:r>
      <w:r w:rsidRPr="005145F0">
        <w:t xml:space="preserve"> project on climate</w:t>
      </w:r>
      <w:r w:rsidR="00AE6E9E">
        <w:t>-</w:t>
      </w:r>
      <w:r w:rsidRPr="005145F0">
        <w:t>resilient hydro mini</w:t>
      </w:r>
      <w:r w:rsidR="00221999">
        <w:t xml:space="preserve"> electric </w:t>
      </w:r>
      <w:r w:rsidRPr="005145F0">
        <w:t xml:space="preserve">grids </w:t>
      </w:r>
      <w:r w:rsidR="00AE6E9E">
        <w:t xml:space="preserve">funded by the Global Environment Facility </w:t>
      </w:r>
      <w:r w:rsidR="00516199" w:rsidRPr="005145F0">
        <w:t>was launched</w:t>
      </w:r>
      <w:r w:rsidRPr="005145F0">
        <w:t xml:space="preserve"> in March 2016. UNDP supported </w:t>
      </w:r>
      <w:r w:rsidR="00AE6E9E" w:rsidRPr="005145F0">
        <w:t>São Tomé and Príncipe</w:t>
      </w:r>
      <w:r w:rsidR="00AE6E9E">
        <w:t xml:space="preserve"> </w:t>
      </w:r>
      <w:r w:rsidR="00467327">
        <w:t>in</w:t>
      </w:r>
      <w:r w:rsidR="00F871F4" w:rsidRPr="005145F0">
        <w:t xml:space="preserve"> </w:t>
      </w:r>
      <w:r w:rsidR="00FD6992" w:rsidRPr="005145F0">
        <w:t>integrat</w:t>
      </w:r>
      <w:r w:rsidR="000B134B" w:rsidRPr="005145F0">
        <w:t>ing</w:t>
      </w:r>
      <w:r w:rsidR="00FD6992" w:rsidRPr="005145F0">
        <w:t xml:space="preserve"> sustainable </w:t>
      </w:r>
      <w:r w:rsidR="002166F1" w:rsidRPr="005145F0">
        <w:t>natural resources</w:t>
      </w:r>
      <w:r w:rsidR="00FD6992" w:rsidRPr="005145F0">
        <w:t xml:space="preserve"> management, climate change and disaster risk management into national development strategies and plans</w:t>
      </w:r>
      <w:r w:rsidR="00BD1E80" w:rsidRPr="005145F0">
        <w:t>.</w:t>
      </w:r>
      <w:r w:rsidR="005148F8" w:rsidRPr="005145F0">
        <w:t xml:space="preserve"> </w:t>
      </w:r>
      <w:r w:rsidR="003911C6" w:rsidRPr="005145F0">
        <w:t>N</w:t>
      </w:r>
      <w:r w:rsidR="007D5B04" w:rsidRPr="005145F0">
        <w:t>ational partners</w:t>
      </w:r>
      <w:r w:rsidR="003911C6" w:rsidRPr="005145F0">
        <w:t xml:space="preserve"> </w:t>
      </w:r>
      <w:r w:rsidR="003911C6" w:rsidRPr="005145F0">
        <w:lastRenderedPageBreak/>
        <w:t>now need</w:t>
      </w:r>
      <w:r w:rsidR="007D5B04" w:rsidRPr="005145F0">
        <w:t xml:space="preserve"> to develop an</w:t>
      </w:r>
      <w:r w:rsidR="00E9183C" w:rsidRPr="005145F0">
        <w:t xml:space="preserve"> approach</w:t>
      </w:r>
      <w:r w:rsidR="00AE6E9E">
        <w:t xml:space="preserve"> to</w:t>
      </w:r>
      <w:r w:rsidR="00E9183C" w:rsidRPr="005145F0">
        <w:t xml:space="preserve"> establish</w:t>
      </w:r>
      <w:r w:rsidR="007D5B04" w:rsidRPr="005145F0">
        <w:t>ing</w:t>
      </w:r>
      <w:r w:rsidR="00E9183C" w:rsidRPr="005145F0">
        <w:t xml:space="preserve"> linkages betwe</w:t>
      </w:r>
      <w:r w:rsidR="00364EC1" w:rsidRPr="005145F0">
        <w:t xml:space="preserve">en macro, </w:t>
      </w:r>
      <w:r w:rsidR="002C4C14" w:rsidRPr="005145F0">
        <w:t>mes</w:t>
      </w:r>
      <w:r w:rsidR="00093C0A">
        <w:t>o</w:t>
      </w:r>
      <w:r w:rsidR="00364EC1" w:rsidRPr="005145F0">
        <w:t xml:space="preserve"> and micro levels</w:t>
      </w:r>
      <w:r w:rsidR="00AE6E9E">
        <w:t>, for which UNDP will provide support</w:t>
      </w:r>
      <w:r w:rsidR="008C71C2" w:rsidRPr="005145F0">
        <w:t xml:space="preserve">. </w:t>
      </w:r>
      <w:r w:rsidR="00FD6992" w:rsidRPr="005145F0">
        <w:t xml:space="preserve"> </w:t>
      </w:r>
    </w:p>
    <w:p w14:paraId="6CA41C9B" w14:textId="77777777" w:rsidR="0038062A" w:rsidRPr="005145F0" w:rsidRDefault="00E06D0B" w:rsidP="00A419B7">
      <w:pPr>
        <w:pStyle w:val="ListParagraph"/>
        <w:numPr>
          <w:ilvl w:val="0"/>
          <w:numId w:val="15"/>
        </w:numPr>
        <w:tabs>
          <w:tab w:val="left" w:pos="1080"/>
        </w:tabs>
        <w:spacing w:after="120"/>
        <w:ind w:left="737" w:right="1644" w:hanging="17"/>
        <w:jc w:val="both"/>
      </w:pPr>
      <w:r w:rsidRPr="005145F0">
        <w:t xml:space="preserve">According to the 2015 ADR, UNDP has demonstrated comparative advantages </w:t>
      </w:r>
      <w:r w:rsidR="005148F8" w:rsidRPr="005145F0">
        <w:t>in</w:t>
      </w:r>
      <w:r w:rsidR="00E32F5D">
        <w:t>:</w:t>
      </w:r>
      <w:r w:rsidRPr="005145F0">
        <w:t xml:space="preserve"> (</w:t>
      </w:r>
      <w:r w:rsidR="00E32F5D">
        <w:t>a</w:t>
      </w:r>
      <w:r w:rsidRPr="005145F0">
        <w:t>) strengthening institutional capacity; (</w:t>
      </w:r>
      <w:r w:rsidR="00E32F5D">
        <w:t>b</w:t>
      </w:r>
      <w:r w:rsidRPr="005145F0">
        <w:t>) mainstreaming</w:t>
      </w:r>
      <w:r w:rsidR="005148F8" w:rsidRPr="005145F0">
        <w:t xml:space="preserve"> sustainability as </w:t>
      </w:r>
      <w:r w:rsidR="003911C6" w:rsidRPr="005145F0">
        <w:t xml:space="preserve">a </w:t>
      </w:r>
      <w:r w:rsidR="005148F8" w:rsidRPr="005145F0">
        <w:t>guiding principle in project</w:t>
      </w:r>
      <w:r w:rsidRPr="005145F0">
        <w:t>/</w:t>
      </w:r>
      <w:r w:rsidR="009D2F2D" w:rsidRPr="005145F0">
        <w:t>programme</w:t>
      </w:r>
      <w:r w:rsidRPr="005145F0">
        <w:t xml:space="preserve"> definition and implementation; (</w:t>
      </w:r>
      <w:r w:rsidR="00E32F5D">
        <w:t>c</w:t>
      </w:r>
      <w:r w:rsidRPr="005145F0">
        <w:t>) building partnerships; and (</w:t>
      </w:r>
      <w:r w:rsidR="00E32F5D">
        <w:t>d</w:t>
      </w:r>
      <w:r w:rsidRPr="005145F0">
        <w:t>) facilitating South-South cooperation</w:t>
      </w:r>
      <w:r w:rsidR="008E248F">
        <w:t>.</w:t>
      </w:r>
      <w:r w:rsidRPr="005145F0">
        <w:rPr>
          <w:rStyle w:val="FootnoteReference"/>
        </w:rPr>
        <w:footnoteReference w:id="14"/>
      </w:r>
      <w:r w:rsidRPr="005145F0">
        <w:t xml:space="preserve"> Lessons learned </w:t>
      </w:r>
      <w:r w:rsidR="00286E2B" w:rsidRPr="005145F0">
        <w:t>include</w:t>
      </w:r>
      <w:r w:rsidR="00EB63DC" w:rsidRPr="005145F0">
        <w:t xml:space="preserve"> </w:t>
      </w:r>
      <w:r w:rsidR="008E248F">
        <w:t xml:space="preserve">the importance of </w:t>
      </w:r>
      <w:r w:rsidR="008942F7" w:rsidRPr="005145F0">
        <w:t>balance between</w:t>
      </w:r>
      <w:r w:rsidR="00286E2B" w:rsidRPr="005145F0">
        <w:t xml:space="preserve"> strategic and field</w:t>
      </w:r>
      <w:r w:rsidR="008E248F">
        <w:t>-</w:t>
      </w:r>
      <w:r w:rsidR="00286E2B" w:rsidRPr="005145F0">
        <w:t>level</w:t>
      </w:r>
      <w:r w:rsidR="008942F7" w:rsidRPr="005145F0">
        <w:t xml:space="preserve"> interventions to respond to commun</w:t>
      </w:r>
      <w:r w:rsidR="00286E2B" w:rsidRPr="005145F0">
        <w:t xml:space="preserve">ities and local authorities, </w:t>
      </w:r>
      <w:r w:rsidR="008942F7" w:rsidRPr="005145F0">
        <w:t>particular</w:t>
      </w:r>
      <w:r w:rsidR="00B86D94" w:rsidRPr="005145F0">
        <w:t>ly</w:t>
      </w:r>
      <w:r w:rsidR="00286E2B" w:rsidRPr="005145F0">
        <w:t xml:space="preserve"> </w:t>
      </w:r>
      <w:r w:rsidR="008E248F">
        <w:t xml:space="preserve">in terms of </w:t>
      </w:r>
      <w:r w:rsidR="00F53074" w:rsidRPr="005145F0">
        <w:t>d</w:t>
      </w:r>
      <w:r w:rsidR="008942F7" w:rsidRPr="005145F0">
        <w:t xml:space="preserve">emocratic </w:t>
      </w:r>
      <w:r w:rsidR="00F53074" w:rsidRPr="005145F0">
        <w:t>g</w:t>
      </w:r>
      <w:r w:rsidR="008942F7" w:rsidRPr="005145F0">
        <w:t xml:space="preserve">overnance, </w:t>
      </w:r>
      <w:r w:rsidR="00286E2B" w:rsidRPr="005145F0">
        <w:t>sustainable development</w:t>
      </w:r>
      <w:r w:rsidR="008E248F">
        <w:t>,</w:t>
      </w:r>
      <w:r w:rsidR="00286E2B" w:rsidRPr="005145F0">
        <w:t xml:space="preserve"> employment, the </w:t>
      </w:r>
      <w:r w:rsidR="00F53074" w:rsidRPr="005145F0">
        <w:t>e</w:t>
      </w:r>
      <w:r w:rsidR="008942F7" w:rsidRPr="005145F0">
        <w:t xml:space="preserve">nvironment and </w:t>
      </w:r>
      <w:r w:rsidR="00286E2B" w:rsidRPr="005145F0">
        <w:t>poverty</w:t>
      </w:r>
      <w:r w:rsidR="008E248F">
        <w:t>. Also cited were the importance of high-quality</w:t>
      </w:r>
      <w:r w:rsidR="00554918" w:rsidRPr="005145F0">
        <w:t xml:space="preserve"> </w:t>
      </w:r>
      <w:r w:rsidR="0038062A" w:rsidRPr="005145F0">
        <w:t xml:space="preserve">monitoring and evaluation </w:t>
      </w:r>
      <w:r w:rsidR="002200D5" w:rsidRPr="005145F0">
        <w:t xml:space="preserve">to improve </w:t>
      </w:r>
      <w:r w:rsidR="00286E2B" w:rsidRPr="005145F0">
        <w:t xml:space="preserve">programme </w:t>
      </w:r>
      <w:r w:rsidR="002200D5" w:rsidRPr="005145F0">
        <w:t>quality</w:t>
      </w:r>
      <w:r w:rsidR="009C7F97" w:rsidRPr="005145F0">
        <w:t xml:space="preserve"> and </w:t>
      </w:r>
      <w:r w:rsidR="00D03204" w:rsidRPr="005145F0">
        <w:t xml:space="preserve">a </w:t>
      </w:r>
      <w:r w:rsidR="009C7F97" w:rsidRPr="005145F0">
        <w:rPr>
          <w:bCs/>
        </w:rPr>
        <w:t xml:space="preserve">clear </w:t>
      </w:r>
      <w:r w:rsidR="00B86D94" w:rsidRPr="005145F0">
        <w:rPr>
          <w:bCs/>
        </w:rPr>
        <w:t xml:space="preserve">gender equality </w:t>
      </w:r>
      <w:r w:rsidR="009C7F97" w:rsidRPr="005145F0">
        <w:rPr>
          <w:bCs/>
        </w:rPr>
        <w:t>strategy</w:t>
      </w:r>
      <w:r w:rsidR="00A940CD" w:rsidRPr="005145F0" w:rsidDel="002200D5">
        <w:t xml:space="preserve">. </w:t>
      </w:r>
      <w:r w:rsidRPr="005145F0">
        <w:t xml:space="preserve">These </w:t>
      </w:r>
      <w:r w:rsidR="008E248F">
        <w:t>lessons</w:t>
      </w:r>
      <w:r w:rsidR="008E248F" w:rsidRPr="005145F0">
        <w:t xml:space="preserve"> </w:t>
      </w:r>
      <w:r w:rsidRPr="005145F0">
        <w:t xml:space="preserve">all inform </w:t>
      </w:r>
      <w:r w:rsidR="007F696E" w:rsidRPr="005145F0">
        <w:t xml:space="preserve">this </w:t>
      </w:r>
      <w:r w:rsidR="008E248F">
        <w:t>c</w:t>
      </w:r>
      <w:r w:rsidR="00343431">
        <w:t xml:space="preserve">ountry </w:t>
      </w:r>
      <w:r w:rsidR="008E248F">
        <w:t>p</w:t>
      </w:r>
      <w:r w:rsidR="00343431">
        <w:t>rogramme</w:t>
      </w:r>
      <w:r w:rsidRPr="005145F0">
        <w:t>.</w:t>
      </w:r>
    </w:p>
    <w:p w14:paraId="6EEA63E3" w14:textId="77777777" w:rsidR="00243AD0" w:rsidRPr="005145F0" w:rsidRDefault="00687AE7" w:rsidP="00A419B7">
      <w:pPr>
        <w:pStyle w:val="ListParagraph"/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after="120"/>
        <w:ind w:right="1644" w:hanging="17"/>
        <w:jc w:val="both"/>
      </w:pPr>
      <w:r>
        <w:t>A</w:t>
      </w:r>
      <w:r w:rsidR="009C093A">
        <w:t>lso a</w:t>
      </w:r>
      <w:r>
        <w:t xml:space="preserve">ccording to the 2015 ADR, </w:t>
      </w:r>
      <w:r w:rsidR="006C7E84" w:rsidRPr="005145F0">
        <w:t xml:space="preserve">UNDP is viewed as </w:t>
      </w:r>
      <w:r w:rsidR="00894D9F">
        <w:t xml:space="preserve">a </w:t>
      </w:r>
      <w:r w:rsidR="008E248F">
        <w:t xml:space="preserve">respected </w:t>
      </w:r>
      <w:r w:rsidR="006C7E84" w:rsidRPr="005145F0">
        <w:t>development</w:t>
      </w:r>
      <w:r w:rsidR="003D215A" w:rsidRPr="005145F0">
        <w:t xml:space="preserve"> partner. </w:t>
      </w:r>
      <w:r w:rsidR="00BA65E6">
        <w:t>It</w:t>
      </w:r>
      <w:r w:rsidR="00BA65E6" w:rsidRPr="005145F0">
        <w:t xml:space="preserve"> </w:t>
      </w:r>
      <w:r w:rsidR="005148F8" w:rsidRPr="005145F0">
        <w:t>is well regarded for leveraging</w:t>
      </w:r>
      <w:r w:rsidR="00B548DD" w:rsidRPr="005145F0">
        <w:t xml:space="preserve"> its significant exper</w:t>
      </w:r>
      <w:r w:rsidR="00602ACE" w:rsidRPr="005145F0">
        <w:t>tise</w:t>
      </w:r>
      <w:r w:rsidR="00B548DD" w:rsidRPr="005145F0">
        <w:t xml:space="preserve"> in </w:t>
      </w:r>
      <w:r w:rsidR="008E248F">
        <w:t>the country’s</w:t>
      </w:r>
      <w:r w:rsidR="008E248F" w:rsidRPr="005145F0">
        <w:t xml:space="preserve"> </w:t>
      </w:r>
      <w:r w:rsidR="00B548DD" w:rsidRPr="005145F0">
        <w:t>social, econ</w:t>
      </w:r>
      <w:r w:rsidR="00E06D0B" w:rsidRPr="005145F0">
        <w:t>omic and political development, advocacy</w:t>
      </w:r>
      <w:r w:rsidR="00BA65E6">
        <w:t xml:space="preserve"> for the Millennium Development Goals</w:t>
      </w:r>
      <w:r w:rsidR="00E06D0B" w:rsidRPr="005145F0">
        <w:t xml:space="preserve"> </w:t>
      </w:r>
      <w:r w:rsidR="005148F8" w:rsidRPr="005145F0">
        <w:t>and</w:t>
      </w:r>
      <w:r w:rsidR="00E06D0B" w:rsidRPr="005145F0">
        <w:t xml:space="preserve"> </w:t>
      </w:r>
      <w:r w:rsidR="005148F8" w:rsidRPr="005145F0">
        <w:t xml:space="preserve">strategic planning </w:t>
      </w:r>
      <w:r w:rsidR="00B548DD" w:rsidRPr="005145F0">
        <w:t>contributions</w:t>
      </w:r>
      <w:r w:rsidR="00BA65E6">
        <w:t xml:space="preserve">. This </w:t>
      </w:r>
      <w:r w:rsidR="005148F8" w:rsidRPr="005145F0">
        <w:t>enabl</w:t>
      </w:r>
      <w:r w:rsidR="00BA65E6">
        <w:t xml:space="preserve">ed </w:t>
      </w:r>
      <w:r w:rsidR="00BA65E6" w:rsidRPr="005145F0">
        <w:t>São Tomé and Príncipe</w:t>
      </w:r>
      <w:r w:rsidR="00BA65E6">
        <w:t xml:space="preserve"> </w:t>
      </w:r>
      <w:r w:rsidR="00467327">
        <w:t xml:space="preserve">to </w:t>
      </w:r>
      <w:r w:rsidR="00B548DD" w:rsidRPr="005145F0">
        <w:t xml:space="preserve">achieve three of the eight </w:t>
      </w:r>
      <w:r w:rsidR="000312B9">
        <w:t>G</w:t>
      </w:r>
      <w:r w:rsidR="00B548DD" w:rsidRPr="005145F0">
        <w:t>oals.</w:t>
      </w:r>
      <w:r w:rsidR="00B548DD" w:rsidRPr="005145F0">
        <w:rPr>
          <w:color w:val="FF0000"/>
        </w:rPr>
        <w:t xml:space="preserve"> </w:t>
      </w:r>
      <w:r w:rsidR="00B548DD" w:rsidRPr="005145F0">
        <w:t>UNDP</w:t>
      </w:r>
      <w:r w:rsidR="00493E42" w:rsidRPr="005145F0">
        <w:t xml:space="preserve"> </w:t>
      </w:r>
      <w:r w:rsidR="00B548DD" w:rsidRPr="005145F0">
        <w:t>contribut</w:t>
      </w:r>
      <w:r w:rsidR="00493E42" w:rsidRPr="005145F0">
        <w:t>ed</w:t>
      </w:r>
      <w:r w:rsidR="00B548DD" w:rsidRPr="005145F0">
        <w:t xml:space="preserve"> </w:t>
      </w:r>
      <w:r w:rsidR="00493E42" w:rsidRPr="005145F0">
        <w:t xml:space="preserve">to </w:t>
      </w:r>
      <w:r w:rsidR="000F41EC" w:rsidRPr="005145F0">
        <w:t>the</w:t>
      </w:r>
      <w:r w:rsidR="00B548DD" w:rsidRPr="005145F0">
        <w:t xml:space="preserve"> </w:t>
      </w:r>
      <w:r w:rsidR="00BA65E6">
        <w:t>p</w:t>
      </w:r>
      <w:r w:rsidR="00B548DD" w:rsidRPr="005145F0">
        <w:t xml:space="preserve">overty </w:t>
      </w:r>
      <w:r w:rsidR="00BA65E6">
        <w:t>r</w:t>
      </w:r>
      <w:r w:rsidR="00B548DD" w:rsidRPr="005145F0">
        <w:t>e</w:t>
      </w:r>
      <w:r w:rsidR="00E06D0B" w:rsidRPr="005145F0">
        <w:t xml:space="preserve">duction </w:t>
      </w:r>
      <w:r w:rsidR="00BA65E6">
        <w:t>s</w:t>
      </w:r>
      <w:r w:rsidR="00E06D0B" w:rsidRPr="005145F0">
        <w:t xml:space="preserve">trategy </w:t>
      </w:r>
      <w:r w:rsidR="00BA65E6">
        <w:t>p</w:t>
      </w:r>
      <w:r w:rsidR="00E06D0B" w:rsidRPr="005145F0">
        <w:t>apers</w:t>
      </w:r>
      <w:r w:rsidR="00BA65E6">
        <w:t xml:space="preserve"> and the</w:t>
      </w:r>
      <w:r w:rsidR="00E06D0B" w:rsidRPr="005145F0">
        <w:t xml:space="preserve"> </w:t>
      </w:r>
      <w:r w:rsidR="00B548DD" w:rsidRPr="005145F0">
        <w:t>National Strategy for Poverty Reduction and Action Plan (2013-2016)</w:t>
      </w:r>
      <w:r w:rsidR="005148F8" w:rsidRPr="005145F0">
        <w:t>,</w:t>
      </w:r>
      <w:r w:rsidR="00B548DD" w:rsidRPr="005145F0">
        <w:t xml:space="preserve"> </w:t>
      </w:r>
      <w:r w:rsidR="005148F8" w:rsidRPr="005145F0">
        <w:t>approved</w:t>
      </w:r>
      <w:r w:rsidR="00B548DD" w:rsidRPr="005145F0">
        <w:t xml:space="preserve"> </w:t>
      </w:r>
      <w:r w:rsidR="00493E42" w:rsidRPr="005145F0">
        <w:t xml:space="preserve">by </w:t>
      </w:r>
      <w:r w:rsidR="00BA65E6">
        <w:t>the country’s</w:t>
      </w:r>
      <w:r w:rsidR="00BA65E6" w:rsidRPr="005145F0">
        <w:t xml:space="preserve"> </w:t>
      </w:r>
      <w:r w:rsidR="00B548DD" w:rsidRPr="005145F0">
        <w:t xml:space="preserve">international partners. </w:t>
      </w:r>
    </w:p>
    <w:p w14:paraId="3106E5CA" w14:textId="77777777" w:rsidR="003D02DC" w:rsidRPr="005145F0" w:rsidRDefault="00F2790A" w:rsidP="00A419B7">
      <w:pPr>
        <w:pStyle w:val="ListParagraph"/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after="120"/>
        <w:ind w:left="737" w:right="1644" w:hanging="17"/>
        <w:jc w:val="both"/>
      </w:pPr>
      <w:r w:rsidRPr="005145F0">
        <w:rPr>
          <w:bCs/>
        </w:rPr>
        <w:t xml:space="preserve">UNDP has developed partnerships with </w:t>
      </w:r>
      <w:r w:rsidR="007E6573" w:rsidRPr="005145F0">
        <w:rPr>
          <w:bCs/>
        </w:rPr>
        <w:t>sister</w:t>
      </w:r>
      <w:r w:rsidRPr="005145F0">
        <w:rPr>
          <w:bCs/>
        </w:rPr>
        <w:t xml:space="preserve"> </w:t>
      </w:r>
      <w:r w:rsidR="000F41EC" w:rsidRPr="005145F0">
        <w:rPr>
          <w:bCs/>
        </w:rPr>
        <w:t>U</w:t>
      </w:r>
      <w:r w:rsidR="00BA65E6">
        <w:rPr>
          <w:bCs/>
        </w:rPr>
        <w:t xml:space="preserve">nited </w:t>
      </w:r>
      <w:r w:rsidR="000F41EC" w:rsidRPr="005145F0">
        <w:rPr>
          <w:bCs/>
        </w:rPr>
        <w:t>N</w:t>
      </w:r>
      <w:r w:rsidR="00BA65E6">
        <w:rPr>
          <w:bCs/>
        </w:rPr>
        <w:t>ations</w:t>
      </w:r>
      <w:r w:rsidRPr="005145F0">
        <w:rPr>
          <w:bCs/>
        </w:rPr>
        <w:t xml:space="preserve"> agencies, donors, government departments</w:t>
      </w:r>
      <w:r w:rsidR="00AF3498" w:rsidRPr="005145F0">
        <w:rPr>
          <w:bCs/>
        </w:rPr>
        <w:t xml:space="preserve"> and </w:t>
      </w:r>
      <w:r w:rsidR="00BA65E6">
        <w:rPr>
          <w:bCs/>
        </w:rPr>
        <w:t xml:space="preserve">civil society </w:t>
      </w:r>
      <w:r w:rsidR="00221999">
        <w:rPr>
          <w:bCs/>
        </w:rPr>
        <w:t>groups</w:t>
      </w:r>
      <w:r w:rsidRPr="005145F0">
        <w:rPr>
          <w:bCs/>
        </w:rPr>
        <w:t>.</w:t>
      </w:r>
      <w:r w:rsidR="007E6573" w:rsidRPr="005145F0">
        <w:rPr>
          <w:bCs/>
        </w:rPr>
        <w:t xml:space="preserve"> T</w:t>
      </w:r>
      <w:r w:rsidR="00B548DD" w:rsidRPr="005145F0">
        <w:t xml:space="preserve">he </w:t>
      </w:r>
      <w:r w:rsidR="00BA65E6">
        <w:t>G</w:t>
      </w:r>
      <w:r w:rsidR="00B548DD" w:rsidRPr="005145F0">
        <w:t>overnment request</w:t>
      </w:r>
      <w:r w:rsidR="00493E42" w:rsidRPr="005145F0">
        <w:t>ed</w:t>
      </w:r>
      <w:r w:rsidR="007E6573" w:rsidRPr="005145F0">
        <w:t xml:space="preserve"> UNDP</w:t>
      </w:r>
      <w:r w:rsidR="00B548DD" w:rsidRPr="005145F0">
        <w:t xml:space="preserve"> support </w:t>
      </w:r>
      <w:r w:rsidR="00493E42" w:rsidRPr="005145F0">
        <w:t>to advocate</w:t>
      </w:r>
      <w:r w:rsidR="0087072B" w:rsidRPr="005145F0">
        <w:t xml:space="preserve"> with</w:t>
      </w:r>
      <w:r w:rsidR="00493E42" w:rsidRPr="005145F0">
        <w:t xml:space="preserve"> </w:t>
      </w:r>
      <w:r w:rsidR="00B548DD" w:rsidRPr="005145F0">
        <w:t xml:space="preserve">the African Development Bank, the World Bank, the International Monetary Fund and </w:t>
      </w:r>
      <w:r w:rsidR="00467327">
        <w:t xml:space="preserve">the </w:t>
      </w:r>
      <w:r w:rsidR="00BA65E6">
        <w:t>European Union</w:t>
      </w:r>
      <w:r w:rsidR="00BA65E6" w:rsidRPr="005145F0">
        <w:t xml:space="preserve"> </w:t>
      </w:r>
      <w:r w:rsidR="00B548DD" w:rsidRPr="005145F0">
        <w:t xml:space="preserve">to participate in </w:t>
      </w:r>
      <w:r w:rsidR="001E1147" w:rsidRPr="005145F0">
        <w:t>formulating</w:t>
      </w:r>
      <w:r w:rsidR="00B548DD" w:rsidRPr="005145F0">
        <w:t xml:space="preserve"> </w:t>
      </w:r>
      <w:r w:rsidR="000312B9">
        <w:t>t</w:t>
      </w:r>
      <w:r w:rsidR="006C64B1">
        <w:t>he Transformation Agenda</w:t>
      </w:r>
      <w:r w:rsidR="00BA65E6">
        <w:t>,</w:t>
      </w:r>
      <w:r w:rsidRPr="005145F0">
        <w:rPr>
          <w:rStyle w:val="FootnoteReference"/>
        </w:rPr>
        <w:footnoteReference w:id="15"/>
      </w:r>
      <w:r w:rsidR="00243AD0" w:rsidRPr="005145F0">
        <w:t xml:space="preserve"> </w:t>
      </w:r>
      <w:r w:rsidR="00BA65E6">
        <w:t>with the goal of</w:t>
      </w:r>
      <w:r w:rsidR="00941226" w:rsidRPr="005145F0">
        <w:t xml:space="preserve"> mobiliz</w:t>
      </w:r>
      <w:r w:rsidR="000F41EC" w:rsidRPr="005145F0">
        <w:t>ing</w:t>
      </w:r>
      <w:r w:rsidR="00243AD0" w:rsidRPr="005145F0">
        <w:t xml:space="preserve"> </w:t>
      </w:r>
      <w:r w:rsidR="007E6573" w:rsidRPr="005145F0">
        <w:t xml:space="preserve">resources from </w:t>
      </w:r>
      <w:r w:rsidR="00243AD0" w:rsidRPr="005145F0">
        <w:t>private investors</w:t>
      </w:r>
      <w:r w:rsidR="00BA65E6">
        <w:t>.</w:t>
      </w:r>
      <w:r w:rsidR="00467327">
        <w:rPr>
          <w:rStyle w:val="FootnoteReference"/>
        </w:rPr>
        <w:footnoteReference w:id="16"/>
      </w:r>
      <w:r w:rsidR="00B548DD" w:rsidRPr="005145F0">
        <w:t xml:space="preserve"> </w:t>
      </w:r>
      <w:r w:rsidR="00941226" w:rsidRPr="005145F0">
        <w:t xml:space="preserve">Though several external partners expressed interest in supporting the </w:t>
      </w:r>
      <w:r w:rsidR="00941226" w:rsidRPr="000312B9">
        <w:t>Agenda</w:t>
      </w:r>
      <w:r w:rsidR="00941226" w:rsidRPr="005145F0">
        <w:t xml:space="preserve">, </w:t>
      </w:r>
      <w:r w:rsidR="003A7ECD" w:rsidRPr="005145F0">
        <w:rPr>
          <w:bCs/>
        </w:rPr>
        <w:t xml:space="preserve">there are </w:t>
      </w:r>
      <w:r w:rsidR="00941226" w:rsidRPr="005145F0">
        <w:rPr>
          <w:bCs/>
        </w:rPr>
        <w:t xml:space="preserve">currently </w:t>
      </w:r>
      <w:r w:rsidR="003A7ECD" w:rsidRPr="005145F0">
        <w:rPr>
          <w:bCs/>
        </w:rPr>
        <w:t>only</w:t>
      </w:r>
      <w:r w:rsidR="00784AC9" w:rsidRPr="005145F0">
        <w:rPr>
          <w:bCs/>
        </w:rPr>
        <w:t xml:space="preserve"> a </w:t>
      </w:r>
      <w:r w:rsidR="00941226" w:rsidRPr="005145F0">
        <w:rPr>
          <w:bCs/>
        </w:rPr>
        <w:t>few</w:t>
      </w:r>
      <w:r w:rsidR="00784AC9" w:rsidRPr="005145F0">
        <w:rPr>
          <w:bCs/>
        </w:rPr>
        <w:t xml:space="preserve"> joint implementation actions </w:t>
      </w:r>
      <w:r w:rsidR="00BA65E6">
        <w:rPr>
          <w:bCs/>
        </w:rPr>
        <w:t>involving</w:t>
      </w:r>
      <w:r w:rsidR="00BA65E6" w:rsidRPr="005145F0">
        <w:rPr>
          <w:bCs/>
        </w:rPr>
        <w:t xml:space="preserve"> </w:t>
      </w:r>
      <w:r w:rsidR="00784AC9" w:rsidRPr="005145F0">
        <w:rPr>
          <w:bCs/>
        </w:rPr>
        <w:t xml:space="preserve">UNDP and other </w:t>
      </w:r>
      <w:r w:rsidR="00BA65E6">
        <w:rPr>
          <w:bCs/>
        </w:rPr>
        <w:t>United Nations</w:t>
      </w:r>
      <w:r w:rsidR="00BA65E6" w:rsidRPr="005145F0">
        <w:rPr>
          <w:bCs/>
        </w:rPr>
        <w:t xml:space="preserve"> </w:t>
      </w:r>
      <w:r w:rsidR="00784AC9" w:rsidRPr="005145F0">
        <w:rPr>
          <w:bCs/>
        </w:rPr>
        <w:t xml:space="preserve">agencies in implementing the </w:t>
      </w:r>
      <w:r w:rsidR="00BA65E6">
        <w:rPr>
          <w:bCs/>
        </w:rPr>
        <w:t>United Nations Development Assistance Framework</w:t>
      </w:r>
      <w:r w:rsidR="000312B9">
        <w:rPr>
          <w:bCs/>
        </w:rPr>
        <w:t xml:space="preserve"> (UNDAF)</w:t>
      </w:r>
      <w:r w:rsidR="00784AC9" w:rsidRPr="005145F0">
        <w:rPr>
          <w:bCs/>
        </w:rPr>
        <w:t xml:space="preserve">. </w:t>
      </w:r>
      <w:r w:rsidR="001E1147" w:rsidRPr="005145F0">
        <w:t>T</w:t>
      </w:r>
      <w:r w:rsidR="00784AC9" w:rsidRPr="005145F0">
        <w:t xml:space="preserve">here are complementarities between UNDP interventions and </w:t>
      </w:r>
      <w:r w:rsidR="00BA65E6">
        <w:t>those by the World Health Organization (</w:t>
      </w:r>
      <w:r w:rsidR="00941226" w:rsidRPr="005145F0">
        <w:t>WHO</w:t>
      </w:r>
      <w:r w:rsidR="00BA65E6">
        <w:t>)</w:t>
      </w:r>
      <w:r w:rsidR="00941226" w:rsidRPr="005145F0">
        <w:t xml:space="preserve">, </w:t>
      </w:r>
      <w:r w:rsidR="00BA65E6">
        <w:t>United Nations Population Fund (</w:t>
      </w:r>
      <w:r w:rsidR="00784AC9" w:rsidRPr="005145F0">
        <w:t>UNFPA</w:t>
      </w:r>
      <w:r w:rsidR="00BA65E6">
        <w:t>)</w:t>
      </w:r>
      <w:r w:rsidR="00784AC9" w:rsidRPr="005145F0">
        <w:t xml:space="preserve"> and </w:t>
      </w:r>
      <w:r w:rsidR="00BA65E6">
        <w:t>United Nations Environment Programme</w:t>
      </w:r>
      <w:r w:rsidR="00784AC9" w:rsidRPr="005145F0">
        <w:t xml:space="preserve">. UNDP has </w:t>
      </w:r>
      <w:r w:rsidR="007E6573" w:rsidRPr="005145F0">
        <w:t>collaborated</w:t>
      </w:r>
      <w:r w:rsidR="00784AC9" w:rsidRPr="005145F0">
        <w:t xml:space="preserve"> with </w:t>
      </w:r>
      <w:r w:rsidR="00BA65E6">
        <w:t>the Office</w:t>
      </w:r>
      <w:r w:rsidR="000312B9">
        <w:t xml:space="preserve"> of the High Commissio</w:t>
      </w:r>
      <w:r w:rsidR="00BA65E6">
        <w:t>n</w:t>
      </w:r>
      <w:r w:rsidR="000312B9">
        <w:t>e</w:t>
      </w:r>
      <w:r w:rsidR="00BA65E6">
        <w:t xml:space="preserve">r for Human Rights </w:t>
      </w:r>
      <w:r w:rsidR="00784AC9" w:rsidRPr="005145F0">
        <w:t xml:space="preserve">and UNFPA to </w:t>
      </w:r>
      <w:r w:rsidR="00246936" w:rsidRPr="005145F0">
        <w:t>compile</w:t>
      </w:r>
      <w:r w:rsidR="00784AC9" w:rsidRPr="005145F0">
        <w:t xml:space="preserve"> </w:t>
      </w:r>
      <w:r w:rsidR="00880825" w:rsidRPr="005145F0">
        <w:t>São Tomé and Príncipe</w:t>
      </w:r>
      <w:r w:rsidR="00880825">
        <w:t>’s</w:t>
      </w:r>
      <w:r w:rsidR="00880825" w:rsidRPr="005145F0">
        <w:t xml:space="preserve"> </w:t>
      </w:r>
      <w:r w:rsidR="00784AC9" w:rsidRPr="005145F0">
        <w:t>first</w:t>
      </w:r>
      <w:r w:rsidR="00BA65E6">
        <w:t xml:space="preserve"> report to the</w:t>
      </w:r>
      <w:r w:rsidR="00784AC9" w:rsidRPr="005145F0">
        <w:t xml:space="preserve"> </w:t>
      </w:r>
      <w:r w:rsidR="00784AC9" w:rsidRPr="005145F0">
        <w:rPr>
          <w:iCs/>
        </w:rPr>
        <w:t>Committee on the Elimination of Discrimination against Women</w:t>
      </w:r>
      <w:r w:rsidR="00784AC9" w:rsidRPr="005145F0">
        <w:t xml:space="preserve">. </w:t>
      </w:r>
    </w:p>
    <w:p w14:paraId="70AA46A1" w14:textId="77777777" w:rsidR="00784AC9" w:rsidRPr="005145F0" w:rsidRDefault="00534CD3" w:rsidP="00A419B7">
      <w:pPr>
        <w:pStyle w:val="ListParagraph"/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ind w:left="737" w:right="1644" w:hanging="17"/>
        <w:jc w:val="both"/>
      </w:pPr>
      <w:r w:rsidRPr="005145F0">
        <w:t>UNDP has a</w:t>
      </w:r>
      <w:r w:rsidR="006E2C7E" w:rsidRPr="005145F0">
        <w:t xml:space="preserve"> </w:t>
      </w:r>
      <w:r w:rsidR="00A940CD" w:rsidRPr="005145F0">
        <w:t xml:space="preserve">great opportunity to assist the </w:t>
      </w:r>
      <w:r w:rsidR="00BA65E6">
        <w:t>G</w:t>
      </w:r>
      <w:r w:rsidR="00A940CD" w:rsidRPr="005145F0">
        <w:t xml:space="preserve">overnment </w:t>
      </w:r>
      <w:r w:rsidR="00467327">
        <w:t xml:space="preserve">in </w:t>
      </w:r>
      <w:r w:rsidR="00A940CD" w:rsidRPr="005145F0">
        <w:t>implement</w:t>
      </w:r>
      <w:r w:rsidR="00467327">
        <w:t>ing</w:t>
      </w:r>
      <w:r w:rsidR="00A940CD" w:rsidRPr="005145F0">
        <w:t xml:space="preserve"> </w:t>
      </w:r>
      <w:r w:rsidR="00880825">
        <w:t>t</w:t>
      </w:r>
      <w:r w:rsidR="006C64B1">
        <w:t>he Transformation Agenda</w:t>
      </w:r>
      <w:r w:rsidR="00A940CD" w:rsidRPr="005145F0">
        <w:t xml:space="preserve"> by </w:t>
      </w:r>
      <w:r w:rsidR="00246936" w:rsidRPr="005145F0">
        <w:t>establishing</w:t>
      </w:r>
      <w:r w:rsidRPr="005145F0">
        <w:t xml:space="preserve"> an effective</w:t>
      </w:r>
      <w:r w:rsidR="00A940CD" w:rsidRPr="005145F0">
        <w:t xml:space="preserve"> aid management mechanism</w:t>
      </w:r>
      <w:r w:rsidR="006E2C7E" w:rsidRPr="005145F0">
        <w:t>, building on current resource mobilization strategies</w:t>
      </w:r>
      <w:r w:rsidR="004B296F" w:rsidRPr="005145F0">
        <w:t xml:space="preserve"> and supporting </w:t>
      </w:r>
      <w:r w:rsidR="00894D9F">
        <w:t>j</w:t>
      </w:r>
      <w:r w:rsidR="00A940CD" w:rsidRPr="005145F0">
        <w:t xml:space="preserve">ustice </w:t>
      </w:r>
      <w:r w:rsidR="00894D9F">
        <w:t>r</w:t>
      </w:r>
      <w:r w:rsidR="00A940CD" w:rsidRPr="005145F0">
        <w:t>eform</w:t>
      </w:r>
      <w:r w:rsidR="00246936" w:rsidRPr="005145F0">
        <w:t>. This</w:t>
      </w:r>
      <w:r w:rsidR="00257C14" w:rsidRPr="005145F0">
        <w:t xml:space="preserve"> will </w:t>
      </w:r>
      <w:r w:rsidR="00246936" w:rsidRPr="005145F0">
        <w:t>create a positive</w:t>
      </w:r>
      <w:r w:rsidR="003D43A7" w:rsidRPr="005145F0">
        <w:t xml:space="preserve"> investment</w:t>
      </w:r>
      <w:r w:rsidR="00246936" w:rsidRPr="005145F0">
        <w:t xml:space="preserve"> </w:t>
      </w:r>
      <w:r w:rsidR="00CF2A55" w:rsidRPr="005145F0">
        <w:t>environment</w:t>
      </w:r>
      <w:r w:rsidR="00BA65E6">
        <w:t>,</w:t>
      </w:r>
      <w:r w:rsidR="00CF2A55" w:rsidRPr="005145F0">
        <w:t xml:space="preserve"> </w:t>
      </w:r>
      <w:r w:rsidR="00257C14" w:rsidRPr="005145F0">
        <w:t xml:space="preserve">increasing </w:t>
      </w:r>
      <w:r w:rsidR="00246936" w:rsidRPr="005145F0">
        <w:t>potential</w:t>
      </w:r>
      <w:r w:rsidR="00257C14" w:rsidRPr="005145F0">
        <w:t xml:space="preserve"> econ</w:t>
      </w:r>
      <w:r w:rsidR="00F40B38" w:rsidRPr="005145F0">
        <w:t>omic opportunities and helping vulnerable</w:t>
      </w:r>
      <w:r w:rsidR="00BA65E6">
        <w:t xml:space="preserve"> people</w:t>
      </w:r>
      <w:r w:rsidR="00F40B38" w:rsidRPr="005145F0">
        <w:t xml:space="preserve">. </w:t>
      </w:r>
    </w:p>
    <w:p w14:paraId="4F647CEF" w14:textId="77777777" w:rsidR="00B548DD" w:rsidRPr="005145F0" w:rsidRDefault="00B548DD" w:rsidP="0071246A">
      <w:pPr>
        <w:pStyle w:val="ListParagraph"/>
        <w:autoSpaceDE w:val="0"/>
        <w:autoSpaceDN w:val="0"/>
        <w:adjustRightInd w:val="0"/>
        <w:ind w:left="737" w:right="1644" w:hanging="17"/>
        <w:jc w:val="both"/>
      </w:pPr>
    </w:p>
    <w:p w14:paraId="5D19ACC5" w14:textId="77777777" w:rsidR="00B548DD" w:rsidRPr="00A839EE" w:rsidRDefault="00B548DD" w:rsidP="00A839EE">
      <w:pPr>
        <w:pStyle w:val="Heading2"/>
        <w:numPr>
          <w:ilvl w:val="0"/>
          <w:numId w:val="8"/>
        </w:numPr>
        <w:ind w:left="720" w:right="737" w:hanging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839EE">
        <w:rPr>
          <w:rFonts w:ascii="Times New Roman" w:hAnsi="Times New Roman"/>
          <w:bCs/>
          <w:color w:val="000000"/>
          <w:sz w:val="24"/>
          <w:szCs w:val="24"/>
        </w:rPr>
        <w:t xml:space="preserve">Programme priorities and partnerships </w:t>
      </w:r>
    </w:p>
    <w:p w14:paraId="3D05FA80" w14:textId="77777777" w:rsidR="00B548DD" w:rsidRPr="005145F0" w:rsidRDefault="00B548DD" w:rsidP="00A419B7">
      <w:pPr>
        <w:tabs>
          <w:tab w:val="left" w:pos="1080"/>
        </w:tabs>
        <w:ind w:hanging="17"/>
      </w:pPr>
    </w:p>
    <w:p w14:paraId="2967E0C9" w14:textId="0D15BE72" w:rsidR="00B548DD" w:rsidRPr="00880825" w:rsidRDefault="00B548DD" w:rsidP="00A419B7">
      <w:pPr>
        <w:pStyle w:val="ListParagraph"/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after="120"/>
        <w:ind w:left="737" w:right="1644" w:hanging="17"/>
        <w:jc w:val="both"/>
      </w:pPr>
      <w:r w:rsidRPr="005145F0">
        <w:t xml:space="preserve">The new </w:t>
      </w:r>
      <w:r w:rsidR="00BA65E6">
        <w:t>c</w:t>
      </w:r>
      <w:r w:rsidRPr="005145F0">
        <w:t xml:space="preserve">ountry </w:t>
      </w:r>
      <w:r w:rsidR="00BA65E6">
        <w:t>p</w:t>
      </w:r>
      <w:r w:rsidRPr="005145F0">
        <w:t xml:space="preserve">rogramme takes into account UNDP’s comparative advantages and past achievements. UNDP will </w:t>
      </w:r>
      <w:r w:rsidR="00913E55">
        <w:t xml:space="preserve">support </w:t>
      </w:r>
      <w:r w:rsidR="00913E55" w:rsidRPr="005145F0">
        <w:t>the</w:t>
      </w:r>
      <w:r w:rsidR="005F1DDA" w:rsidRPr="005145F0">
        <w:t xml:space="preserve"> related areas of </w:t>
      </w:r>
      <w:r w:rsidR="004500CF" w:rsidRPr="005145F0">
        <w:t xml:space="preserve">sustainable development; </w:t>
      </w:r>
      <w:r w:rsidR="00B33280" w:rsidRPr="005145F0">
        <w:t>health and HIV/AIDS</w:t>
      </w:r>
      <w:r w:rsidR="005F1DDA" w:rsidRPr="005145F0">
        <w:t>;</w:t>
      </w:r>
      <w:r w:rsidR="005D60A7" w:rsidRPr="005145F0">
        <w:t xml:space="preserve"> democratic governance</w:t>
      </w:r>
      <w:r w:rsidR="005F1DDA" w:rsidRPr="005145F0">
        <w:t>;</w:t>
      </w:r>
      <w:r w:rsidRPr="005145F0">
        <w:t xml:space="preserve"> and resilien</w:t>
      </w:r>
      <w:r w:rsidR="009A182D" w:rsidRPr="005145F0">
        <w:t>ce to climate change</w:t>
      </w:r>
      <w:r w:rsidRPr="005145F0">
        <w:t xml:space="preserve">. </w:t>
      </w:r>
      <w:r w:rsidR="00894D9F">
        <w:t xml:space="preserve">It is expected that </w:t>
      </w:r>
      <w:r w:rsidR="008B0BAA">
        <w:t xml:space="preserve">UNDP’s </w:t>
      </w:r>
      <w:r w:rsidR="00894D9F">
        <w:t xml:space="preserve">work in </w:t>
      </w:r>
      <w:r w:rsidR="008B0BAA">
        <w:t xml:space="preserve">the area of </w:t>
      </w:r>
      <w:r w:rsidR="00894D9F">
        <w:t xml:space="preserve">governance </w:t>
      </w:r>
      <w:r w:rsidR="005F1DDA" w:rsidRPr="005145F0">
        <w:t xml:space="preserve">will </w:t>
      </w:r>
      <w:r w:rsidR="00BA65E6">
        <w:t>improve</w:t>
      </w:r>
      <w:r w:rsidR="00894D9F">
        <w:t xml:space="preserve"> the</w:t>
      </w:r>
      <w:r w:rsidR="005F1DDA" w:rsidRPr="005145F0">
        <w:t xml:space="preserve"> investment environment</w:t>
      </w:r>
      <w:r w:rsidR="00BA65E6">
        <w:t>,</w:t>
      </w:r>
      <w:r w:rsidR="005F1DDA" w:rsidRPr="005145F0">
        <w:t xml:space="preserve"> </w:t>
      </w:r>
      <w:r w:rsidR="00894D9F">
        <w:t xml:space="preserve">thereby </w:t>
      </w:r>
      <w:r w:rsidR="005F1DDA" w:rsidRPr="005145F0">
        <w:t xml:space="preserve">increasing </w:t>
      </w:r>
      <w:r w:rsidR="00E24B5F">
        <w:t>and diversifying</w:t>
      </w:r>
      <w:r w:rsidR="005F1DDA" w:rsidRPr="005145F0">
        <w:t xml:space="preserve"> economic opportunities and helping vulnerable</w:t>
      </w:r>
      <w:r w:rsidR="00894D9F">
        <w:t xml:space="preserve"> </w:t>
      </w:r>
      <w:r w:rsidR="00BA65E6">
        <w:t xml:space="preserve">people, </w:t>
      </w:r>
      <w:r w:rsidR="00894D9F">
        <w:t xml:space="preserve">who are </w:t>
      </w:r>
      <w:r w:rsidR="005F1DDA" w:rsidRPr="005145F0">
        <w:t>disproportionately affected by climate change</w:t>
      </w:r>
      <w:r w:rsidR="00BA65E6">
        <w:t>. A</w:t>
      </w:r>
      <w:r w:rsidR="00E24B5F">
        <w:t xml:space="preserve">t the same time, a focus on </w:t>
      </w:r>
      <w:r w:rsidR="0014498D">
        <w:t xml:space="preserve">participation </w:t>
      </w:r>
      <w:r w:rsidR="00BA65E6">
        <w:t xml:space="preserve">by decentralized groups </w:t>
      </w:r>
      <w:r w:rsidR="00880825">
        <w:t xml:space="preserve">involving </w:t>
      </w:r>
      <w:r w:rsidR="00E24B5F">
        <w:t xml:space="preserve">health institutions and services will </w:t>
      </w:r>
      <w:r w:rsidR="00BA65E6">
        <w:t>help</w:t>
      </w:r>
      <w:r w:rsidR="00E24B5F">
        <w:t xml:space="preserve"> vulnerable </w:t>
      </w:r>
      <w:r w:rsidR="00BA65E6">
        <w:t>people</w:t>
      </w:r>
      <w:r w:rsidR="00E24B5F">
        <w:t xml:space="preserve"> to participate </w:t>
      </w:r>
      <w:r w:rsidR="0014498D">
        <w:t xml:space="preserve">more </w:t>
      </w:r>
      <w:r w:rsidR="00E24B5F">
        <w:t>fully in development</w:t>
      </w:r>
      <w:r w:rsidR="005F1DDA" w:rsidRPr="005145F0">
        <w:t xml:space="preserve">. </w:t>
      </w:r>
      <w:r w:rsidR="00BA65E6">
        <w:t>T</w:t>
      </w:r>
      <w:r w:rsidR="00D50D9E" w:rsidRPr="005145F0">
        <w:t>he</w:t>
      </w:r>
      <w:r w:rsidR="00BA65E6">
        <w:t xml:space="preserve"> framework of the</w:t>
      </w:r>
      <w:r w:rsidR="00D50D9E" w:rsidRPr="005145F0">
        <w:t xml:space="preserve"> </w:t>
      </w:r>
      <w:r w:rsidR="00BA65E6">
        <w:t xml:space="preserve">Sustainable Development Goals </w:t>
      </w:r>
      <w:r w:rsidR="00BA65E6">
        <w:lastRenderedPageBreak/>
        <w:t>(</w:t>
      </w:r>
      <w:r w:rsidR="00D50D9E" w:rsidRPr="005145F0">
        <w:t>SDGs</w:t>
      </w:r>
      <w:r w:rsidR="00BA65E6">
        <w:t>)</w:t>
      </w:r>
      <w:r w:rsidR="00D50D9E" w:rsidRPr="005145F0">
        <w:t xml:space="preserve"> will </w:t>
      </w:r>
      <w:r w:rsidR="00BA65E6">
        <w:t>help</w:t>
      </w:r>
      <w:r w:rsidR="00BA65E6" w:rsidRPr="005145F0">
        <w:t xml:space="preserve"> </w:t>
      </w:r>
      <w:r w:rsidR="00D50D9E" w:rsidRPr="005145F0">
        <w:t xml:space="preserve">UNDP </w:t>
      </w:r>
      <w:r w:rsidR="00BA65E6">
        <w:t>in</w:t>
      </w:r>
      <w:r w:rsidR="00D50D9E" w:rsidRPr="005145F0">
        <w:t xml:space="preserve"> addressing inequality</w:t>
      </w:r>
      <w:r w:rsidR="00880825">
        <w:t xml:space="preserve"> by</w:t>
      </w:r>
      <w:r w:rsidR="00D50D9E" w:rsidRPr="005145F0">
        <w:t xml:space="preserve"> strengthening resilience and reducing environmental vulnerability</w:t>
      </w:r>
      <w:r w:rsidR="00913E55" w:rsidRPr="005145F0">
        <w:t>.</w:t>
      </w:r>
      <w:r w:rsidR="005F1DDA" w:rsidRPr="005145F0">
        <w:t xml:space="preserve"> </w:t>
      </w:r>
      <w:r w:rsidR="001062F1" w:rsidRPr="005145F0">
        <w:t>Moreover, given the absence of a national strategy to fight inequalities, th</w:t>
      </w:r>
      <w:r w:rsidR="00BA65E6">
        <w:t>e country programme</w:t>
      </w:r>
      <w:r w:rsidR="001062F1" w:rsidRPr="005145F0">
        <w:t xml:space="preserve"> will support </w:t>
      </w:r>
      <w:r w:rsidR="001062F1">
        <w:t xml:space="preserve">the </w:t>
      </w:r>
      <w:r w:rsidR="00BA65E6">
        <w:t>G</w:t>
      </w:r>
      <w:r w:rsidR="001062F1">
        <w:t xml:space="preserve">overnment </w:t>
      </w:r>
      <w:r w:rsidR="008B0BAA">
        <w:t xml:space="preserve">in </w:t>
      </w:r>
      <w:r w:rsidR="00BA65E6">
        <w:t>achieving its objective of leaving</w:t>
      </w:r>
      <w:r w:rsidR="008B0BAA">
        <w:t xml:space="preserve"> </w:t>
      </w:r>
      <w:r w:rsidR="001062F1">
        <w:t>no</w:t>
      </w:r>
      <w:r w:rsidR="00093C0A">
        <w:t xml:space="preserve"> </w:t>
      </w:r>
      <w:r w:rsidR="008B0BAA">
        <w:t>one</w:t>
      </w:r>
      <w:r w:rsidR="001062F1">
        <w:t xml:space="preserve"> behind</w:t>
      </w:r>
      <w:r w:rsidR="001062F1" w:rsidRPr="005145F0">
        <w:t xml:space="preserve">. </w:t>
      </w:r>
      <w:r w:rsidR="000C3DA3" w:rsidRPr="005145F0">
        <w:t>T</w:t>
      </w:r>
      <w:r w:rsidRPr="005145F0">
        <w:t>h</w:t>
      </w:r>
      <w:r w:rsidR="00BA65E6">
        <w:t xml:space="preserve">e </w:t>
      </w:r>
      <w:r w:rsidR="00880825">
        <w:t xml:space="preserve">country </w:t>
      </w:r>
      <w:r w:rsidR="00BA65E6">
        <w:t>programme</w:t>
      </w:r>
      <w:r w:rsidRPr="005145F0">
        <w:t xml:space="preserve"> is in line with the </w:t>
      </w:r>
      <w:bookmarkStart w:id="0" w:name="_GoBack"/>
      <w:bookmarkEnd w:id="0"/>
      <w:r w:rsidR="006C64B1">
        <w:t>Transformation Agenda</w:t>
      </w:r>
      <w:r w:rsidR="00DF2102">
        <w:t>,</w:t>
      </w:r>
      <w:r w:rsidR="000C3DA3" w:rsidRPr="005145F0">
        <w:t xml:space="preserve"> which</w:t>
      </w:r>
      <w:r w:rsidR="00C504E5">
        <w:t xml:space="preserve"> is </w:t>
      </w:r>
      <w:r w:rsidRPr="005145F0">
        <w:t>based on</w:t>
      </w:r>
      <w:r w:rsidR="00EF2999" w:rsidRPr="005145F0">
        <w:t xml:space="preserve"> </w:t>
      </w:r>
      <w:r w:rsidR="00880825">
        <w:t>(a)</w:t>
      </w:r>
      <w:r w:rsidR="00EF2999" w:rsidRPr="00880825">
        <w:t xml:space="preserve"> </w:t>
      </w:r>
      <w:r w:rsidR="008B0BAA" w:rsidRPr="00880825">
        <w:t>s</w:t>
      </w:r>
      <w:r w:rsidRPr="00880825">
        <w:t>trengthening social cohesion and</w:t>
      </w:r>
      <w:r w:rsidR="000C3DA3" w:rsidRPr="00880825">
        <w:t xml:space="preserve"> </w:t>
      </w:r>
      <w:r w:rsidRPr="00880825">
        <w:t>in</w:t>
      </w:r>
      <w:r w:rsidR="000C3DA3" w:rsidRPr="00880825">
        <w:t>ternal and external credibility</w:t>
      </w:r>
      <w:r w:rsidR="00EF2999" w:rsidRPr="00880825">
        <w:t xml:space="preserve"> </w:t>
      </w:r>
      <w:r w:rsidR="00093C0A" w:rsidRPr="00880825">
        <w:t xml:space="preserve">and </w:t>
      </w:r>
      <w:r w:rsidR="00880825">
        <w:t>(b</w:t>
      </w:r>
      <w:r w:rsidR="00EF2999" w:rsidRPr="00880825">
        <w:t xml:space="preserve">) </w:t>
      </w:r>
      <w:r w:rsidR="008B0BAA" w:rsidRPr="00880825">
        <w:t>a</w:t>
      </w:r>
      <w:r w:rsidRPr="00880825">
        <w:t xml:space="preserve">ccelerating sustainable growth and job creation, poverty reduction and </w:t>
      </w:r>
      <w:r w:rsidR="00880825">
        <w:t xml:space="preserve">achievement of </w:t>
      </w:r>
      <w:r w:rsidRPr="00880825">
        <w:t>food security</w:t>
      </w:r>
      <w:r w:rsidR="00880825">
        <w:t>.</w:t>
      </w:r>
      <w:r w:rsidR="00C504E5" w:rsidRPr="00880825">
        <w:rPr>
          <w:rStyle w:val="FootnoteReference"/>
        </w:rPr>
        <w:footnoteReference w:id="17"/>
      </w:r>
      <w:r w:rsidR="00BE52F7" w:rsidRPr="00880825">
        <w:t xml:space="preserve"> </w:t>
      </w:r>
    </w:p>
    <w:p w14:paraId="11274229" w14:textId="77777777" w:rsidR="00DF2102" w:rsidRDefault="006837BB" w:rsidP="00A419B7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after="120"/>
        <w:ind w:left="737" w:right="1644" w:hanging="17"/>
        <w:jc w:val="both"/>
      </w:pPr>
      <w:r w:rsidRPr="005145F0">
        <w:t>Th</w:t>
      </w:r>
      <w:r w:rsidR="00DF2102">
        <w:t>e country programme</w:t>
      </w:r>
      <w:r w:rsidR="00B548DD" w:rsidRPr="005145F0">
        <w:t xml:space="preserve"> will contribute to </w:t>
      </w:r>
      <w:r w:rsidR="00DF2102">
        <w:t xml:space="preserve">achievement of </w:t>
      </w:r>
      <w:r w:rsidR="00B548DD" w:rsidRPr="005145F0">
        <w:t xml:space="preserve">the </w:t>
      </w:r>
      <w:r w:rsidRPr="005145F0">
        <w:t>SDGs, most</w:t>
      </w:r>
      <w:r w:rsidR="00B548DD" w:rsidRPr="005145F0">
        <w:t xml:space="preserve"> specifically </w:t>
      </w:r>
      <w:r w:rsidR="008B0BAA">
        <w:t xml:space="preserve">to </w:t>
      </w:r>
      <w:r w:rsidR="00DF2102">
        <w:t>Goals</w:t>
      </w:r>
      <w:r w:rsidR="00DF2102" w:rsidRPr="005145F0">
        <w:t xml:space="preserve"> </w:t>
      </w:r>
      <w:r w:rsidR="00B548DD" w:rsidRPr="005145F0">
        <w:t xml:space="preserve">1, 8, 10 and 16. </w:t>
      </w:r>
      <w:r w:rsidR="00DF2102">
        <w:t>T</w:t>
      </w:r>
      <w:r w:rsidR="00B548DD" w:rsidRPr="005145F0">
        <w:t>he n</w:t>
      </w:r>
      <w:r w:rsidRPr="005145F0">
        <w:t xml:space="preserve">ational authorities have decided to </w:t>
      </w:r>
      <w:r w:rsidR="00B548DD" w:rsidRPr="005145F0">
        <w:t>implement</w:t>
      </w:r>
      <w:r w:rsidRPr="005145F0">
        <w:t xml:space="preserve"> </w:t>
      </w:r>
      <w:r w:rsidR="00B548DD" w:rsidRPr="005145F0">
        <w:t xml:space="preserve">all the SDGs, giving priority to </w:t>
      </w:r>
      <w:r w:rsidR="00DF2102">
        <w:t>Goals</w:t>
      </w:r>
      <w:r w:rsidR="00DF2102" w:rsidRPr="005145F0">
        <w:t xml:space="preserve"> </w:t>
      </w:r>
      <w:r w:rsidR="00B548DD" w:rsidRPr="005145F0">
        <w:t xml:space="preserve">1, 5, 8, 10 and 16. UNDP will support the </w:t>
      </w:r>
      <w:r w:rsidR="00DF2102">
        <w:t>G</w:t>
      </w:r>
      <w:r w:rsidR="00B548DD" w:rsidRPr="005145F0">
        <w:t xml:space="preserve">overnment </w:t>
      </w:r>
      <w:r w:rsidR="00E62FCE" w:rsidRPr="005145F0">
        <w:t>in</w:t>
      </w:r>
      <w:r w:rsidR="00256AC4" w:rsidRPr="005145F0">
        <w:t xml:space="preserve"> </w:t>
      </w:r>
      <w:r w:rsidR="00B548DD" w:rsidRPr="005145F0">
        <w:t>establish</w:t>
      </w:r>
      <w:r w:rsidR="00E62FCE" w:rsidRPr="005145F0">
        <w:t>ing</w:t>
      </w:r>
      <w:r w:rsidR="00256AC4" w:rsidRPr="005145F0">
        <w:t xml:space="preserve"> </w:t>
      </w:r>
      <w:r w:rsidR="00B548DD" w:rsidRPr="005145F0">
        <w:t>a road</w:t>
      </w:r>
      <w:r w:rsidR="00DF2102">
        <w:t xml:space="preserve"> </w:t>
      </w:r>
      <w:r w:rsidR="00B548DD" w:rsidRPr="005145F0">
        <w:t>map and mobiliz</w:t>
      </w:r>
      <w:r w:rsidR="00E62FCE" w:rsidRPr="005145F0">
        <w:t>ing</w:t>
      </w:r>
      <w:r w:rsidR="00B548DD" w:rsidRPr="005145F0">
        <w:t xml:space="preserve"> resources</w:t>
      </w:r>
      <w:r w:rsidR="00DF2102">
        <w:t xml:space="preserve">. The </w:t>
      </w:r>
      <w:r w:rsidR="002238EC" w:rsidRPr="005145F0">
        <w:t xml:space="preserve">modalities </w:t>
      </w:r>
      <w:r w:rsidR="00DF2102">
        <w:t xml:space="preserve">will include </w:t>
      </w:r>
      <w:r w:rsidR="002238EC" w:rsidRPr="005145F0">
        <w:t xml:space="preserve">investment in </w:t>
      </w:r>
      <w:r w:rsidR="00931C7F" w:rsidRPr="005145F0">
        <w:t>sustainable</w:t>
      </w:r>
      <w:r w:rsidR="002238EC" w:rsidRPr="005145F0">
        <w:t xml:space="preserve"> inf</w:t>
      </w:r>
      <w:r w:rsidR="00931C7F" w:rsidRPr="005145F0">
        <w:t>rastructure and environmental</w:t>
      </w:r>
      <w:r w:rsidR="00DF2102">
        <w:t xml:space="preserve"> </w:t>
      </w:r>
      <w:r w:rsidR="002238EC" w:rsidRPr="005145F0">
        <w:t xml:space="preserve">resilience projects </w:t>
      </w:r>
      <w:r w:rsidR="00DF2102">
        <w:t>through</w:t>
      </w:r>
      <w:r w:rsidR="00DF2102" w:rsidRPr="005145F0">
        <w:t xml:space="preserve"> </w:t>
      </w:r>
      <w:r w:rsidR="002238EC" w:rsidRPr="005145F0">
        <w:t>Sout</w:t>
      </w:r>
      <w:r w:rsidRPr="005145F0">
        <w:t>h</w:t>
      </w:r>
      <w:r w:rsidR="00880825">
        <w:t>-</w:t>
      </w:r>
      <w:r w:rsidR="002238EC" w:rsidRPr="005145F0">
        <w:t>South partnerships</w:t>
      </w:r>
      <w:r w:rsidR="00DF2102">
        <w:t xml:space="preserve"> and engagement with the</w:t>
      </w:r>
      <w:r w:rsidR="002238EC" w:rsidRPr="005145F0">
        <w:t xml:space="preserve"> private sector</w:t>
      </w:r>
      <w:r w:rsidR="00B548DD" w:rsidRPr="005145F0">
        <w:t xml:space="preserve">. </w:t>
      </w:r>
    </w:p>
    <w:p w14:paraId="2A21C8C8" w14:textId="77777777" w:rsidR="00B548DD" w:rsidRPr="005145F0" w:rsidRDefault="00DF2102" w:rsidP="00A419B7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after="120"/>
        <w:ind w:left="737" w:right="1644" w:hanging="17"/>
        <w:jc w:val="both"/>
      </w:pPr>
      <w:r>
        <w:t>The</w:t>
      </w:r>
      <w:r w:rsidR="00B548DD" w:rsidRPr="005145F0">
        <w:t xml:space="preserve"> approach </w:t>
      </w:r>
      <w:r>
        <w:t>involves integrating</w:t>
      </w:r>
      <w:r w:rsidR="00256AC4" w:rsidRPr="005145F0">
        <w:t xml:space="preserve"> </w:t>
      </w:r>
      <w:r w:rsidR="00B548DD" w:rsidRPr="005145F0">
        <w:t xml:space="preserve">the five </w:t>
      </w:r>
      <w:r w:rsidR="009D2F2D" w:rsidRPr="005145F0">
        <w:t>priority</w:t>
      </w:r>
      <w:r w:rsidR="00256AC4" w:rsidRPr="005145F0">
        <w:t xml:space="preserve"> </w:t>
      </w:r>
      <w:r>
        <w:t>Goals</w:t>
      </w:r>
      <w:r w:rsidR="00B548DD" w:rsidRPr="005145F0">
        <w:t xml:space="preserve"> into the results and r</w:t>
      </w:r>
      <w:r w:rsidR="00073DBE" w:rsidRPr="005145F0">
        <w:t xml:space="preserve">esources framework. </w:t>
      </w:r>
      <w:r>
        <w:t>Goal</w:t>
      </w:r>
      <w:r w:rsidRPr="005145F0">
        <w:t xml:space="preserve"> </w:t>
      </w:r>
      <w:r w:rsidR="00B548DD" w:rsidRPr="005145F0">
        <w:t>5 will be addressed in a cross-cutting manner.</w:t>
      </w:r>
      <w:r w:rsidR="009A0C93" w:rsidRPr="005145F0">
        <w:t xml:space="preserve"> </w:t>
      </w:r>
      <w:r w:rsidR="006837BB" w:rsidRPr="005145F0">
        <w:t>Competi</w:t>
      </w:r>
      <w:r w:rsidR="00880825">
        <w:t>ti</w:t>
      </w:r>
      <w:r w:rsidR="006837BB" w:rsidRPr="005145F0">
        <w:t>veness and e</w:t>
      </w:r>
      <w:r w:rsidR="00F853BF" w:rsidRPr="005145F0">
        <w:t xml:space="preserve">mployment will be </w:t>
      </w:r>
      <w:r>
        <w:t>aided</w:t>
      </w:r>
      <w:r w:rsidRPr="005145F0">
        <w:t xml:space="preserve"> </w:t>
      </w:r>
      <w:r w:rsidR="00F853BF" w:rsidRPr="005145F0">
        <w:t xml:space="preserve">through </w:t>
      </w:r>
      <w:r w:rsidR="006837BB" w:rsidRPr="005145F0">
        <w:t>economic</w:t>
      </w:r>
      <w:r w:rsidR="00F853BF" w:rsidRPr="005145F0">
        <w:t xml:space="preserve"> diversification and resilience</w:t>
      </w:r>
      <w:r>
        <w:t>. This</w:t>
      </w:r>
      <w:r w:rsidR="00F853BF" w:rsidRPr="005145F0">
        <w:t xml:space="preserve"> will improve the quality of li</w:t>
      </w:r>
      <w:r w:rsidR="00880825">
        <w:t>fe for</w:t>
      </w:r>
      <w:r w:rsidR="00F853BF" w:rsidRPr="005145F0">
        <w:t xml:space="preserve"> poor and vulnerable </w:t>
      </w:r>
      <w:r w:rsidRPr="005145F0">
        <w:t>group</w:t>
      </w:r>
      <w:r w:rsidR="00880825">
        <w:t>s</w:t>
      </w:r>
      <w:r>
        <w:t xml:space="preserve"> while also supporting</w:t>
      </w:r>
      <w:r w:rsidR="00F853BF" w:rsidRPr="005145F0">
        <w:t xml:space="preserve"> access to financial aid and markets </w:t>
      </w:r>
      <w:r>
        <w:t>by</w:t>
      </w:r>
      <w:r w:rsidRPr="005145F0">
        <w:t xml:space="preserve"> </w:t>
      </w:r>
      <w:r w:rsidR="00F853BF" w:rsidRPr="005145F0">
        <w:t>youth and women.</w:t>
      </w:r>
      <w:r w:rsidR="00B43B58" w:rsidRPr="005145F0">
        <w:t xml:space="preserve"> </w:t>
      </w:r>
      <w:r w:rsidR="00ED5725" w:rsidRPr="005145F0">
        <w:t>Suppo</w:t>
      </w:r>
      <w:r w:rsidR="00931C7F" w:rsidRPr="005145F0">
        <w:t>rt will be provided to improve</w:t>
      </w:r>
      <w:r w:rsidR="00ED5725" w:rsidRPr="005145F0">
        <w:t xml:space="preserve"> the </w:t>
      </w:r>
      <w:r w:rsidR="0014498D">
        <w:t>r</w:t>
      </w:r>
      <w:r w:rsidR="00ED5725" w:rsidRPr="005145F0">
        <w:t xml:space="preserve">ule of </w:t>
      </w:r>
      <w:r w:rsidR="0014498D">
        <w:t>l</w:t>
      </w:r>
      <w:r w:rsidR="00ED5725" w:rsidRPr="005145F0">
        <w:t xml:space="preserve">aw in </w:t>
      </w:r>
      <w:r w:rsidRPr="005145F0">
        <w:t>São Tomé and Príncipe</w:t>
      </w:r>
      <w:r>
        <w:t>, which will help</w:t>
      </w:r>
      <w:r w:rsidR="00ED5725" w:rsidRPr="005145F0">
        <w:t xml:space="preserve"> </w:t>
      </w:r>
      <w:r>
        <w:t>in mobilizing</w:t>
      </w:r>
      <w:r w:rsidR="00ED5725" w:rsidRPr="005145F0">
        <w:t xml:space="preserve"> resource</w:t>
      </w:r>
      <w:r>
        <w:t>s</w:t>
      </w:r>
      <w:r w:rsidR="00ED5725" w:rsidRPr="005145F0">
        <w:t xml:space="preserve"> and attracting foreign investment</w:t>
      </w:r>
      <w:r w:rsidR="006837BB" w:rsidRPr="005145F0">
        <w:t>.</w:t>
      </w:r>
      <w:r w:rsidR="00ED5725" w:rsidRPr="005145F0">
        <w:t xml:space="preserve"> </w:t>
      </w:r>
      <w:r w:rsidR="00931C7F" w:rsidRPr="005145F0">
        <w:t>Simultaneously</w:t>
      </w:r>
      <w:r w:rsidR="00B43B58" w:rsidRPr="005145F0">
        <w:t xml:space="preserve">, UNDP will </w:t>
      </w:r>
      <w:r w:rsidR="006837BB" w:rsidRPr="005145F0">
        <w:t xml:space="preserve">help the </w:t>
      </w:r>
      <w:r>
        <w:t>G</w:t>
      </w:r>
      <w:r w:rsidR="006837BB" w:rsidRPr="005145F0">
        <w:t>overnment raise</w:t>
      </w:r>
      <w:r w:rsidR="00B43B58" w:rsidRPr="005145F0">
        <w:t xml:space="preserve"> awareness and </w:t>
      </w:r>
      <w:r w:rsidR="006837BB" w:rsidRPr="005145F0">
        <w:t>engage in</w:t>
      </w:r>
      <w:r w:rsidR="00931C7F" w:rsidRPr="005145F0">
        <w:t xml:space="preserve"> </w:t>
      </w:r>
      <w:r w:rsidR="00B43B58" w:rsidRPr="005145F0">
        <w:t xml:space="preserve">outreach to </w:t>
      </w:r>
      <w:r w:rsidR="00880825">
        <w:t>build</w:t>
      </w:r>
      <w:r w:rsidR="00880825" w:rsidRPr="005145F0">
        <w:t xml:space="preserve"> </w:t>
      </w:r>
      <w:r w:rsidR="00FF7538" w:rsidRPr="005145F0">
        <w:t>public</w:t>
      </w:r>
      <w:r w:rsidR="00B43B58" w:rsidRPr="005145F0">
        <w:t xml:space="preserve"> understanding of the</w:t>
      </w:r>
      <w:r w:rsidR="00FF7538" w:rsidRPr="005145F0">
        <w:t xml:space="preserve"> SDGs and their significance to </w:t>
      </w:r>
      <w:r>
        <w:t>the country</w:t>
      </w:r>
      <w:r w:rsidR="003D02DC" w:rsidRPr="005145F0">
        <w:t>.</w:t>
      </w:r>
      <w:r w:rsidR="00FF7538" w:rsidRPr="005145F0">
        <w:t xml:space="preserve"> </w:t>
      </w:r>
    </w:p>
    <w:p w14:paraId="6D2068BC" w14:textId="42EDD542" w:rsidR="00783442" w:rsidRPr="005145F0" w:rsidRDefault="00221999" w:rsidP="00A419B7">
      <w:pPr>
        <w:pStyle w:val="ListParagraph"/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after="120"/>
        <w:ind w:left="737" w:right="1644" w:hanging="17"/>
        <w:jc w:val="both"/>
      </w:pPr>
      <w:r w:rsidRPr="009B2E26">
        <w:t xml:space="preserve">In health and </w:t>
      </w:r>
      <w:r w:rsidR="00384007" w:rsidRPr="00221999">
        <w:t>HIV/AIDS</w:t>
      </w:r>
      <w:r w:rsidRPr="009B2E26">
        <w:t>, t</w:t>
      </w:r>
      <w:r>
        <w:t>h</w:t>
      </w:r>
      <w:r w:rsidR="00DF2102">
        <w:t>rough the Global Fund</w:t>
      </w:r>
      <w:r w:rsidR="00B548DD" w:rsidRPr="005145F0">
        <w:t xml:space="preserve">, </w:t>
      </w:r>
      <w:r w:rsidR="00826491" w:rsidRPr="005145F0">
        <w:t xml:space="preserve">UNDP will continue </w:t>
      </w:r>
      <w:r w:rsidR="006837BB" w:rsidRPr="005145F0">
        <w:t>to support</w:t>
      </w:r>
      <w:r w:rsidR="00DF2102">
        <w:t xml:space="preserve"> improvements to </w:t>
      </w:r>
      <w:r w:rsidR="00956345">
        <w:t xml:space="preserve">provision of </w:t>
      </w:r>
      <w:r w:rsidR="00C81D92" w:rsidRPr="005145F0">
        <w:t xml:space="preserve">health </w:t>
      </w:r>
      <w:r w:rsidR="00B548DD" w:rsidRPr="005145F0">
        <w:t>services</w:t>
      </w:r>
      <w:r w:rsidR="006837BB" w:rsidRPr="005145F0">
        <w:t xml:space="preserve"> </w:t>
      </w:r>
      <w:r w:rsidR="00B548DD" w:rsidRPr="005145F0">
        <w:t>for</w:t>
      </w:r>
      <w:r w:rsidR="00C81D92" w:rsidRPr="005145F0">
        <w:t xml:space="preserve"> sex professionals, </w:t>
      </w:r>
      <w:r w:rsidR="00DF2102">
        <w:t xml:space="preserve">who are especially </w:t>
      </w:r>
      <w:r w:rsidR="00C81D92" w:rsidRPr="005145F0">
        <w:t xml:space="preserve">vulnerable to HIV/AIDS and </w:t>
      </w:r>
      <w:r w:rsidR="00DF2102">
        <w:t>t</w:t>
      </w:r>
      <w:r w:rsidR="00C81D92" w:rsidRPr="005145F0">
        <w:t>uberculosis</w:t>
      </w:r>
      <w:r w:rsidR="00B548DD" w:rsidRPr="005145F0">
        <w:t>. This</w:t>
      </w:r>
      <w:r w:rsidR="00DF2102">
        <w:t xml:space="preserve"> will</w:t>
      </w:r>
      <w:r w:rsidR="00B548DD" w:rsidRPr="005145F0">
        <w:t xml:space="preserve"> include</w:t>
      </w:r>
      <w:r w:rsidR="00DF2102">
        <w:t xml:space="preserve"> a focus on</w:t>
      </w:r>
      <w:r w:rsidR="00B548DD" w:rsidRPr="005145F0">
        <w:t xml:space="preserve"> reducing</w:t>
      </w:r>
      <w:r w:rsidR="00931C7F" w:rsidRPr="005145F0">
        <w:t xml:space="preserve"> the prevalence of</w:t>
      </w:r>
      <w:r w:rsidR="00B548DD" w:rsidRPr="005145F0">
        <w:t xml:space="preserve"> HIV </w:t>
      </w:r>
      <w:r w:rsidR="00931C7F" w:rsidRPr="005145F0">
        <w:t>and</w:t>
      </w:r>
      <w:r w:rsidR="00B548DD" w:rsidRPr="005145F0">
        <w:t xml:space="preserve"> tuberculosis </w:t>
      </w:r>
      <w:r w:rsidR="00DF2102">
        <w:t>and</w:t>
      </w:r>
      <w:r w:rsidR="00256AC4" w:rsidRPr="005145F0">
        <w:t xml:space="preserve"> </w:t>
      </w:r>
      <w:r w:rsidR="00F27CE1" w:rsidRPr="005145F0">
        <w:t>eliminating</w:t>
      </w:r>
      <w:r w:rsidR="00B548DD" w:rsidRPr="005145F0">
        <w:t xml:space="preserve"> malaria. UNDP’s interventions will </w:t>
      </w:r>
      <w:r w:rsidR="00384007">
        <w:t>concentrate</w:t>
      </w:r>
      <w:r w:rsidR="00384007" w:rsidRPr="005145F0">
        <w:t xml:space="preserve"> </w:t>
      </w:r>
      <w:r w:rsidR="00B548DD" w:rsidRPr="005145F0">
        <w:t xml:space="preserve">on strengthening the health system in three main </w:t>
      </w:r>
      <w:r w:rsidR="006837BB" w:rsidRPr="005145F0">
        <w:t>areas</w:t>
      </w:r>
      <w:r w:rsidR="00B548DD" w:rsidRPr="005145F0">
        <w:t xml:space="preserve">: health information; </w:t>
      </w:r>
      <w:r w:rsidR="006837BB" w:rsidRPr="005145F0">
        <w:t xml:space="preserve">drugs and medical products </w:t>
      </w:r>
      <w:r w:rsidR="00B548DD" w:rsidRPr="005145F0">
        <w:t xml:space="preserve">procurement; and community systems. UNDP will support the </w:t>
      </w:r>
      <w:r w:rsidR="00384007">
        <w:t>G</w:t>
      </w:r>
      <w:r w:rsidR="00B548DD" w:rsidRPr="005145F0">
        <w:t>overnment in coordin</w:t>
      </w:r>
      <w:r w:rsidR="00764AF2" w:rsidRPr="005145F0">
        <w:t xml:space="preserve">ating partners, decentralizing response </w:t>
      </w:r>
      <w:r w:rsidR="00B548DD" w:rsidRPr="005145F0">
        <w:t xml:space="preserve">management and </w:t>
      </w:r>
      <w:r w:rsidR="00384007">
        <w:t xml:space="preserve">aiding </w:t>
      </w:r>
      <w:r w:rsidR="00764AF2" w:rsidRPr="005145F0">
        <w:t>community involvement</w:t>
      </w:r>
      <w:r w:rsidR="00B548DD" w:rsidRPr="005145F0">
        <w:t xml:space="preserve"> </w:t>
      </w:r>
      <w:r w:rsidR="00384007">
        <w:t xml:space="preserve">by </w:t>
      </w:r>
      <w:r w:rsidR="009725E5" w:rsidRPr="005145F0">
        <w:t xml:space="preserve">vulnerable </w:t>
      </w:r>
      <w:r w:rsidR="00B548DD" w:rsidRPr="005145F0">
        <w:t xml:space="preserve">men and women. This support will be the key element of UNDP’s strategy </w:t>
      </w:r>
      <w:r w:rsidR="00956345">
        <w:t>to transition</w:t>
      </w:r>
      <w:r w:rsidR="00EB34EB">
        <w:t xml:space="preserve"> the Global Fund</w:t>
      </w:r>
      <w:r w:rsidR="00956345">
        <w:t xml:space="preserve"> </w:t>
      </w:r>
      <w:r w:rsidR="00F120C2" w:rsidRPr="005145F0">
        <w:t>programme</w:t>
      </w:r>
      <w:r w:rsidR="00EB34EB">
        <w:t xml:space="preserve"> to </w:t>
      </w:r>
      <w:r w:rsidR="00B548DD" w:rsidRPr="005145F0">
        <w:t>nat</w:t>
      </w:r>
      <w:r w:rsidR="00F120C2" w:rsidRPr="005145F0">
        <w:t>ional</w:t>
      </w:r>
      <w:r w:rsidR="00EB34EB">
        <w:t xml:space="preserve"> </w:t>
      </w:r>
      <w:r w:rsidR="00956345">
        <w:t>management</w:t>
      </w:r>
      <w:r w:rsidR="00B548DD" w:rsidRPr="005145F0">
        <w:t xml:space="preserve">. </w:t>
      </w:r>
      <w:r w:rsidR="00624AAF" w:rsidRPr="005145F0">
        <w:t xml:space="preserve">Disparities and inequalities at all levels </w:t>
      </w:r>
      <w:r w:rsidR="009D2F2D" w:rsidRPr="005145F0">
        <w:t xml:space="preserve">will be </w:t>
      </w:r>
      <w:r w:rsidR="00624AAF" w:rsidRPr="005145F0">
        <w:t>t</w:t>
      </w:r>
      <w:r w:rsidR="00764AF2" w:rsidRPr="005145F0">
        <w:t xml:space="preserve">ackled through </w:t>
      </w:r>
      <w:r w:rsidR="00624AAF" w:rsidRPr="005145F0">
        <w:t xml:space="preserve">participation </w:t>
      </w:r>
      <w:r w:rsidR="00384007">
        <w:t>by</w:t>
      </w:r>
      <w:r w:rsidR="00384007" w:rsidRPr="005145F0">
        <w:t xml:space="preserve"> </w:t>
      </w:r>
      <w:r w:rsidR="00624AAF" w:rsidRPr="005145F0">
        <w:t xml:space="preserve">vulnerable groups, and </w:t>
      </w:r>
      <w:r w:rsidR="00384007">
        <w:t xml:space="preserve">by </w:t>
      </w:r>
      <w:r w:rsidR="00880825">
        <w:t xml:space="preserve">increasing </w:t>
      </w:r>
      <w:r w:rsidR="00384007">
        <w:t xml:space="preserve">their access to </w:t>
      </w:r>
      <w:r w:rsidR="008A2D42">
        <w:t xml:space="preserve">social protection and </w:t>
      </w:r>
      <w:r w:rsidR="00624AAF" w:rsidRPr="005145F0">
        <w:t>basic social services</w:t>
      </w:r>
      <w:r w:rsidR="00090BB3">
        <w:t>.</w:t>
      </w:r>
    </w:p>
    <w:p w14:paraId="0F5EEA76" w14:textId="77777777" w:rsidR="0031701C" w:rsidRPr="005145F0" w:rsidRDefault="00221999" w:rsidP="00A419B7">
      <w:pPr>
        <w:pStyle w:val="ListParagraph"/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after="120"/>
        <w:ind w:right="1644" w:hanging="17"/>
        <w:jc w:val="both"/>
      </w:pPr>
      <w:r w:rsidRPr="009B2E26">
        <w:t>In d</w:t>
      </w:r>
      <w:r w:rsidR="009725E5" w:rsidRPr="00221999">
        <w:t>emocratic governance</w:t>
      </w:r>
      <w:r>
        <w:t xml:space="preserve"> t</w:t>
      </w:r>
      <w:r w:rsidR="00384007">
        <w:t>he</w:t>
      </w:r>
      <w:r w:rsidR="00B548DD" w:rsidRPr="005145F0">
        <w:t xml:space="preserve"> </w:t>
      </w:r>
      <w:r w:rsidR="00384007">
        <w:t>emphasis</w:t>
      </w:r>
      <w:r w:rsidR="00384007" w:rsidRPr="005145F0">
        <w:t xml:space="preserve"> </w:t>
      </w:r>
      <w:r w:rsidR="00B548DD" w:rsidRPr="005145F0">
        <w:t xml:space="preserve">will be on </w:t>
      </w:r>
      <w:r w:rsidR="00F376D7" w:rsidRPr="005145F0">
        <w:t xml:space="preserve">ensuring </w:t>
      </w:r>
      <w:r w:rsidR="003961E6" w:rsidRPr="005145F0">
        <w:t xml:space="preserve">equitable </w:t>
      </w:r>
      <w:r w:rsidR="00B548DD" w:rsidRPr="005145F0">
        <w:t xml:space="preserve">access to justice and </w:t>
      </w:r>
      <w:r w:rsidR="00384007">
        <w:t>increasing</w:t>
      </w:r>
      <w:r w:rsidR="00384007" w:rsidRPr="005145F0">
        <w:t xml:space="preserve"> </w:t>
      </w:r>
      <w:r w:rsidR="005E6E8F" w:rsidRPr="005145F0">
        <w:t>citizen</w:t>
      </w:r>
      <w:r w:rsidR="00B548DD" w:rsidRPr="005145F0">
        <w:t xml:space="preserve"> participation in decision-making bodies</w:t>
      </w:r>
      <w:r w:rsidR="00384007">
        <w:t>. The objective will be</w:t>
      </w:r>
      <w:r w:rsidR="00DB2574" w:rsidRPr="005145F0">
        <w:t xml:space="preserve"> </w:t>
      </w:r>
      <w:r w:rsidR="003961E6" w:rsidRPr="005145F0">
        <w:t>to achieve</w:t>
      </w:r>
      <w:r w:rsidR="00DB2574" w:rsidRPr="005145F0">
        <w:t xml:space="preserve"> sustainable development outcomes</w:t>
      </w:r>
      <w:r w:rsidR="00541CE2" w:rsidRPr="005145F0">
        <w:t>, address socioeconomic vulnerabilities</w:t>
      </w:r>
      <w:r w:rsidR="00DB2574" w:rsidRPr="005145F0">
        <w:t xml:space="preserve"> and </w:t>
      </w:r>
      <w:r w:rsidR="00F120C2" w:rsidRPr="005145F0">
        <w:t>ensure no</w:t>
      </w:r>
      <w:r w:rsidR="00AF2104">
        <w:t xml:space="preserve"> </w:t>
      </w:r>
      <w:r w:rsidR="003961E6" w:rsidRPr="005145F0">
        <w:t>one is left behind</w:t>
      </w:r>
      <w:r w:rsidR="00DB2574" w:rsidRPr="005145F0">
        <w:t xml:space="preserve">. </w:t>
      </w:r>
      <w:r w:rsidR="001C3944" w:rsidRPr="005145F0">
        <w:t>This will incre</w:t>
      </w:r>
      <w:r w:rsidR="005E6E8F" w:rsidRPr="005145F0">
        <w:t>ase</w:t>
      </w:r>
      <w:r w:rsidR="001C3944" w:rsidRPr="005145F0">
        <w:t xml:space="preserve"> </w:t>
      </w:r>
      <w:r w:rsidR="00384007">
        <w:t xml:space="preserve">the </w:t>
      </w:r>
      <w:r w:rsidR="001C3944" w:rsidRPr="005145F0">
        <w:t xml:space="preserve">effectiveness of central, </w:t>
      </w:r>
      <w:r w:rsidR="00764AF2" w:rsidRPr="005145F0">
        <w:t xml:space="preserve">regional and </w:t>
      </w:r>
      <w:r w:rsidR="001C3944" w:rsidRPr="005145F0">
        <w:t xml:space="preserve">local public administration </w:t>
      </w:r>
      <w:r w:rsidR="00764AF2" w:rsidRPr="005145F0">
        <w:t>services and management</w:t>
      </w:r>
      <w:r w:rsidR="001C3944" w:rsidRPr="005145F0">
        <w:t xml:space="preserve"> institutions, </w:t>
      </w:r>
      <w:r w:rsidR="00764AF2" w:rsidRPr="005145F0">
        <w:t>which</w:t>
      </w:r>
      <w:r w:rsidR="00541CE2" w:rsidRPr="005145F0">
        <w:t xml:space="preserve"> will </w:t>
      </w:r>
      <w:r w:rsidR="001C3944" w:rsidRPr="005145F0">
        <w:t>ben</w:t>
      </w:r>
      <w:r w:rsidR="00541CE2" w:rsidRPr="005145F0">
        <w:t>efit</w:t>
      </w:r>
      <w:r w:rsidR="001C3944" w:rsidRPr="005145F0">
        <w:t xml:space="preserve"> from </w:t>
      </w:r>
      <w:r w:rsidR="00384007">
        <w:t>more</w:t>
      </w:r>
      <w:r w:rsidR="001C3944" w:rsidRPr="005145F0">
        <w:t xml:space="preserve"> citizen participation, particularly </w:t>
      </w:r>
      <w:r w:rsidR="00384007">
        <w:t xml:space="preserve">by </w:t>
      </w:r>
      <w:r w:rsidR="001C3944" w:rsidRPr="005145F0">
        <w:t xml:space="preserve">youth and women. </w:t>
      </w:r>
      <w:r w:rsidR="00764AF2" w:rsidRPr="005145F0">
        <w:t>To further</w:t>
      </w:r>
      <w:r w:rsidR="003961E6" w:rsidRPr="005145F0">
        <w:t xml:space="preserve"> this objective</w:t>
      </w:r>
      <w:r w:rsidR="00DB2574" w:rsidRPr="005145F0">
        <w:t>,</w:t>
      </w:r>
      <w:r w:rsidR="00B548DD" w:rsidRPr="005145F0">
        <w:t xml:space="preserve"> </w:t>
      </w:r>
      <w:r w:rsidR="00DB2574" w:rsidRPr="005145F0">
        <w:t>UNDP will build</w:t>
      </w:r>
      <w:r w:rsidR="003961E6" w:rsidRPr="005145F0">
        <w:t xml:space="preserve"> on</w:t>
      </w:r>
      <w:r w:rsidR="00DB2574" w:rsidRPr="005145F0">
        <w:t xml:space="preserve"> capacities </w:t>
      </w:r>
      <w:r w:rsidR="005E6E8F" w:rsidRPr="005145F0">
        <w:t>in</w:t>
      </w:r>
      <w:r w:rsidR="00DB2574" w:rsidRPr="005145F0">
        <w:t xml:space="preserve"> the Ministry of Justice</w:t>
      </w:r>
      <w:r w:rsidR="00862229" w:rsidRPr="005145F0">
        <w:t>, Parliament, the electoral commission</w:t>
      </w:r>
      <w:r w:rsidR="00052187" w:rsidRPr="005145F0">
        <w:t>,</w:t>
      </w:r>
      <w:r w:rsidR="00862229" w:rsidRPr="005145F0">
        <w:t xml:space="preserve"> the courts</w:t>
      </w:r>
      <w:r w:rsidR="00DB2574" w:rsidRPr="005145F0">
        <w:t xml:space="preserve"> and </w:t>
      </w:r>
      <w:r w:rsidR="00384007">
        <w:t xml:space="preserve">the </w:t>
      </w:r>
      <w:r w:rsidR="00DB2574" w:rsidRPr="005145F0">
        <w:t>Police Crime Investigation</w:t>
      </w:r>
      <w:r>
        <w:t xml:space="preserve"> unit</w:t>
      </w:r>
      <w:r w:rsidR="00384007">
        <w:t xml:space="preserve">. The aim is </w:t>
      </w:r>
      <w:r w:rsidR="003961E6" w:rsidRPr="005145F0">
        <w:t>to increase</w:t>
      </w:r>
      <w:r w:rsidR="00DB2574" w:rsidRPr="005145F0">
        <w:t xml:space="preserve"> </w:t>
      </w:r>
      <w:r w:rsidR="00541CE2" w:rsidRPr="005145F0">
        <w:t xml:space="preserve">equitable </w:t>
      </w:r>
      <w:r w:rsidR="00C53D05" w:rsidRPr="005145F0">
        <w:t>a</w:t>
      </w:r>
      <w:r w:rsidR="00541CE2" w:rsidRPr="005145F0">
        <w:t xml:space="preserve">ccess to justice, </w:t>
      </w:r>
      <w:r w:rsidR="003961E6" w:rsidRPr="005145F0">
        <w:t xml:space="preserve">facilitate </w:t>
      </w:r>
      <w:r w:rsidR="00B548DD" w:rsidRPr="005145F0">
        <w:t>introduc</w:t>
      </w:r>
      <w:r w:rsidR="003961E6" w:rsidRPr="005145F0">
        <w:t>tion of</w:t>
      </w:r>
      <w:r w:rsidR="00B548DD" w:rsidRPr="005145F0">
        <w:t xml:space="preserve"> </w:t>
      </w:r>
      <w:r w:rsidR="00764AF2" w:rsidRPr="005145F0">
        <w:t xml:space="preserve">an </w:t>
      </w:r>
      <w:r w:rsidR="00384007">
        <w:t>a</w:t>
      </w:r>
      <w:r w:rsidR="00B548DD" w:rsidRPr="005145F0">
        <w:t xml:space="preserve">lternative </w:t>
      </w:r>
      <w:r w:rsidR="00384007">
        <w:t>d</w:t>
      </w:r>
      <w:r w:rsidR="00B548DD" w:rsidRPr="005145F0">
        <w:t xml:space="preserve">ispute </w:t>
      </w:r>
      <w:r w:rsidR="00384007">
        <w:t>r</w:t>
      </w:r>
      <w:r w:rsidR="00B548DD" w:rsidRPr="005145F0">
        <w:t xml:space="preserve">esolution </w:t>
      </w:r>
      <w:r w:rsidR="00384007">
        <w:t>m</w:t>
      </w:r>
      <w:r w:rsidR="00B548DD" w:rsidRPr="005145F0">
        <w:t>echa</w:t>
      </w:r>
      <w:r w:rsidR="005E6E8F" w:rsidRPr="005145F0">
        <w:t>nism</w:t>
      </w:r>
      <w:r w:rsidR="00B548DD" w:rsidRPr="005145F0">
        <w:t xml:space="preserve"> under </w:t>
      </w:r>
      <w:r w:rsidR="003961E6" w:rsidRPr="005145F0">
        <w:t xml:space="preserve">the </w:t>
      </w:r>
      <w:r w:rsidR="00B548DD" w:rsidRPr="005145F0">
        <w:t>broad justice sector reform</w:t>
      </w:r>
      <w:r w:rsidR="00E17B7D" w:rsidRPr="005145F0">
        <w:t xml:space="preserve"> </w:t>
      </w:r>
      <w:r w:rsidR="003961E6" w:rsidRPr="005145F0">
        <w:t>process</w:t>
      </w:r>
      <w:r w:rsidR="00384007">
        <w:t>,</w:t>
      </w:r>
      <w:r w:rsidR="003961E6" w:rsidRPr="005145F0">
        <w:t xml:space="preserve"> </w:t>
      </w:r>
      <w:r w:rsidR="00541CE2" w:rsidRPr="005145F0">
        <w:t>and</w:t>
      </w:r>
      <w:r w:rsidR="003961E6" w:rsidRPr="005145F0">
        <w:t xml:space="preserve"> </w:t>
      </w:r>
      <w:r w:rsidR="00384007">
        <w:t xml:space="preserve">improve realization of </w:t>
      </w:r>
      <w:r w:rsidR="00E17B7D" w:rsidRPr="005145F0">
        <w:t xml:space="preserve">human rights </w:t>
      </w:r>
      <w:r w:rsidR="00384007">
        <w:t>among</w:t>
      </w:r>
      <w:r w:rsidR="00E17B7D" w:rsidRPr="005145F0">
        <w:t xml:space="preserve"> the population. </w:t>
      </w:r>
    </w:p>
    <w:p w14:paraId="47557594" w14:textId="77777777" w:rsidR="000C2542" w:rsidRPr="005145F0" w:rsidRDefault="00E17B7D" w:rsidP="00A419B7">
      <w:pPr>
        <w:pStyle w:val="ListParagraph"/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after="120"/>
        <w:ind w:right="1644" w:hanging="17"/>
        <w:jc w:val="both"/>
      </w:pPr>
      <w:r w:rsidRPr="005145F0">
        <w:t xml:space="preserve">UNDP will </w:t>
      </w:r>
      <w:r w:rsidR="0031701C" w:rsidRPr="005145F0">
        <w:t xml:space="preserve">provide substantial </w:t>
      </w:r>
      <w:r w:rsidR="00880825">
        <w:t>support for capacity-</w:t>
      </w:r>
      <w:r w:rsidR="00384007">
        <w:t xml:space="preserve">building of </w:t>
      </w:r>
      <w:r w:rsidR="0031701C" w:rsidRPr="005145F0">
        <w:t>public administration and local/regional government</w:t>
      </w:r>
      <w:r w:rsidR="00880825">
        <w:t xml:space="preserve"> personnel</w:t>
      </w:r>
      <w:r w:rsidR="0031701C" w:rsidRPr="005145F0">
        <w:t xml:space="preserve">. </w:t>
      </w:r>
      <w:r w:rsidR="00384007">
        <w:t>This</w:t>
      </w:r>
      <w:r w:rsidR="0031701C" w:rsidRPr="005145F0">
        <w:t xml:space="preserve"> will </w:t>
      </w:r>
      <w:r w:rsidR="00384007">
        <w:t>aid</w:t>
      </w:r>
      <w:r w:rsidR="009D0781" w:rsidRPr="005145F0">
        <w:t xml:space="preserve"> the</w:t>
      </w:r>
      <w:r w:rsidR="005E6E8F" w:rsidRPr="005145F0">
        <w:t xml:space="preserve"> decentralization process </w:t>
      </w:r>
      <w:r w:rsidR="00B548DD" w:rsidRPr="005145F0">
        <w:t>and advoca</w:t>
      </w:r>
      <w:r w:rsidR="00384007">
        <w:t xml:space="preserve">cy </w:t>
      </w:r>
      <w:r w:rsidR="009D0781" w:rsidRPr="005145F0">
        <w:t>with central and regional government</w:t>
      </w:r>
      <w:r w:rsidR="00B548DD" w:rsidRPr="005145F0">
        <w:t xml:space="preserve"> </w:t>
      </w:r>
      <w:r w:rsidR="0049483F" w:rsidRPr="005145F0">
        <w:t>to</w:t>
      </w:r>
      <w:r w:rsidR="00B548DD" w:rsidRPr="005145F0">
        <w:t xml:space="preserve"> </w:t>
      </w:r>
      <w:r w:rsidR="0049483F" w:rsidRPr="005145F0">
        <w:t>increase</w:t>
      </w:r>
      <w:r w:rsidR="002B5A90" w:rsidRPr="005145F0">
        <w:t xml:space="preserve"> </w:t>
      </w:r>
      <w:r w:rsidR="00692B23">
        <w:t xml:space="preserve">the </w:t>
      </w:r>
      <w:r w:rsidR="002B5A90" w:rsidRPr="005145F0">
        <w:t>participation of women</w:t>
      </w:r>
      <w:r w:rsidR="00B548DD" w:rsidRPr="005145F0">
        <w:t xml:space="preserve"> in deci</w:t>
      </w:r>
      <w:r w:rsidR="009D2F2D" w:rsidRPr="005145F0">
        <w:t>si</w:t>
      </w:r>
      <w:r w:rsidR="00B548DD" w:rsidRPr="005145F0">
        <w:t xml:space="preserve">on-making processes. </w:t>
      </w:r>
      <w:r w:rsidR="005E6E8F" w:rsidRPr="005145F0">
        <w:t xml:space="preserve">UNDP will support the </w:t>
      </w:r>
      <w:r w:rsidR="00AC48F1">
        <w:t>G</w:t>
      </w:r>
      <w:r w:rsidR="00D94C0E" w:rsidRPr="005145F0">
        <w:t>overnment</w:t>
      </w:r>
      <w:r w:rsidR="0031701C" w:rsidRPr="005145F0">
        <w:t xml:space="preserve"> </w:t>
      </w:r>
      <w:r w:rsidR="00D94C0E" w:rsidRPr="005145F0">
        <w:t xml:space="preserve">in </w:t>
      </w:r>
      <w:r w:rsidR="005E6E8F" w:rsidRPr="005145F0">
        <w:t xml:space="preserve">formulating </w:t>
      </w:r>
      <w:r w:rsidR="00D94C0E" w:rsidRPr="005145F0">
        <w:t xml:space="preserve">strategies, plans and development policies through participatory and consultative processes, involving the national human rights institution and </w:t>
      </w:r>
      <w:r w:rsidR="005E6E8F" w:rsidRPr="005145F0">
        <w:t xml:space="preserve">national-level </w:t>
      </w:r>
      <w:r w:rsidR="00AC48F1">
        <w:t>civil society groups</w:t>
      </w:r>
      <w:r w:rsidR="005E6E8F" w:rsidRPr="005145F0">
        <w:t>,</w:t>
      </w:r>
      <w:r w:rsidR="0049483F" w:rsidRPr="005145F0">
        <w:t xml:space="preserve"> </w:t>
      </w:r>
      <w:r w:rsidR="00AD5CC5">
        <w:t>and in</w:t>
      </w:r>
      <w:r w:rsidR="0049483F" w:rsidRPr="005145F0">
        <w:t xml:space="preserve"> decentralizing </w:t>
      </w:r>
      <w:r w:rsidR="000C2542" w:rsidRPr="005145F0">
        <w:t xml:space="preserve">their </w:t>
      </w:r>
      <w:r w:rsidR="000C2542" w:rsidRPr="005145F0">
        <w:lastRenderedPageBreak/>
        <w:t>services and operations</w:t>
      </w:r>
      <w:r w:rsidR="00D94C0E" w:rsidRPr="005145F0">
        <w:t>.</w:t>
      </w:r>
      <w:r w:rsidR="002B5A90" w:rsidRPr="005145F0">
        <w:t xml:space="preserve"> </w:t>
      </w:r>
      <w:r w:rsidR="00A324A2" w:rsidRPr="005145F0">
        <w:t>For example</w:t>
      </w:r>
      <w:r w:rsidR="0049483F" w:rsidRPr="005145F0">
        <w:t xml:space="preserve">, </w:t>
      </w:r>
      <w:r w:rsidR="00880825">
        <w:t>t</w:t>
      </w:r>
      <w:r w:rsidR="006C64B1">
        <w:t>he Transformation Agenda</w:t>
      </w:r>
      <w:r w:rsidR="00A324A2" w:rsidRPr="005145F0">
        <w:t xml:space="preserve"> </w:t>
      </w:r>
      <w:r w:rsidR="00880825">
        <w:t>includes</w:t>
      </w:r>
      <w:r w:rsidR="00880825" w:rsidRPr="005145F0">
        <w:t xml:space="preserve"> </w:t>
      </w:r>
      <w:r w:rsidR="00A324A2" w:rsidRPr="005145F0">
        <w:t>an ambit</w:t>
      </w:r>
      <w:r w:rsidR="00745D0F" w:rsidRPr="005145F0">
        <w:t xml:space="preserve">ious plan to improve </w:t>
      </w:r>
      <w:r w:rsidR="00C50231">
        <w:t>the country’s</w:t>
      </w:r>
      <w:r w:rsidR="00C50231" w:rsidRPr="005145F0">
        <w:t xml:space="preserve"> </w:t>
      </w:r>
      <w:r w:rsidR="009D2F2D" w:rsidRPr="005145F0">
        <w:t>infrastructure</w:t>
      </w:r>
      <w:r w:rsidR="00A324A2" w:rsidRPr="005145F0">
        <w:t xml:space="preserve"> </w:t>
      </w:r>
      <w:r w:rsidR="005E6E8F" w:rsidRPr="005145F0">
        <w:t>(</w:t>
      </w:r>
      <w:r w:rsidR="00A324A2" w:rsidRPr="005145F0">
        <w:t>seaport, air</w:t>
      </w:r>
      <w:r w:rsidR="005E6E8F" w:rsidRPr="005145F0">
        <w:t xml:space="preserve">port and energy) </w:t>
      </w:r>
      <w:r w:rsidR="00A324A2" w:rsidRPr="005145F0">
        <w:t>through construction of a deep-water transshi</w:t>
      </w:r>
      <w:r w:rsidR="005E6E8F" w:rsidRPr="005145F0">
        <w:t xml:space="preserve">pping port and </w:t>
      </w:r>
      <w:r w:rsidR="00A324A2" w:rsidRPr="005145F0">
        <w:t>high</w:t>
      </w:r>
      <w:r w:rsidR="00C50231">
        <w:t>-</w:t>
      </w:r>
      <w:r w:rsidR="00A324A2" w:rsidRPr="005145F0">
        <w:t xml:space="preserve">performance international airport </w:t>
      </w:r>
      <w:r w:rsidR="005E6E8F" w:rsidRPr="005145F0">
        <w:t>to serve as</w:t>
      </w:r>
      <w:r w:rsidR="00A324A2" w:rsidRPr="005145F0">
        <w:t xml:space="preserve"> a logistic</w:t>
      </w:r>
      <w:r w:rsidR="000C1442">
        <w:t>s hub</w:t>
      </w:r>
      <w:r w:rsidR="00A324A2" w:rsidRPr="005145F0">
        <w:t xml:space="preserve"> in the </w:t>
      </w:r>
      <w:r w:rsidR="005E6E8F" w:rsidRPr="005145F0">
        <w:t>Gulf of Guinea subregion</w:t>
      </w:r>
      <w:r w:rsidR="00A324A2" w:rsidRPr="005145F0">
        <w:t>. UNDP will provide capacity</w:t>
      </w:r>
      <w:r w:rsidR="000C1442">
        <w:t>-</w:t>
      </w:r>
      <w:r w:rsidR="00A324A2" w:rsidRPr="005145F0">
        <w:t xml:space="preserve">building support to the </w:t>
      </w:r>
      <w:r w:rsidR="00C50231">
        <w:t>g</w:t>
      </w:r>
      <w:r w:rsidR="00A324A2" w:rsidRPr="005145F0">
        <w:t>overnment sectors involved in these initiatives</w:t>
      </w:r>
      <w:r w:rsidR="005E6E8F" w:rsidRPr="005145F0">
        <w:t>; promote</w:t>
      </w:r>
      <w:r w:rsidR="00D4150C" w:rsidRPr="005145F0">
        <w:t xml:space="preserve"> </w:t>
      </w:r>
      <w:r w:rsidR="00C50231">
        <w:t xml:space="preserve">the </w:t>
      </w:r>
      <w:r w:rsidR="00D4150C" w:rsidRPr="005145F0">
        <w:t>SDGs, human rights and effective account</w:t>
      </w:r>
      <w:r w:rsidR="005E6E8F" w:rsidRPr="005145F0">
        <w:t>ability processes</w:t>
      </w:r>
      <w:r w:rsidR="00D4150C" w:rsidRPr="005145F0">
        <w:t xml:space="preserve"> in </w:t>
      </w:r>
      <w:r w:rsidR="00C50231">
        <w:t xml:space="preserve">the context of </w:t>
      </w:r>
      <w:r w:rsidR="00283A98" w:rsidRPr="005145F0">
        <w:t>developing and implementing</w:t>
      </w:r>
      <w:r w:rsidR="00D4150C" w:rsidRPr="005145F0">
        <w:t xml:space="preserve"> these projects</w:t>
      </w:r>
      <w:r w:rsidR="00221999">
        <w:t>. It will also</w:t>
      </w:r>
      <w:r w:rsidR="00D4150C" w:rsidRPr="005145F0">
        <w:t xml:space="preserve"> provide</w:t>
      </w:r>
      <w:r w:rsidR="005E6E8F" w:rsidRPr="005145F0">
        <w:t xml:space="preserve"> guidance o</w:t>
      </w:r>
      <w:r w:rsidR="00A324A2" w:rsidRPr="005145F0">
        <w:t>n the optimal manner to ensure their successful reali</w:t>
      </w:r>
      <w:r w:rsidR="007D3D81" w:rsidRPr="005145F0">
        <w:t>z</w:t>
      </w:r>
      <w:r w:rsidR="00A324A2" w:rsidRPr="005145F0">
        <w:t xml:space="preserve">ation. </w:t>
      </w:r>
    </w:p>
    <w:p w14:paraId="348C77E6" w14:textId="126571D1" w:rsidR="00D94C0E" w:rsidRPr="005145F0" w:rsidRDefault="002B5A90" w:rsidP="00A419B7">
      <w:pPr>
        <w:pStyle w:val="ListParagraph"/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after="120"/>
        <w:ind w:right="1644" w:hanging="17"/>
        <w:jc w:val="both"/>
      </w:pPr>
      <w:r w:rsidRPr="005145F0">
        <w:t xml:space="preserve">UNDP will </w:t>
      </w:r>
      <w:r w:rsidR="009D0781" w:rsidRPr="005145F0">
        <w:t xml:space="preserve">contribute </w:t>
      </w:r>
      <w:r w:rsidRPr="005145F0">
        <w:t>to</w:t>
      </w:r>
      <w:r w:rsidR="009D0781" w:rsidRPr="005145F0">
        <w:t xml:space="preserve"> str</w:t>
      </w:r>
      <w:r w:rsidR="008560A7" w:rsidRPr="005145F0">
        <w:t xml:space="preserve">engthening </w:t>
      </w:r>
      <w:r w:rsidR="00283A98" w:rsidRPr="005145F0">
        <w:t xml:space="preserve">the </w:t>
      </w:r>
      <w:r w:rsidR="00C50231">
        <w:t xml:space="preserve">capacity of the </w:t>
      </w:r>
      <w:r w:rsidR="00283A98" w:rsidRPr="005145F0">
        <w:t>National Institute of Statistics</w:t>
      </w:r>
      <w:r w:rsidR="008560A7" w:rsidRPr="005145F0">
        <w:t xml:space="preserve"> </w:t>
      </w:r>
      <w:r w:rsidRPr="005145F0">
        <w:t xml:space="preserve">in </w:t>
      </w:r>
      <w:r w:rsidR="00C50231">
        <w:t>providing</w:t>
      </w:r>
      <w:r w:rsidR="00C50231" w:rsidRPr="005145F0">
        <w:t xml:space="preserve"> </w:t>
      </w:r>
      <w:r w:rsidR="00B43B58" w:rsidRPr="005145F0">
        <w:t xml:space="preserve">reliable data, which is imperative </w:t>
      </w:r>
      <w:r w:rsidR="00C50231">
        <w:t>to</w:t>
      </w:r>
      <w:r w:rsidR="00C50231" w:rsidRPr="005145F0">
        <w:t xml:space="preserve"> </w:t>
      </w:r>
      <w:r w:rsidR="00B43B58" w:rsidRPr="005145F0">
        <w:t>increas</w:t>
      </w:r>
      <w:r w:rsidR="00C50231">
        <w:t>e</w:t>
      </w:r>
      <w:r w:rsidR="00B43B58" w:rsidRPr="005145F0">
        <w:t xml:space="preserve"> econo</w:t>
      </w:r>
      <w:r w:rsidR="004E7264" w:rsidRPr="005145F0">
        <w:t xml:space="preserve">mic development, reduce poverty, </w:t>
      </w:r>
      <w:r w:rsidR="00B43B58" w:rsidRPr="005145F0">
        <w:t>improve social cohesion</w:t>
      </w:r>
      <w:r w:rsidR="00D93DEF" w:rsidRPr="005145F0">
        <w:t xml:space="preserve"> and</w:t>
      </w:r>
      <w:r w:rsidR="00B43B58" w:rsidRPr="005145F0">
        <w:t xml:space="preserve"> attract foreign investment. </w:t>
      </w:r>
      <w:r w:rsidR="00E43BAA" w:rsidRPr="005145F0">
        <w:t>These initiatives</w:t>
      </w:r>
      <w:r w:rsidR="00D93DEF" w:rsidRPr="005145F0">
        <w:t xml:space="preserve"> will</w:t>
      </w:r>
      <w:r w:rsidR="00B43B58" w:rsidRPr="005145F0">
        <w:t xml:space="preserve"> </w:t>
      </w:r>
      <w:r w:rsidR="00C50231">
        <w:t>help</w:t>
      </w:r>
      <w:r w:rsidR="00C50231" w:rsidRPr="005145F0">
        <w:t xml:space="preserve"> </w:t>
      </w:r>
      <w:r w:rsidR="00E43BAA" w:rsidRPr="005145F0">
        <w:t xml:space="preserve">to </w:t>
      </w:r>
      <w:r w:rsidR="00C50231">
        <w:t xml:space="preserve">improve </w:t>
      </w:r>
      <w:r w:rsidR="00D94C0E" w:rsidRPr="005145F0">
        <w:t>access to economic opportunities</w:t>
      </w:r>
      <w:r w:rsidR="00E43BAA" w:rsidRPr="005145F0">
        <w:t>,</w:t>
      </w:r>
      <w:r w:rsidR="00D94C0E" w:rsidRPr="005145F0">
        <w:t xml:space="preserve"> particular</w:t>
      </w:r>
      <w:r w:rsidR="002F593E" w:rsidRPr="005145F0">
        <w:t>ly</w:t>
      </w:r>
      <w:r w:rsidR="00D94C0E" w:rsidRPr="005145F0">
        <w:t xml:space="preserve"> </w:t>
      </w:r>
      <w:r w:rsidR="00D93DEF" w:rsidRPr="005145F0">
        <w:t>for</w:t>
      </w:r>
      <w:r w:rsidR="00D94C0E" w:rsidRPr="005145F0">
        <w:t xml:space="preserve"> women.</w:t>
      </w:r>
      <w:r w:rsidR="002166F1" w:rsidRPr="005145F0">
        <w:t xml:space="preserve"> UNDP will use</w:t>
      </w:r>
      <w:r w:rsidR="0031742F" w:rsidRPr="005145F0">
        <w:t xml:space="preserve"> </w:t>
      </w:r>
      <w:r w:rsidR="00051EDD" w:rsidRPr="005145F0">
        <w:t xml:space="preserve">its global network </w:t>
      </w:r>
      <w:r w:rsidR="00A6276D" w:rsidRPr="005145F0">
        <w:t>and</w:t>
      </w:r>
      <w:r w:rsidR="00051EDD" w:rsidRPr="005145F0">
        <w:t xml:space="preserve"> South-South partnerships </w:t>
      </w:r>
      <w:r w:rsidR="00956345">
        <w:t>with</w:t>
      </w:r>
      <w:r w:rsidR="00956345" w:rsidRPr="005145F0">
        <w:t xml:space="preserve"> </w:t>
      </w:r>
      <w:r w:rsidR="00956345">
        <w:t>the m</w:t>
      </w:r>
      <w:r w:rsidR="00035E7F">
        <w:t xml:space="preserve">inistries of justice of </w:t>
      </w:r>
      <w:r w:rsidR="0031742F" w:rsidRPr="005145F0">
        <w:t>Cape Verde</w:t>
      </w:r>
      <w:r w:rsidR="00027732">
        <w:t>,</w:t>
      </w:r>
      <w:r w:rsidR="0031742F" w:rsidRPr="005145F0">
        <w:t xml:space="preserve"> Mozambique </w:t>
      </w:r>
      <w:r w:rsidR="00027732">
        <w:t>and</w:t>
      </w:r>
      <w:r w:rsidR="00956345">
        <w:t xml:space="preserve"> </w:t>
      </w:r>
      <w:r w:rsidR="00027732">
        <w:t xml:space="preserve">Timor-Leste </w:t>
      </w:r>
      <w:r w:rsidR="00E43BAA" w:rsidRPr="005145F0">
        <w:t>to strengthen</w:t>
      </w:r>
      <w:r w:rsidR="00974F3B" w:rsidRPr="005145F0">
        <w:t xml:space="preserve"> the justice system</w:t>
      </w:r>
      <w:r w:rsidR="00956345">
        <w:t>;</w:t>
      </w:r>
      <w:r w:rsidR="004E7264" w:rsidRPr="005145F0">
        <w:t xml:space="preserve"> improve</w:t>
      </w:r>
      <w:r w:rsidR="00B47ABB" w:rsidRPr="005145F0">
        <w:t xml:space="preserve"> </w:t>
      </w:r>
      <w:r w:rsidR="00731D2A">
        <w:t xml:space="preserve">knowledge </w:t>
      </w:r>
      <w:r w:rsidR="00027732">
        <w:t xml:space="preserve">about </w:t>
      </w:r>
      <w:r w:rsidR="00731D2A">
        <w:t xml:space="preserve">and protection of </w:t>
      </w:r>
      <w:r w:rsidR="00BB3476" w:rsidRPr="005145F0">
        <w:t>human right</w:t>
      </w:r>
      <w:r w:rsidR="00731D2A">
        <w:t>s</w:t>
      </w:r>
      <w:r w:rsidR="00956345">
        <w:t>;</w:t>
      </w:r>
      <w:r w:rsidR="00BB3476" w:rsidRPr="005145F0">
        <w:t xml:space="preserve"> </w:t>
      </w:r>
      <w:r w:rsidR="00AC3F73" w:rsidRPr="005145F0">
        <w:t xml:space="preserve">and </w:t>
      </w:r>
      <w:r w:rsidR="00731D2A">
        <w:t>improve</w:t>
      </w:r>
      <w:r w:rsidR="00B47ABB" w:rsidRPr="005145F0">
        <w:t xml:space="preserve"> accountability and transparency</w:t>
      </w:r>
      <w:r w:rsidR="00731D2A">
        <w:t xml:space="preserve">. </w:t>
      </w:r>
      <w:r w:rsidR="00956345">
        <w:t>The m</w:t>
      </w:r>
      <w:r w:rsidR="00035E7F">
        <w:t>inistr</w:t>
      </w:r>
      <w:r w:rsidR="00956345">
        <w:t>ies</w:t>
      </w:r>
      <w:r w:rsidR="00035E7F">
        <w:t xml:space="preserve"> of </w:t>
      </w:r>
      <w:r w:rsidR="00956345">
        <w:t>p</w:t>
      </w:r>
      <w:r w:rsidR="00035E7F">
        <w:t xml:space="preserve">lanning of </w:t>
      </w:r>
      <w:r w:rsidR="0031742F" w:rsidRPr="005145F0">
        <w:t>Equatorial Guinea</w:t>
      </w:r>
      <w:r w:rsidR="00D76D22" w:rsidRPr="005145F0">
        <w:t xml:space="preserve"> and</w:t>
      </w:r>
      <w:r w:rsidR="0031742F" w:rsidRPr="005145F0">
        <w:t xml:space="preserve"> Madagascar</w:t>
      </w:r>
      <w:r w:rsidR="00731D2A">
        <w:t xml:space="preserve"> will be called on</w:t>
      </w:r>
      <w:r w:rsidR="0031742F" w:rsidRPr="005145F0">
        <w:t xml:space="preserve"> </w:t>
      </w:r>
      <w:r w:rsidR="00E43BAA" w:rsidRPr="005145F0">
        <w:t>to</w:t>
      </w:r>
      <w:r w:rsidR="00221999">
        <w:t xml:space="preserve"> assist in building</w:t>
      </w:r>
      <w:r w:rsidR="00D76D22" w:rsidRPr="005145F0">
        <w:t xml:space="preserve"> </w:t>
      </w:r>
      <w:r w:rsidR="00221999">
        <w:t xml:space="preserve">capacity to implement </w:t>
      </w:r>
      <w:r w:rsidR="00027732">
        <w:t>t</w:t>
      </w:r>
      <w:r w:rsidR="006C64B1">
        <w:t>he Transformation Agenda</w:t>
      </w:r>
      <w:r w:rsidR="0031742F" w:rsidRPr="005145F0">
        <w:t>.</w:t>
      </w:r>
    </w:p>
    <w:p w14:paraId="0BE070D3" w14:textId="11CD4192" w:rsidR="00B44D2B" w:rsidRPr="005145F0" w:rsidRDefault="00731D2A" w:rsidP="00A419B7">
      <w:pPr>
        <w:pStyle w:val="ListParagraph"/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after="120"/>
        <w:ind w:left="737" w:right="1644" w:hanging="17"/>
        <w:jc w:val="both"/>
      </w:pPr>
      <w:r w:rsidRPr="009B2E26">
        <w:rPr>
          <w:b/>
          <w:i/>
        </w:rPr>
        <w:t>S</w:t>
      </w:r>
      <w:r w:rsidR="00D94C0E" w:rsidRPr="009B2E26">
        <w:rPr>
          <w:b/>
          <w:i/>
        </w:rPr>
        <w:t>us</w:t>
      </w:r>
      <w:r w:rsidR="00B548DD" w:rsidRPr="009B2E26">
        <w:rPr>
          <w:b/>
          <w:i/>
        </w:rPr>
        <w:t xml:space="preserve">tainable </w:t>
      </w:r>
      <w:r w:rsidR="009725E5" w:rsidRPr="009B2E26">
        <w:rPr>
          <w:b/>
          <w:i/>
        </w:rPr>
        <w:t xml:space="preserve">development </w:t>
      </w:r>
      <w:r w:rsidR="00B548DD" w:rsidRPr="009B2E26">
        <w:rPr>
          <w:b/>
          <w:i/>
        </w:rPr>
        <w:t>and resilience</w:t>
      </w:r>
      <w:r w:rsidR="009725E5" w:rsidRPr="009B2E26">
        <w:rPr>
          <w:b/>
          <w:i/>
        </w:rPr>
        <w:t xml:space="preserve"> to climate change</w:t>
      </w:r>
      <w:r>
        <w:t>:</w:t>
      </w:r>
      <w:r w:rsidR="00B548DD" w:rsidRPr="005145F0">
        <w:t xml:space="preserve"> </w:t>
      </w:r>
      <w:r>
        <w:t>I</w:t>
      </w:r>
      <w:r w:rsidR="00B548DD" w:rsidRPr="005145F0">
        <w:t>ntervention</w:t>
      </w:r>
      <w:r w:rsidR="00CE2949" w:rsidRPr="005145F0">
        <w:t>s</w:t>
      </w:r>
      <w:r w:rsidR="00B548DD" w:rsidRPr="005145F0">
        <w:t xml:space="preserve"> will focus on developing policy instruments for natural resource management and disaster preparedness </w:t>
      </w:r>
      <w:r w:rsidR="00E43BAA" w:rsidRPr="005145F0">
        <w:t>together with</w:t>
      </w:r>
      <w:r w:rsidR="00B548DD" w:rsidRPr="005145F0">
        <w:t xml:space="preserve"> plans </w:t>
      </w:r>
      <w:r>
        <w:t>to address</w:t>
      </w:r>
      <w:r w:rsidR="00B548DD" w:rsidRPr="005145F0">
        <w:t xml:space="preserve"> disaster risk and </w:t>
      </w:r>
      <w:r w:rsidR="009F5159" w:rsidRPr="005145F0">
        <w:t>c</w:t>
      </w:r>
      <w:r w:rsidR="00A24F33" w:rsidRPr="005145F0">
        <w:t>limate change impact</w:t>
      </w:r>
      <w:r w:rsidR="00D93DEF" w:rsidRPr="005145F0">
        <w:t xml:space="preserve">. </w:t>
      </w:r>
      <w:r w:rsidR="0068782E" w:rsidRPr="005145F0">
        <w:t>UNDP</w:t>
      </w:r>
      <w:r w:rsidR="001E41F6" w:rsidRPr="005145F0">
        <w:t xml:space="preserve"> will support </w:t>
      </w:r>
      <w:r w:rsidR="009D0781" w:rsidRPr="005145F0">
        <w:t>small farmers, small agricultural traders (women, young girls and boys) an</w:t>
      </w:r>
      <w:r w:rsidR="00514DCD" w:rsidRPr="005145F0">
        <w:t>d fish</w:t>
      </w:r>
      <w:r w:rsidR="00E43BAA" w:rsidRPr="005145F0">
        <w:t>er</w:t>
      </w:r>
      <w:r>
        <w:t>folk</w:t>
      </w:r>
      <w:r w:rsidR="00514DCD" w:rsidRPr="005145F0">
        <w:t xml:space="preserve"> </w:t>
      </w:r>
      <w:r>
        <w:t>harmed</w:t>
      </w:r>
      <w:r w:rsidR="00E43BAA" w:rsidRPr="005145F0">
        <w:t xml:space="preserve"> by</w:t>
      </w:r>
      <w:r w:rsidR="00514DCD" w:rsidRPr="005145F0">
        <w:t xml:space="preserve"> clima</w:t>
      </w:r>
      <w:r w:rsidR="00E43BAA" w:rsidRPr="005145F0">
        <w:t xml:space="preserve">te change as well as </w:t>
      </w:r>
      <w:r w:rsidR="00514DCD" w:rsidRPr="005145F0">
        <w:t>victims of injustice.</w:t>
      </w:r>
      <w:r w:rsidR="001E41F6" w:rsidRPr="005145F0">
        <w:rPr>
          <w:color w:val="000000"/>
          <w:shd w:val="clear" w:color="auto" w:fill="FFFFFF"/>
        </w:rPr>
        <w:t xml:space="preserve"> </w:t>
      </w:r>
      <w:r w:rsidR="00514DCD" w:rsidRPr="005145F0">
        <w:rPr>
          <w:color w:val="000000"/>
          <w:shd w:val="clear" w:color="auto" w:fill="FFFFFF"/>
        </w:rPr>
        <w:t>T</w:t>
      </w:r>
      <w:r w:rsidR="001E41F6" w:rsidRPr="005145F0">
        <w:rPr>
          <w:color w:val="000000"/>
          <w:shd w:val="clear" w:color="auto" w:fill="FFFFFF"/>
        </w:rPr>
        <w:t xml:space="preserve">he </w:t>
      </w:r>
      <w:r w:rsidR="00956345">
        <w:rPr>
          <w:color w:val="000000"/>
          <w:shd w:val="clear" w:color="auto" w:fill="FFFFFF"/>
        </w:rPr>
        <w:t>innovative ‘</w:t>
      </w:r>
      <w:r w:rsidR="001E41F6" w:rsidRPr="005145F0">
        <w:rPr>
          <w:color w:val="000000"/>
          <w:shd w:val="clear" w:color="auto" w:fill="FFFFFF"/>
        </w:rPr>
        <w:t>blue economy</w:t>
      </w:r>
      <w:r w:rsidR="00956345">
        <w:rPr>
          <w:color w:val="000000"/>
          <w:shd w:val="clear" w:color="auto" w:fill="FFFFFF"/>
        </w:rPr>
        <w:t>’ initiative</w:t>
      </w:r>
      <w:r w:rsidR="00673FF4">
        <w:rPr>
          <w:rStyle w:val="FootnoteReference"/>
          <w:color w:val="000000"/>
          <w:shd w:val="clear" w:color="auto" w:fill="FFFFFF"/>
        </w:rPr>
        <w:footnoteReference w:id="18"/>
      </w:r>
      <w:r w:rsidR="001E41F6" w:rsidRPr="005145F0">
        <w:rPr>
          <w:color w:val="000000"/>
          <w:shd w:val="clear" w:color="auto" w:fill="FFFFFF"/>
        </w:rPr>
        <w:t xml:space="preserve"> will </w:t>
      </w:r>
      <w:r w:rsidR="00956345">
        <w:rPr>
          <w:color w:val="000000"/>
          <w:shd w:val="clear" w:color="auto" w:fill="FFFFFF"/>
        </w:rPr>
        <w:t>encourage</w:t>
      </w:r>
      <w:r w:rsidR="00C2351C" w:rsidRPr="005145F0">
        <w:rPr>
          <w:color w:val="000000"/>
          <w:shd w:val="clear" w:color="auto" w:fill="FFFFFF"/>
        </w:rPr>
        <w:t xml:space="preserve"> </w:t>
      </w:r>
      <w:r w:rsidR="00BE5D10">
        <w:rPr>
          <w:color w:val="000000"/>
          <w:shd w:val="clear" w:color="auto" w:fill="FFFFFF"/>
        </w:rPr>
        <w:t>p</w:t>
      </w:r>
      <w:r w:rsidR="00A7403E" w:rsidRPr="005145F0">
        <w:rPr>
          <w:color w:val="000000"/>
          <w:shd w:val="clear" w:color="auto" w:fill="FFFFFF"/>
        </w:rPr>
        <w:t xml:space="preserve">ublic and </w:t>
      </w:r>
      <w:r w:rsidR="00BE5D10">
        <w:rPr>
          <w:color w:val="000000"/>
          <w:shd w:val="clear" w:color="auto" w:fill="FFFFFF"/>
        </w:rPr>
        <w:t>p</w:t>
      </w:r>
      <w:r w:rsidR="00A7403E" w:rsidRPr="005145F0">
        <w:rPr>
          <w:color w:val="000000"/>
          <w:shd w:val="clear" w:color="auto" w:fill="FFFFFF"/>
        </w:rPr>
        <w:t xml:space="preserve">rivate </w:t>
      </w:r>
      <w:r w:rsidR="00BE5D10">
        <w:rPr>
          <w:color w:val="000000"/>
          <w:shd w:val="clear" w:color="auto" w:fill="FFFFFF"/>
        </w:rPr>
        <w:t>i</w:t>
      </w:r>
      <w:r w:rsidR="001E41F6" w:rsidRPr="005145F0">
        <w:rPr>
          <w:color w:val="000000"/>
          <w:shd w:val="clear" w:color="auto" w:fill="FFFFFF"/>
        </w:rPr>
        <w:t>nvestment in disaster risk prevention and reduction</w:t>
      </w:r>
      <w:r w:rsidR="00027732">
        <w:rPr>
          <w:color w:val="000000"/>
          <w:shd w:val="clear" w:color="auto" w:fill="FFFFFF"/>
        </w:rPr>
        <w:t>. It will involve</w:t>
      </w:r>
      <w:r w:rsidR="001E41F6" w:rsidRPr="005145F0">
        <w:rPr>
          <w:color w:val="000000"/>
          <w:shd w:val="clear" w:color="auto" w:fill="FFFFFF"/>
        </w:rPr>
        <w:t xml:space="preserve"> structural and non-structural measures to enhance the economic, social, health and cultural resi</w:t>
      </w:r>
      <w:r w:rsidR="00A24F33" w:rsidRPr="005145F0">
        <w:rPr>
          <w:color w:val="000000"/>
          <w:shd w:val="clear" w:color="auto" w:fill="FFFFFF"/>
        </w:rPr>
        <w:t xml:space="preserve">lience of </w:t>
      </w:r>
      <w:r w:rsidR="00BE5D10">
        <w:rPr>
          <w:color w:val="000000"/>
          <w:shd w:val="clear" w:color="auto" w:fill="FFFFFF"/>
        </w:rPr>
        <w:t>people and</w:t>
      </w:r>
      <w:r w:rsidR="00A24F33" w:rsidRPr="005145F0">
        <w:rPr>
          <w:color w:val="000000"/>
          <w:shd w:val="clear" w:color="auto" w:fill="FFFFFF"/>
        </w:rPr>
        <w:t xml:space="preserve"> communities</w:t>
      </w:r>
      <w:r w:rsidR="001E41F6" w:rsidRPr="005145F0">
        <w:rPr>
          <w:color w:val="000000"/>
          <w:shd w:val="clear" w:color="auto" w:fill="FFFFFF"/>
        </w:rPr>
        <w:t>.</w:t>
      </w:r>
      <w:r w:rsidR="00221999">
        <w:rPr>
          <w:color w:val="000000"/>
          <w:shd w:val="clear" w:color="auto" w:fill="FFFFFF"/>
        </w:rPr>
        <w:t xml:space="preserve"> </w:t>
      </w:r>
      <w:r w:rsidR="00F07089" w:rsidRPr="005145F0">
        <w:t>This approach will help tackle social inequalities</w:t>
      </w:r>
      <w:r w:rsidR="00B44D2B" w:rsidRPr="005145F0">
        <w:t>,</w:t>
      </w:r>
      <w:r w:rsidR="00F07089" w:rsidRPr="005145F0">
        <w:t xml:space="preserve"> in particular the prevalence of poverty in areas </w:t>
      </w:r>
      <w:r w:rsidR="00907736">
        <w:t>hurt</w:t>
      </w:r>
      <w:r w:rsidR="00F07089" w:rsidRPr="005145F0">
        <w:t xml:space="preserve"> by </w:t>
      </w:r>
      <w:r w:rsidR="00B44D2B" w:rsidRPr="005145F0">
        <w:t xml:space="preserve">climate change. </w:t>
      </w:r>
    </w:p>
    <w:p w14:paraId="3C54FFF5" w14:textId="6E276C4B" w:rsidR="00645CFC" w:rsidRPr="005145F0" w:rsidRDefault="00B548DD" w:rsidP="00A419B7">
      <w:pPr>
        <w:pStyle w:val="ListParagraph"/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after="120"/>
        <w:ind w:left="737" w:right="1644" w:hanging="17"/>
        <w:jc w:val="both"/>
      </w:pPr>
      <w:r w:rsidRPr="005145F0">
        <w:t xml:space="preserve">UNDP will support the </w:t>
      </w:r>
      <w:r w:rsidR="00907736">
        <w:t>G</w:t>
      </w:r>
      <w:r w:rsidRPr="005145F0">
        <w:t xml:space="preserve">overnment in </w:t>
      </w:r>
      <w:r w:rsidR="00907736">
        <w:t xml:space="preserve">developing </w:t>
      </w:r>
      <w:r w:rsidRPr="005145F0">
        <w:t>renewable energies to mitigate th</w:t>
      </w:r>
      <w:r w:rsidR="00CA753A" w:rsidRPr="005145F0">
        <w:t xml:space="preserve">e energy deficit in rural areas, </w:t>
      </w:r>
      <w:r w:rsidR="00D93DEF" w:rsidRPr="005145F0">
        <w:t>build</w:t>
      </w:r>
      <w:r w:rsidR="00645CFC" w:rsidRPr="005145F0">
        <w:t xml:space="preserve"> </w:t>
      </w:r>
      <w:r w:rsidR="00037D17" w:rsidRPr="005145F0">
        <w:t>r</w:t>
      </w:r>
      <w:r w:rsidR="00645CFC" w:rsidRPr="005145F0">
        <w:t xml:space="preserve">esilience to climate change and </w:t>
      </w:r>
      <w:r w:rsidR="00534169" w:rsidRPr="005145F0">
        <w:t>apply</w:t>
      </w:r>
      <w:r w:rsidR="00645CFC" w:rsidRPr="005145F0">
        <w:t xml:space="preserve"> the blue economy </w:t>
      </w:r>
      <w:r w:rsidR="00CA753A" w:rsidRPr="005145F0">
        <w:t>to reduce</w:t>
      </w:r>
      <w:r w:rsidR="00514DCD" w:rsidRPr="005145F0">
        <w:t xml:space="preserve"> the poverty of fish</w:t>
      </w:r>
      <w:r w:rsidR="0087643D" w:rsidRPr="005145F0">
        <w:t>er</w:t>
      </w:r>
      <w:r w:rsidR="00907736">
        <w:t>folk</w:t>
      </w:r>
      <w:r w:rsidR="00B67B40" w:rsidRPr="005145F0">
        <w:t xml:space="preserve">. </w:t>
      </w:r>
      <w:r w:rsidR="00907736">
        <w:t>S</w:t>
      </w:r>
      <w:r w:rsidR="00514DCD" w:rsidRPr="005145F0">
        <w:t>upport</w:t>
      </w:r>
      <w:r w:rsidR="00907736">
        <w:t xml:space="preserve"> will also be provided to</w:t>
      </w:r>
      <w:r w:rsidR="00514DCD" w:rsidRPr="005145F0">
        <w:t xml:space="preserve"> the private sector in promoting renewable energy </w:t>
      </w:r>
      <w:r w:rsidR="00D93DEF" w:rsidRPr="005145F0">
        <w:t>to increase economic</w:t>
      </w:r>
      <w:r w:rsidR="00645CFC" w:rsidRPr="005145F0">
        <w:t xml:space="preserve"> growth </w:t>
      </w:r>
      <w:r w:rsidR="00D93DEF" w:rsidRPr="005145F0">
        <w:t xml:space="preserve">and </w:t>
      </w:r>
      <w:r w:rsidR="00907736">
        <w:t xml:space="preserve">provide </w:t>
      </w:r>
      <w:r w:rsidR="00D93DEF" w:rsidRPr="005145F0">
        <w:t>job opportunities</w:t>
      </w:r>
      <w:r w:rsidR="00645CFC" w:rsidRPr="005145F0">
        <w:t xml:space="preserve"> for</w:t>
      </w:r>
      <w:r w:rsidR="00D93DEF" w:rsidRPr="005145F0">
        <w:t xml:space="preserve"> vulnerable groups, </w:t>
      </w:r>
      <w:r w:rsidR="00123EB1" w:rsidRPr="005145F0">
        <w:t>particular</w:t>
      </w:r>
      <w:r w:rsidR="00D93DEF" w:rsidRPr="005145F0">
        <w:t>ly</w:t>
      </w:r>
      <w:r w:rsidR="00645CFC" w:rsidRPr="005145F0">
        <w:t xml:space="preserve"> youth and women</w:t>
      </w:r>
      <w:r w:rsidR="00907736">
        <w:t>.</w:t>
      </w:r>
      <w:r w:rsidR="0031742F" w:rsidRPr="005145F0">
        <w:t xml:space="preserve"> UNDP will </w:t>
      </w:r>
      <w:r w:rsidR="00CE2949" w:rsidRPr="005145F0">
        <w:t xml:space="preserve">facilitate a </w:t>
      </w:r>
      <w:r w:rsidR="008F6ADB">
        <w:t>S</w:t>
      </w:r>
      <w:r w:rsidR="00CE2949" w:rsidRPr="005145F0">
        <w:t>outh-</w:t>
      </w:r>
      <w:r w:rsidR="008F6ADB">
        <w:t>S</w:t>
      </w:r>
      <w:r w:rsidR="00CE2949" w:rsidRPr="005145F0">
        <w:t xml:space="preserve">outh </w:t>
      </w:r>
      <w:r w:rsidR="0031742F" w:rsidRPr="005145F0">
        <w:t xml:space="preserve">partnership with </w:t>
      </w:r>
      <w:r w:rsidR="00956345">
        <w:t xml:space="preserve">the </w:t>
      </w:r>
      <w:r w:rsidR="00CD7271">
        <w:t xml:space="preserve">National Statistics Institute and the Ministry of Justice of </w:t>
      </w:r>
      <w:r w:rsidR="0031742F" w:rsidRPr="005145F0">
        <w:t>Cape Verde to formulate a vulnerability profile.</w:t>
      </w:r>
    </w:p>
    <w:p w14:paraId="23EC216A" w14:textId="77777777" w:rsidR="00DE3133" w:rsidRDefault="00DE3133" w:rsidP="00A419B7">
      <w:pPr>
        <w:pStyle w:val="ListParagraph"/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after="120"/>
        <w:ind w:left="731" w:right="1644" w:hanging="17"/>
        <w:jc w:val="both"/>
      </w:pPr>
      <w:r w:rsidRPr="005145F0">
        <w:t>The pr</w:t>
      </w:r>
      <w:r w:rsidR="009D2F2D" w:rsidRPr="005145F0">
        <w:t>oposed program</w:t>
      </w:r>
      <w:r w:rsidR="007D3D81" w:rsidRPr="005145F0">
        <w:t>me</w:t>
      </w:r>
      <w:r w:rsidRPr="005145F0">
        <w:t xml:space="preserve"> will target marginalized </w:t>
      </w:r>
      <w:r w:rsidR="00907736">
        <w:t xml:space="preserve">groups, </w:t>
      </w:r>
      <w:r w:rsidRPr="005145F0">
        <w:t xml:space="preserve">including the 3.5 </w:t>
      </w:r>
      <w:r w:rsidR="00BF1EB3">
        <w:t>per cent</w:t>
      </w:r>
      <w:r w:rsidRPr="005145F0">
        <w:t xml:space="preserve"> of the </w:t>
      </w:r>
      <w:r w:rsidR="009D2F2D" w:rsidRPr="005145F0">
        <w:t>labour</w:t>
      </w:r>
      <w:r w:rsidRPr="005145F0">
        <w:t xml:space="preserve"> force </w:t>
      </w:r>
      <w:r w:rsidR="00027732">
        <w:t>that has</w:t>
      </w:r>
      <w:r w:rsidR="00027732" w:rsidRPr="005145F0">
        <w:t xml:space="preserve"> </w:t>
      </w:r>
      <w:r w:rsidRPr="005145F0">
        <w:t>a disability</w:t>
      </w:r>
      <w:r w:rsidR="00907736">
        <w:t>.</w:t>
      </w:r>
      <w:r w:rsidRPr="005145F0">
        <w:t xml:space="preserve"> These vulnerable groups include </w:t>
      </w:r>
      <w:r w:rsidR="001B1944">
        <w:t>those</w:t>
      </w:r>
      <w:r w:rsidRPr="005145F0">
        <w:t xml:space="preserve"> </w:t>
      </w:r>
      <w:r w:rsidR="00907736">
        <w:t xml:space="preserve">employed </w:t>
      </w:r>
      <w:r w:rsidRPr="005145F0">
        <w:t>in agriculture</w:t>
      </w:r>
      <w:r w:rsidR="00221999">
        <w:t>,</w:t>
      </w:r>
      <w:r w:rsidRPr="005145F0">
        <w:t xml:space="preserve"> artisanal fishing </w:t>
      </w:r>
      <w:r w:rsidRPr="00221999">
        <w:t xml:space="preserve">and </w:t>
      </w:r>
      <w:r w:rsidRPr="005145F0">
        <w:t>small trad</w:t>
      </w:r>
      <w:r w:rsidR="00907736">
        <w:t>ing</w:t>
      </w:r>
      <w:r w:rsidRPr="005145F0">
        <w:t>, particularly women, girls and boys, and those most affected by poverty and unemployment.</w:t>
      </w:r>
      <w:r w:rsidR="00DA3D98" w:rsidRPr="005145F0">
        <w:t xml:space="preserve"> This component will advocate for increased </w:t>
      </w:r>
      <w:r w:rsidR="00D93DEF" w:rsidRPr="005145F0">
        <w:t xml:space="preserve">human rights </w:t>
      </w:r>
      <w:r w:rsidR="00DA3D98" w:rsidRPr="005145F0">
        <w:t xml:space="preserve">protection </w:t>
      </w:r>
      <w:r w:rsidR="00534169" w:rsidRPr="005145F0">
        <w:t>for</w:t>
      </w:r>
      <w:r w:rsidR="00D93DEF" w:rsidRPr="005145F0">
        <w:t xml:space="preserve"> the most vulnerable</w:t>
      </w:r>
      <w:r w:rsidR="00E248E2">
        <w:t xml:space="preserve"> people</w:t>
      </w:r>
      <w:r w:rsidR="00DA3D98" w:rsidRPr="005145F0">
        <w:t>.</w:t>
      </w:r>
    </w:p>
    <w:p w14:paraId="34CA96F5" w14:textId="77777777" w:rsidR="00B548DD" w:rsidRDefault="00B548DD" w:rsidP="00A419B7">
      <w:pPr>
        <w:pStyle w:val="ListParagraph"/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after="120"/>
        <w:ind w:left="731" w:right="1644" w:hanging="17"/>
        <w:jc w:val="both"/>
      </w:pPr>
      <w:r w:rsidRPr="005145F0">
        <w:t xml:space="preserve">To </w:t>
      </w:r>
      <w:r w:rsidR="0087643D" w:rsidRPr="005145F0">
        <w:t xml:space="preserve">successfully </w:t>
      </w:r>
      <w:r w:rsidR="009D2F2D" w:rsidRPr="005145F0">
        <w:t>realize</w:t>
      </w:r>
      <w:r w:rsidRPr="005145F0">
        <w:t xml:space="preserve"> </w:t>
      </w:r>
      <w:r w:rsidR="007D3D81" w:rsidRPr="005145F0">
        <w:t>p</w:t>
      </w:r>
      <w:r w:rsidR="009D2F2D" w:rsidRPr="005145F0">
        <w:t>rogram</w:t>
      </w:r>
      <w:r w:rsidR="007D3D81" w:rsidRPr="005145F0">
        <w:t>me</w:t>
      </w:r>
      <w:r w:rsidR="0087643D" w:rsidRPr="005145F0">
        <w:t xml:space="preserve"> </w:t>
      </w:r>
      <w:r w:rsidR="007D3D81" w:rsidRPr="005145F0">
        <w:t>t</w:t>
      </w:r>
      <w:r w:rsidR="0087643D" w:rsidRPr="005145F0">
        <w:t>argets,</w:t>
      </w:r>
      <w:r w:rsidRPr="005145F0">
        <w:t xml:space="preserve"> the </w:t>
      </w:r>
      <w:r w:rsidR="00E248E2">
        <w:t>c</w:t>
      </w:r>
      <w:r w:rsidRPr="005145F0">
        <w:t>ou</w:t>
      </w:r>
      <w:r w:rsidR="00D93DEF" w:rsidRPr="005145F0">
        <w:t xml:space="preserve">ntry </w:t>
      </w:r>
      <w:r w:rsidR="00E248E2">
        <w:t>o</w:t>
      </w:r>
      <w:r w:rsidRPr="005145F0">
        <w:t>ffice</w:t>
      </w:r>
      <w:r w:rsidR="00E248E2">
        <w:t xml:space="preserve"> </w:t>
      </w:r>
      <w:r w:rsidRPr="005145F0">
        <w:t xml:space="preserve">will rely on support </w:t>
      </w:r>
      <w:r w:rsidR="00A6276D" w:rsidRPr="005145F0">
        <w:t>from</w:t>
      </w:r>
      <w:r w:rsidRPr="005145F0">
        <w:t xml:space="preserve"> the Regional </w:t>
      </w:r>
      <w:r w:rsidR="0068782E" w:rsidRPr="005145F0">
        <w:t xml:space="preserve">Service </w:t>
      </w:r>
      <w:r w:rsidRPr="005145F0">
        <w:t>Centre for Africa (Addis Ababa) and the Regional Bureau for Africa (</w:t>
      </w:r>
      <w:r w:rsidR="0068782E" w:rsidRPr="005145F0">
        <w:t>New York</w:t>
      </w:r>
      <w:r w:rsidRPr="005145F0">
        <w:t>), to share knowledge on similar experiences and lessons learned</w:t>
      </w:r>
      <w:r w:rsidR="0087643D" w:rsidRPr="005145F0">
        <w:t xml:space="preserve">. This approach will </w:t>
      </w:r>
      <w:r w:rsidR="00A6276D" w:rsidRPr="005145F0">
        <w:t>form</w:t>
      </w:r>
      <w:r w:rsidR="0087643D" w:rsidRPr="005145F0">
        <w:t xml:space="preserve"> </w:t>
      </w:r>
      <w:r w:rsidRPr="005145F0">
        <w:t xml:space="preserve">part of </w:t>
      </w:r>
      <w:r w:rsidR="0087643D" w:rsidRPr="005145F0">
        <w:t xml:space="preserve">a </w:t>
      </w:r>
      <w:r w:rsidRPr="005145F0">
        <w:t>triang</w:t>
      </w:r>
      <w:r w:rsidR="00E248E2">
        <w:t>le involving</w:t>
      </w:r>
      <w:r w:rsidRPr="005145F0">
        <w:t xml:space="preserve"> South-South cooperation with other partner countries.</w:t>
      </w:r>
      <w:r w:rsidR="00044DB5" w:rsidRPr="005145F0">
        <w:t xml:space="preserve"> </w:t>
      </w:r>
      <w:r w:rsidR="00A6276D" w:rsidRPr="005145F0">
        <w:t>Through joint programming</w:t>
      </w:r>
      <w:r w:rsidR="00044DB5" w:rsidRPr="005145F0">
        <w:t xml:space="preserve"> with </w:t>
      </w:r>
      <w:r w:rsidR="00A6276D" w:rsidRPr="005145F0">
        <w:t>sister</w:t>
      </w:r>
      <w:r w:rsidR="00044DB5" w:rsidRPr="005145F0">
        <w:t xml:space="preserve"> </w:t>
      </w:r>
      <w:r w:rsidR="00E248E2">
        <w:t>United Nations</w:t>
      </w:r>
      <w:r w:rsidR="00E248E2" w:rsidRPr="005145F0">
        <w:t xml:space="preserve"> </w:t>
      </w:r>
      <w:r w:rsidR="00044DB5" w:rsidRPr="005145F0">
        <w:t>agencies and in synergy with other partners</w:t>
      </w:r>
      <w:r w:rsidR="00764E4B" w:rsidRPr="005145F0">
        <w:t xml:space="preserve"> and </w:t>
      </w:r>
      <w:r w:rsidR="00A6276D" w:rsidRPr="005145F0">
        <w:t xml:space="preserve">the </w:t>
      </w:r>
      <w:r w:rsidR="00E248E2">
        <w:t>G</w:t>
      </w:r>
      <w:r w:rsidR="00764E4B" w:rsidRPr="005145F0">
        <w:t>overnment</w:t>
      </w:r>
      <w:r w:rsidR="006F5170" w:rsidRPr="005145F0">
        <w:t xml:space="preserve"> in implementing the UNDAF 2017-2021</w:t>
      </w:r>
      <w:r w:rsidR="00044DB5" w:rsidRPr="005145F0">
        <w:t xml:space="preserve">, UNDP will assist </w:t>
      </w:r>
      <w:r w:rsidR="00221999">
        <w:t>with</w:t>
      </w:r>
      <w:r w:rsidR="00044DB5" w:rsidRPr="005145F0">
        <w:t xml:space="preserve"> data gathering and processing</w:t>
      </w:r>
      <w:r w:rsidR="00221999">
        <w:t xml:space="preserve">. </w:t>
      </w:r>
      <w:r w:rsidR="00E248E2">
        <w:t>This will take place</w:t>
      </w:r>
      <w:r w:rsidR="00044DB5" w:rsidRPr="005145F0">
        <w:t xml:space="preserve"> notably </w:t>
      </w:r>
      <w:r w:rsidR="00E248E2">
        <w:t>by</w:t>
      </w:r>
      <w:r w:rsidR="00E248E2" w:rsidRPr="005145F0">
        <w:t xml:space="preserve"> </w:t>
      </w:r>
      <w:r w:rsidR="00A6276D" w:rsidRPr="005145F0">
        <w:t>developing databases</w:t>
      </w:r>
      <w:r w:rsidR="00044DB5" w:rsidRPr="005145F0">
        <w:t xml:space="preserve"> and an information system in collaboration with research institutions, </w:t>
      </w:r>
      <w:r w:rsidR="00E248E2">
        <w:t>civil society groups</w:t>
      </w:r>
      <w:r w:rsidR="00E248E2" w:rsidRPr="005145F0">
        <w:t xml:space="preserve"> </w:t>
      </w:r>
      <w:r w:rsidR="0087643D" w:rsidRPr="005145F0">
        <w:t xml:space="preserve">and NGOs. This </w:t>
      </w:r>
      <w:r w:rsidR="00E248E2">
        <w:t>approach</w:t>
      </w:r>
      <w:r w:rsidR="00E248E2" w:rsidRPr="005145F0">
        <w:t xml:space="preserve"> </w:t>
      </w:r>
      <w:r w:rsidR="001141F0" w:rsidRPr="005145F0">
        <w:t xml:space="preserve">has been developed to respond to the unreliability of </w:t>
      </w:r>
      <w:r w:rsidR="00E248E2">
        <w:t xml:space="preserve">the data from the </w:t>
      </w:r>
      <w:r w:rsidR="00C45179" w:rsidRPr="005145F0">
        <w:t>National Institute of Statistic</w:t>
      </w:r>
      <w:r w:rsidR="00E248E2">
        <w:t>s</w:t>
      </w:r>
      <w:r w:rsidR="001141F0" w:rsidRPr="005145F0">
        <w:t>, which is impeding economic and social development, foreign inv</w:t>
      </w:r>
      <w:r w:rsidR="00673920" w:rsidRPr="005145F0">
        <w:t xml:space="preserve">estment </w:t>
      </w:r>
      <w:r w:rsidR="00673920" w:rsidRPr="005145F0">
        <w:lastRenderedPageBreak/>
        <w:t xml:space="preserve">inflow and planning </w:t>
      </w:r>
      <w:r w:rsidR="00E248E2">
        <w:t>and</w:t>
      </w:r>
      <w:r w:rsidR="00673920" w:rsidRPr="005145F0">
        <w:t xml:space="preserve"> implementation </w:t>
      </w:r>
      <w:r w:rsidR="001141F0" w:rsidRPr="005145F0">
        <w:t xml:space="preserve">of </w:t>
      </w:r>
      <w:r w:rsidR="00C45179" w:rsidRPr="005145F0">
        <w:t>decentralization processes.</w:t>
      </w:r>
      <w:r w:rsidR="001141F0" w:rsidRPr="005145F0">
        <w:t xml:space="preserve"> </w:t>
      </w:r>
      <w:r w:rsidR="00DA3D98" w:rsidRPr="005145F0">
        <w:t xml:space="preserve">It will also </w:t>
      </w:r>
      <w:r w:rsidR="00E248E2">
        <w:t xml:space="preserve">improve </w:t>
      </w:r>
      <w:r w:rsidR="00DA3D98" w:rsidRPr="005145F0">
        <w:t xml:space="preserve">accountability and transparency in </w:t>
      </w:r>
      <w:r w:rsidR="00C45179" w:rsidRPr="005145F0">
        <w:t xml:space="preserve">government and public administration </w:t>
      </w:r>
      <w:r w:rsidR="00DA3D98" w:rsidRPr="005145F0">
        <w:t xml:space="preserve">operations, thus </w:t>
      </w:r>
      <w:r w:rsidR="003A694A" w:rsidRPr="005145F0">
        <w:t>helping increase</w:t>
      </w:r>
      <w:r w:rsidR="00DA3D98" w:rsidRPr="005145F0">
        <w:t xml:space="preserve"> publi</w:t>
      </w:r>
      <w:r w:rsidR="00C45179" w:rsidRPr="005145F0">
        <w:t xml:space="preserve">c trust and confidence in the </w:t>
      </w:r>
      <w:r w:rsidR="00DA3D98" w:rsidRPr="005145F0">
        <w:t>political system.</w:t>
      </w:r>
    </w:p>
    <w:p w14:paraId="5B0DF85D" w14:textId="77777777" w:rsidR="00DE3133" w:rsidRPr="005145F0" w:rsidRDefault="00BC2CE1" w:rsidP="00A419B7">
      <w:pPr>
        <w:pStyle w:val="ListParagraph"/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ind w:left="734" w:right="1642" w:hanging="17"/>
        <w:jc w:val="both"/>
      </w:pPr>
      <w:r w:rsidRPr="005145F0">
        <w:t>A</w:t>
      </w:r>
      <w:r w:rsidR="00DE3133" w:rsidRPr="005145F0">
        <w:t>ctive</w:t>
      </w:r>
      <w:r w:rsidRPr="005145F0">
        <w:t xml:space="preserve"> participation </w:t>
      </w:r>
      <w:r w:rsidR="00812843">
        <w:t>by</w:t>
      </w:r>
      <w:r w:rsidR="00DE3133" w:rsidRPr="005145F0">
        <w:t xml:space="preserve"> all stakeholders will be strengthened through joint field visits</w:t>
      </w:r>
      <w:r w:rsidR="007129D6" w:rsidRPr="005145F0">
        <w:t>;</w:t>
      </w:r>
      <w:r w:rsidR="00DE3133" w:rsidRPr="005145F0">
        <w:t xml:space="preserve"> </w:t>
      </w:r>
      <w:r w:rsidR="007129D6" w:rsidRPr="005145F0">
        <w:t xml:space="preserve">quarterly and annual </w:t>
      </w:r>
      <w:r w:rsidR="009D2F2D" w:rsidRPr="005145F0">
        <w:t>program</w:t>
      </w:r>
      <w:r w:rsidR="00E248E2">
        <w:t>me</w:t>
      </w:r>
      <w:r w:rsidR="00DE3133" w:rsidRPr="005145F0">
        <w:t xml:space="preserve"> reviews </w:t>
      </w:r>
      <w:r w:rsidRPr="005145F0">
        <w:t>and</w:t>
      </w:r>
      <w:r w:rsidR="00DE3133" w:rsidRPr="005145F0">
        <w:t xml:space="preserve"> regular </w:t>
      </w:r>
      <w:r w:rsidRPr="005145F0">
        <w:t xml:space="preserve">outcome </w:t>
      </w:r>
      <w:r w:rsidR="00DE3133" w:rsidRPr="005145F0">
        <w:t>me</w:t>
      </w:r>
      <w:r w:rsidRPr="005145F0">
        <w:t>etings with</w:t>
      </w:r>
      <w:r w:rsidR="00DE3133" w:rsidRPr="005145F0">
        <w:t xml:space="preserve"> </w:t>
      </w:r>
      <w:r w:rsidR="00E248E2">
        <w:t>United Nations</w:t>
      </w:r>
      <w:r w:rsidR="00E248E2" w:rsidRPr="005145F0">
        <w:t xml:space="preserve"> </w:t>
      </w:r>
      <w:r w:rsidRPr="005145F0">
        <w:t xml:space="preserve">thematic groups; </w:t>
      </w:r>
      <w:r w:rsidR="003A694A" w:rsidRPr="005145F0">
        <w:t xml:space="preserve">and </w:t>
      </w:r>
      <w:r w:rsidR="00E248E2">
        <w:t>formation of</w:t>
      </w:r>
      <w:r w:rsidR="00E248E2" w:rsidRPr="005145F0">
        <w:t xml:space="preserve"> </w:t>
      </w:r>
      <w:r w:rsidR="00DE3133" w:rsidRPr="005145F0">
        <w:t>technical groups and the UNDAF Steering Committee</w:t>
      </w:r>
      <w:r w:rsidR="00527C5A" w:rsidRPr="005145F0">
        <w:t xml:space="preserve">. This will </w:t>
      </w:r>
      <w:r w:rsidR="00E248E2">
        <w:t xml:space="preserve">encourage </w:t>
      </w:r>
      <w:r w:rsidR="00527C5A" w:rsidRPr="005145F0">
        <w:t>joint ownership</w:t>
      </w:r>
      <w:r w:rsidR="00E248E2">
        <w:t xml:space="preserve"> of the country programme</w:t>
      </w:r>
      <w:r w:rsidR="00527C5A" w:rsidRPr="005145F0">
        <w:t xml:space="preserve"> </w:t>
      </w:r>
      <w:r w:rsidR="00E248E2">
        <w:t>by</w:t>
      </w:r>
      <w:r w:rsidR="00E248E2" w:rsidRPr="005145F0">
        <w:t xml:space="preserve"> </w:t>
      </w:r>
      <w:r w:rsidR="00527C5A" w:rsidRPr="005145F0">
        <w:t>all partners and stakeholders.</w:t>
      </w:r>
    </w:p>
    <w:p w14:paraId="41FDECF0" w14:textId="77777777" w:rsidR="003A5D25" w:rsidRPr="005145F0" w:rsidRDefault="003A5D25" w:rsidP="0071246A">
      <w:pPr>
        <w:pStyle w:val="ListParagraph"/>
        <w:autoSpaceDE w:val="0"/>
        <w:autoSpaceDN w:val="0"/>
        <w:adjustRightInd w:val="0"/>
        <w:ind w:left="734" w:right="1642" w:hanging="17"/>
        <w:jc w:val="both"/>
      </w:pPr>
    </w:p>
    <w:p w14:paraId="45779545" w14:textId="77777777" w:rsidR="00B548DD" w:rsidRPr="00322FDC" w:rsidRDefault="00B548DD" w:rsidP="00322FDC">
      <w:pPr>
        <w:pStyle w:val="Heading2"/>
        <w:numPr>
          <w:ilvl w:val="0"/>
          <w:numId w:val="8"/>
        </w:numPr>
        <w:ind w:left="810" w:right="720" w:hanging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22FDC">
        <w:rPr>
          <w:rFonts w:ascii="Times New Roman" w:hAnsi="Times New Roman"/>
          <w:bCs/>
          <w:color w:val="000000"/>
          <w:sz w:val="24"/>
          <w:szCs w:val="24"/>
        </w:rPr>
        <w:t>Programme and risk management</w:t>
      </w:r>
    </w:p>
    <w:p w14:paraId="17A648FE" w14:textId="77777777" w:rsidR="00B548DD" w:rsidRPr="005145F0" w:rsidRDefault="00B548DD" w:rsidP="00A419B7">
      <w:pPr>
        <w:tabs>
          <w:tab w:val="left" w:pos="1080"/>
        </w:tabs>
        <w:ind w:hanging="17"/>
      </w:pPr>
    </w:p>
    <w:p w14:paraId="614AF257" w14:textId="77777777" w:rsidR="00B548DD" w:rsidRPr="005145F0" w:rsidRDefault="00B548DD" w:rsidP="00A419B7">
      <w:pPr>
        <w:pStyle w:val="ListParagraph"/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after="120"/>
        <w:ind w:left="737" w:right="1644" w:hanging="17"/>
        <w:jc w:val="both"/>
      </w:pPr>
      <w:r w:rsidRPr="005145F0">
        <w:t xml:space="preserve">The </w:t>
      </w:r>
      <w:r w:rsidR="00E248E2">
        <w:t>country programme</w:t>
      </w:r>
      <w:r w:rsidR="00E248E2" w:rsidRPr="005145F0">
        <w:t xml:space="preserve"> </w:t>
      </w:r>
      <w:r w:rsidRPr="005145F0">
        <w:t>will be nationally execute</w:t>
      </w:r>
      <w:r w:rsidR="00A53A3B" w:rsidRPr="005145F0">
        <w:t xml:space="preserve">d to ensure national ownership, </w:t>
      </w:r>
      <w:r w:rsidRPr="005145F0">
        <w:t xml:space="preserve">leadership </w:t>
      </w:r>
      <w:r w:rsidR="00A53A3B" w:rsidRPr="005145F0">
        <w:t>and</w:t>
      </w:r>
      <w:r w:rsidRPr="005145F0">
        <w:t xml:space="preserve"> accountability</w:t>
      </w:r>
      <w:r w:rsidR="00A53A3B" w:rsidRPr="005145F0">
        <w:t xml:space="preserve">. UNDP will provide targeted support to assist </w:t>
      </w:r>
      <w:r w:rsidR="00E248E2">
        <w:t xml:space="preserve">the country </w:t>
      </w:r>
      <w:r w:rsidR="00A53A3B" w:rsidRPr="005145F0">
        <w:t>in achiev</w:t>
      </w:r>
      <w:r w:rsidR="00E248E2">
        <w:t>ing its</w:t>
      </w:r>
      <w:r w:rsidRPr="005145F0">
        <w:t xml:space="preserve"> development </w:t>
      </w:r>
      <w:r w:rsidR="00A53A3B" w:rsidRPr="005145F0">
        <w:t>objectives</w:t>
      </w:r>
      <w:r w:rsidRPr="005145F0">
        <w:t xml:space="preserve">. </w:t>
      </w:r>
      <w:r w:rsidR="00695667" w:rsidRPr="005145F0">
        <w:t xml:space="preserve">One </w:t>
      </w:r>
      <w:r w:rsidR="009A7306" w:rsidRPr="005145F0">
        <w:t>risk</w:t>
      </w:r>
      <w:r w:rsidR="00695667" w:rsidRPr="005145F0">
        <w:t xml:space="preserve"> is the relative lack of capacity in </w:t>
      </w:r>
      <w:r w:rsidR="00E248E2" w:rsidRPr="005145F0">
        <w:t>São Tomé and Príncipe</w:t>
      </w:r>
      <w:r w:rsidR="00695667" w:rsidRPr="005145F0">
        <w:t xml:space="preserve">. Therefore, this </w:t>
      </w:r>
      <w:r w:rsidR="00AB03E6">
        <w:t>p</w:t>
      </w:r>
      <w:r w:rsidR="00695667" w:rsidRPr="005145F0">
        <w:t>rogramme will be implemented with capacity</w:t>
      </w:r>
      <w:r w:rsidR="00E248E2">
        <w:t>-</w:t>
      </w:r>
      <w:r w:rsidR="00695667" w:rsidRPr="005145F0">
        <w:t>building support</w:t>
      </w:r>
      <w:r w:rsidR="00E248E2">
        <w:t xml:space="preserve"> from UNDP and partners</w:t>
      </w:r>
      <w:r w:rsidRPr="005145F0">
        <w:t xml:space="preserve">. </w:t>
      </w:r>
      <w:r w:rsidR="00E248E2">
        <w:t>A variety of</w:t>
      </w:r>
      <w:r w:rsidR="00E248E2" w:rsidRPr="005145F0">
        <w:t xml:space="preserve"> </w:t>
      </w:r>
      <w:r w:rsidRPr="005145F0">
        <w:t xml:space="preserve">implementation modalities, </w:t>
      </w:r>
      <w:r w:rsidR="00E248E2">
        <w:t xml:space="preserve">(by the </w:t>
      </w:r>
      <w:r w:rsidRPr="005145F0">
        <w:t xml:space="preserve">national </w:t>
      </w:r>
      <w:r w:rsidR="00E248E2">
        <w:t>government</w:t>
      </w:r>
      <w:r w:rsidRPr="005145F0">
        <w:t xml:space="preserve">, </w:t>
      </w:r>
      <w:r w:rsidR="00E248E2">
        <w:t>NGOs</w:t>
      </w:r>
      <w:r w:rsidRPr="005145F0">
        <w:t xml:space="preserve"> and UNDP, or combinations thereof</w:t>
      </w:r>
      <w:r w:rsidR="00E248E2">
        <w:t>)</w:t>
      </w:r>
      <w:r w:rsidRPr="005145F0">
        <w:t xml:space="preserve"> will be </w:t>
      </w:r>
      <w:r w:rsidR="00E248E2">
        <w:t>used</w:t>
      </w:r>
      <w:r w:rsidR="00E248E2" w:rsidRPr="005145F0">
        <w:t xml:space="preserve"> </w:t>
      </w:r>
      <w:r w:rsidRPr="005145F0">
        <w:t xml:space="preserve">to enhance efficiency, flexibility of operations and effective UNDP contributions to development results. Implementing partners will be selected </w:t>
      </w:r>
      <w:r w:rsidR="009A7306" w:rsidRPr="005145F0">
        <w:t>to ensure</w:t>
      </w:r>
      <w:r w:rsidRPr="005145F0">
        <w:t xml:space="preserve"> sustainability and on the basis of comparative advantage and capacity assessments. UNDP will provide </w:t>
      </w:r>
      <w:r w:rsidR="009A7306" w:rsidRPr="005145F0">
        <w:t>the required</w:t>
      </w:r>
      <w:r w:rsidRPr="005145F0">
        <w:t xml:space="preserve"> support to national implementing partners to address capacity</w:t>
      </w:r>
      <w:r w:rsidR="009A7306" w:rsidRPr="005145F0">
        <w:t xml:space="preserve"> gaps. Fast-track procedures will</w:t>
      </w:r>
      <w:r w:rsidRPr="005145F0">
        <w:t xml:space="preserve"> provide timely response to crisis situations and efficiently </w:t>
      </w:r>
      <w:r w:rsidR="009A7306" w:rsidRPr="005145F0">
        <w:t>manage</w:t>
      </w:r>
      <w:r w:rsidRPr="005145F0">
        <w:t xml:space="preserve"> emerging demands for UNDP </w:t>
      </w:r>
      <w:r w:rsidR="00CE2949" w:rsidRPr="005145F0">
        <w:t>support. The</w:t>
      </w:r>
      <w:r w:rsidRPr="005145F0">
        <w:t xml:space="preserve"> harmonized approach to cash transfers to implementing partners is already effective in </w:t>
      </w:r>
      <w:r w:rsidR="00E248E2">
        <w:t>the country</w:t>
      </w:r>
      <w:r w:rsidRPr="005145F0">
        <w:t xml:space="preserve">. UNDP, </w:t>
      </w:r>
      <w:r w:rsidR="00812843">
        <w:t>the United Nations Children’s Fund (</w:t>
      </w:r>
      <w:r w:rsidRPr="005145F0">
        <w:t>UNICEF</w:t>
      </w:r>
      <w:r w:rsidR="00812843">
        <w:t>)</w:t>
      </w:r>
      <w:r w:rsidRPr="005145F0">
        <w:t xml:space="preserve"> and UNFPA will jointly undertake </w:t>
      </w:r>
      <w:r w:rsidR="00812843">
        <w:t>a</w:t>
      </w:r>
      <w:r w:rsidR="00812843" w:rsidRPr="005145F0">
        <w:t xml:space="preserve"> </w:t>
      </w:r>
      <w:r w:rsidRPr="005145F0">
        <w:t xml:space="preserve">micro </w:t>
      </w:r>
      <w:r w:rsidR="005F6C55" w:rsidRPr="005145F0">
        <w:t>assessment</w:t>
      </w:r>
      <w:r w:rsidR="00A1703C">
        <w:t xml:space="preserve"> of implementing partners</w:t>
      </w:r>
      <w:r w:rsidRPr="005145F0">
        <w:t>.</w:t>
      </w:r>
      <w:r w:rsidR="0055288F" w:rsidRPr="005145F0">
        <w:t xml:space="preserve"> </w:t>
      </w:r>
    </w:p>
    <w:p w14:paraId="133FEB0B" w14:textId="77777777" w:rsidR="00B548DD" w:rsidRPr="005145F0" w:rsidRDefault="00695667" w:rsidP="00A419B7">
      <w:pPr>
        <w:pStyle w:val="ListParagraph"/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after="120"/>
        <w:ind w:left="737" w:right="1644" w:hanging="17"/>
        <w:jc w:val="both"/>
      </w:pPr>
      <w:r w:rsidRPr="005145F0">
        <w:t xml:space="preserve">Lack of </w:t>
      </w:r>
      <w:r w:rsidR="00E248E2">
        <w:t>country office</w:t>
      </w:r>
      <w:r w:rsidR="00E248E2" w:rsidRPr="005145F0">
        <w:t xml:space="preserve"> </w:t>
      </w:r>
      <w:r w:rsidRPr="005145F0">
        <w:t xml:space="preserve">capacity could also be a risk to successful </w:t>
      </w:r>
      <w:r w:rsidR="00AB03E6">
        <w:t>p</w:t>
      </w:r>
      <w:r w:rsidR="00465D82" w:rsidRPr="005145F0">
        <w:t xml:space="preserve">rogramme </w:t>
      </w:r>
      <w:r w:rsidRPr="005145F0">
        <w:t xml:space="preserve">implementation. Therefore, </w:t>
      </w:r>
      <w:r w:rsidR="00B548DD" w:rsidRPr="005145F0">
        <w:t xml:space="preserve">UNDP will conduct an organizational review to ensure the </w:t>
      </w:r>
      <w:r w:rsidR="00E248E2">
        <w:t>office</w:t>
      </w:r>
      <w:r w:rsidR="00E248E2" w:rsidRPr="005145F0">
        <w:t xml:space="preserve"> </w:t>
      </w:r>
      <w:r w:rsidR="00B548DD" w:rsidRPr="005145F0">
        <w:t xml:space="preserve">has the </w:t>
      </w:r>
      <w:r w:rsidR="00A53A3B" w:rsidRPr="005145F0">
        <w:t xml:space="preserve">required </w:t>
      </w:r>
      <w:r w:rsidR="00B548DD" w:rsidRPr="005145F0">
        <w:t>human resources, structures and management systems</w:t>
      </w:r>
      <w:r w:rsidR="00A53A3B" w:rsidRPr="005145F0">
        <w:t xml:space="preserve"> </w:t>
      </w:r>
      <w:r w:rsidR="00B548DD" w:rsidRPr="005145F0">
        <w:t xml:space="preserve">to implement the new </w:t>
      </w:r>
      <w:r w:rsidR="00C6772A">
        <w:t>programme</w:t>
      </w:r>
      <w:r w:rsidR="00C6772A" w:rsidRPr="005145F0">
        <w:t xml:space="preserve"> </w:t>
      </w:r>
      <w:r w:rsidR="00B548DD" w:rsidRPr="005145F0">
        <w:t>successfully. UNDP will</w:t>
      </w:r>
      <w:r w:rsidR="00A53A3B" w:rsidRPr="005145F0">
        <w:t xml:space="preserve"> </w:t>
      </w:r>
      <w:r w:rsidR="00B548DD" w:rsidRPr="005145F0">
        <w:t>implement its financial sustainability plan, which includes optim</w:t>
      </w:r>
      <w:r w:rsidR="00C6772A">
        <w:t>izing</w:t>
      </w:r>
      <w:r w:rsidR="00B548DD" w:rsidRPr="005145F0">
        <w:t xml:space="preserve"> </w:t>
      </w:r>
      <w:r w:rsidR="00465D82" w:rsidRPr="005145F0">
        <w:t>resource usage</w:t>
      </w:r>
      <w:r w:rsidR="00B548DD" w:rsidRPr="005145F0">
        <w:t xml:space="preserve"> while maintaining the best operating cost </w:t>
      </w:r>
      <w:r w:rsidR="00812843">
        <w:t>to</w:t>
      </w:r>
      <w:r w:rsidR="00812843" w:rsidRPr="005145F0">
        <w:t xml:space="preserve"> </w:t>
      </w:r>
      <w:r w:rsidR="00B548DD" w:rsidRPr="005145F0">
        <w:t xml:space="preserve">activity ratio. The </w:t>
      </w:r>
      <w:r w:rsidR="00C6772A">
        <w:t>country office</w:t>
      </w:r>
      <w:r w:rsidR="00B548DD" w:rsidRPr="005145F0">
        <w:t xml:space="preserve"> will continue its efforts to align its technical and programmatic capacities. Its organizational structure will be adjusted to </w:t>
      </w:r>
      <w:r w:rsidR="00C6772A">
        <w:t>reflect</w:t>
      </w:r>
      <w:r w:rsidR="00B548DD" w:rsidRPr="005145F0">
        <w:t xml:space="preserve"> the proposed programme and </w:t>
      </w:r>
      <w:r w:rsidR="00C6772A">
        <w:t xml:space="preserve">take advantage of </w:t>
      </w:r>
      <w:r w:rsidR="00B548DD" w:rsidRPr="005145F0">
        <w:t xml:space="preserve">opportunities for efficiency and effectiveness. </w:t>
      </w:r>
      <w:r w:rsidR="00812843">
        <w:t>P</w:t>
      </w:r>
      <w:r w:rsidR="00B548DD" w:rsidRPr="005145F0">
        <w:t xml:space="preserve">rogrammatic coherence </w:t>
      </w:r>
      <w:r w:rsidR="00812843">
        <w:t xml:space="preserve">will be strengthened </w:t>
      </w:r>
      <w:r w:rsidR="00B548DD" w:rsidRPr="005145F0">
        <w:t xml:space="preserve">by breaking down </w:t>
      </w:r>
      <w:r w:rsidR="00812843">
        <w:t>‘</w:t>
      </w:r>
      <w:r w:rsidR="00B548DD" w:rsidRPr="005145F0">
        <w:t>silos</w:t>
      </w:r>
      <w:r w:rsidR="00812843">
        <w:t>’</w:t>
      </w:r>
      <w:r w:rsidR="00C6772A">
        <w:t>, structuring</w:t>
      </w:r>
      <w:r w:rsidR="00A53A3B" w:rsidRPr="005145F0">
        <w:t xml:space="preserve"> </w:t>
      </w:r>
      <w:r w:rsidR="00B548DD" w:rsidRPr="005145F0">
        <w:t xml:space="preserve">teams </w:t>
      </w:r>
      <w:r w:rsidR="00465D82" w:rsidRPr="005145F0">
        <w:t>around result</w:t>
      </w:r>
      <w:r w:rsidR="00B548DD" w:rsidRPr="005145F0">
        <w:t xml:space="preserve"> </w:t>
      </w:r>
      <w:r w:rsidR="005F6C55" w:rsidRPr="005145F0">
        <w:t xml:space="preserve">areas </w:t>
      </w:r>
      <w:r w:rsidR="00B548DD" w:rsidRPr="005145F0">
        <w:t>rather than compartmentalized units.</w:t>
      </w:r>
    </w:p>
    <w:p w14:paraId="1628CD01" w14:textId="77777777" w:rsidR="00E3055C" w:rsidRPr="005145F0" w:rsidRDefault="00530922" w:rsidP="00A419B7">
      <w:pPr>
        <w:pStyle w:val="ListParagraph"/>
        <w:numPr>
          <w:ilvl w:val="0"/>
          <w:numId w:val="15"/>
        </w:numPr>
        <w:tabs>
          <w:tab w:val="left" w:pos="1080"/>
          <w:tab w:val="left" w:pos="1440"/>
        </w:tabs>
        <w:autoSpaceDE w:val="0"/>
        <w:autoSpaceDN w:val="0"/>
        <w:adjustRightInd w:val="0"/>
        <w:spacing w:after="120"/>
        <w:ind w:left="737" w:right="1644" w:hanging="17"/>
        <w:jc w:val="both"/>
      </w:pPr>
      <w:r w:rsidRPr="005145F0">
        <w:t>M</w:t>
      </w:r>
      <w:r w:rsidR="00B548DD" w:rsidRPr="005145F0">
        <w:t xml:space="preserve">ajor </w:t>
      </w:r>
      <w:r w:rsidR="00AB03E6">
        <w:t>p</w:t>
      </w:r>
      <w:r w:rsidR="00465D82" w:rsidRPr="005145F0">
        <w:t xml:space="preserve">rogramme </w:t>
      </w:r>
      <w:r w:rsidR="00B548DD" w:rsidRPr="005145F0">
        <w:t xml:space="preserve">risks </w:t>
      </w:r>
      <w:r w:rsidRPr="005145F0">
        <w:t>lie</w:t>
      </w:r>
      <w:r w:rsidR="00B548DD" w:rsidRPr="005145F0">
        <w:t xml:space="preserve"> in the country's </w:t>
      </w:r>
      <w:r w:rsidRPr="005145F0">
        <w:t xml:space="preserve">low </w:t>
      </w:r>
      <w:r w:rsidR="00B548DD" w:rsidRPr="005145F0">
        <w:t xml:space="preserve">absorption capacity and </w:t>
      </w:r>
      <w:r w:rsidR="00B548DD" w:rsidRPr="00913E55">
        <w:t>ownership</w:t>
      </w:r>
      <w:r w:rsidR="00B548DD" w:rsidRPr="005145F0">
        <w:t xml:space="preserve"> by the </w:t>
      </w:r>
      <w:r w:rsidR="00F045A1">
        <w:t>a</w:t>
      </w:r>
      <w:r w:rsidR="00B548DD" w:rsidRPr="005145F0">
        <w:t xml:space="preserve">dministration. </w:t>
      </w:r>
      <w:r w:rsidRPr="005145F0">
        <w:t>Furthermore</w:t>
      </w:r>
      <w:r w:rsidR="00076252" w:rsidRPr="005145F0">
        <w:t xml:space="preserve">, </w:t>
      </w:r>
      <w:r w:rsidR="00B11F95" w:rsidRPr="005145F0">
        <w:t>São Tomé and Príncipe</w:t>
      </w:r>
      <w:r w:rsidR="00B11F95">
        <w:t xml:space="preserve"> </w:t>
      </w:r>
      <w:r w:rsidR="00076252" w:rsidRPr="005145F0">
        <w:rPr>
          <w:shd w:val="clear" w:color="auto" w:fill="FFFFFF"/>
        </w:rPr>
        <w:t xml:space="preserve">is heavily dependent </w:t>
      </w:r>
      <w:r w:rsidR="00C6772A">
        <w:rPr>
          <w:shd w:val="clear" w:color="auto" w:fill="FFFFFF"/>
        </w:rPr>
        <w:t xml:space="preserve">on aid, </w:t>
      </w:r>
      <w:r w:rsidRPr="005145F0">
        <w:rPr>
          <w:shd w:val="clear" w:color="auto" w:fill="FFFFFF"/>
        </w:rPr>
        <w:t>with</w:t>
      </w:r>
      <w:r w:rsidR="00076252" w:rsidRPr="005145F0">
        <w:rPr>
          <w:shd w:val="clear" w:color="auto" w:fill="FFFFFF"/>
        </w:rPr>
        <w:t xml:space="preserve"> 93 </w:t>
      </w:r>
      <w:r w:rsidR="00BF1EB3">
        <w:rPr>
          <w:shd w:val="clear" w:color="auto" w:fill="FFFFFF"/>
        </w:rPr>
        <w:t>per cent</w:t>
      </w:r>
      <w:r w:rsidR="00076252" w:rsidRPr="005145F0">
        <w:rPr>
          <w:shd w:val="clear" w:color="auto" w:fill="FFFFFF"/>
        </w:rPr>
        <w:t xml:space="preserve"> of public investment financed by </w:t>
      </w:r>
      <w:r w:rsidR="00C6772A">
        <w:rPr>
          <w:shd w:val="clear" w:color="auto" w:fill="FFFFFF"/>
        </w:rPr>
        <w:t>official development assistance.</w:t>
      </w:r>
      <w:r w:rsidR="008F6ADB" w:rsidRPr="005145F0">
        <w:rPr>
          <w:rStyle w:val="FootnoteReference"/>
          <w:shd w:val="clear" w:color="auto" w:fill="FFFFFF"/>
        </w:rPr>
        <w:footnoteReference w:id="19"/>
      </w:r>
      <w:r w:rsidR="00076252" w:rsidRPr="005145F0">
        <w:t xml:space="preserve"> </w:t>
      </w:r>
      <w:r w:rsidR="00C6772A">
        <w:t>W</w:t>
      </w:r>
      <w:r w:rsidR="00E3055C" w:rsidRPr="00913E55">
        <w:t xml:space="preserve">eak </w:t>
      </w:r>
      <w:r w:rsidR="00C6772A">
        <w:t>p</w:t>
      </w:r>
      <w:r w:rsidR="00465D82" w:rsidRPr="00913E55">
        <w:t xml:space="preserve">rogramme </w:t>
      </w:r>
      <w:r w:rsidR="00E3055C" w:rsidRPr="00913E55">
        <w:t>ownership</w:t>
      </w:r>
      <w:r w:rsidR="00E3055C" w:rsidRPr="005145F0">
        <w:t xml:space="preserve"> by national institutions will be </w:t>
      </w:r>
      <w:r w:rsidR="00812843">
        <w:t>addressed</w:t>
      </w:r>
      <w:r w:rsidR="00812843" w:rsidRPr="005145F0">
        <w:t xml:space="preserve"> </w:t>
      </w:r>
      <w:r w:rsidR="00E3055C" w:rsidRPr="005145F0">
        <w:t xml:space="preserve">by </w:t>
      </w:r>
      <w:r w:rsidR="00C6772A">
        <w:t>helping to improve</w:t>
      </w:r>
      <w:r w:rsidR="00C6772A" w:rsidRPr="005145F0">
        <w:t xml:space="preserve"> </w:t>
      </w:r>
      <w:r w:rsidR="00E3055C" w:rsidRPr="005145F0">
        <w:t>information</w:t>
      </w:r>
      <w:r w:rsidR="00C6772A">
        <w:t xml:space="preserve"> sharing</w:t>
      </w:r>
      <w:r w:rsidR="00E3055C" w:rsidRPr="005145F0">
        <w:t xml:space="preserve"> between </w:t>
      </w:r>
      <w:r w:rsidR="00C6772A">
        <w:t xml:space="preserve">and within </w:t>
      </w:r>
      <w:r w:rsidR="00E3055C" w:rsidRPr="005145F0">
        <w:t>institutions. The risks associated with limited financial resources may be removed through a robust resource mobilization strategy</w:t>
      </w:r>
      <w:r w:rsidR="00C6772A">
        <w:t xml:space="preserve">. It </w:t>
      </w:r>
      <w:r w:rsidR="00E3055C" w:rsidRPr="005145F0">
        <w:t>will</w:t>
      </w:r>
      <w:r w:rsidR="000A709A" w:rsidRPr="005145F0">
        <w:t xml:space="preserve"> </w:t>
      </w:r>
      <w:r w:rsidR="00C6772A">
        <w:t>concentrate</w:t>
      </w:r>
      <w:r w:rsidR="00E3055C" w:rsidRPr="005145F0">
        <w:t xml:space="preserve"> on identifying new partners through South-South cooperation</w:t>
      </w:r>
      <w:r w:rsidR="00B11F95">
        <w:t>;</w:t>
      </w:r>
      <w:r w:rsidR="000A709A" w:rsidRPr="005145F0">
        <w:t xml:space="preserve"> seeking investment </w:t>
      </w:r>
      <w:r w:rsidR="00465D82" w:rsidRPr="005145F0">
        <w:t>for</w:t>
      </w:r>
      <w:r w:rsidR="000A709A" w:rsidRPr="005145F0">
        <w:t xml:space="preserve"> significant infrastructural projects</w:t>
      </w:r>
      <w:r w:rsidR="00B11F95">
        <w:t>;</w:t>
      </w:r>
      <w:r w:rsidR="000A709A" w:rsidRPr="005145F0">
        <w:t xml:space="preserve"> identifying </w:t>
      </w:r>
      <w:r w:rsidR="00465D82" w:rsidRPr="005145F0">
        <w:t>and pursuing potential public</w:t>
      </w:r>
      <w:r w:rsidR="00812843">
        <w:t>-</w:t>
      </w:r>
      <w:r w:rsidR="000A709A" w:rsidRPr="005145F0">
        <w:t>private partnerships</w:t>
      </w:r>
      <w:r w:rsidR="00B11F95">
        <w:t>;</w:t>
      </w:r>
      <w:r w:rsidR="00E3055C" w:rsidRPr="005145F0">
        <w:t xml:space="preserve"> and by learning from</w:t>
      </w:r>
      <w:r w:rsidR="000A709A" w:rsidRPr="005145F0">
        <w:t xml:space="preserve"> and building on</w:t>
      </w:r>
      <w:r w:rsidR="00E3055C" w:rsidRPr="005145F0">
        <w:t xml:space="preserve"> past achievements.</w:t>
      </w:r>
      <w:r w:rsidR="002238EC" w:rsidRPr="005145F0">
        <w:t xml:space="preserve"> This process will play an important role in reducing the country’s over</w:t>
      </w:r>
      <w:r w:rsidR="00812843">
        <w:t>-</w:t>
      </w:r>
      <w:r w:rsidR="002238EC" w:rsidRPr="005145F0">
        <w:t xml:space="preserve">reliance on </w:t>
      </w:r>
      <w:r w:rsidR="00C6772A">
        <w:t>aid</w:t>
      </w:r>
      <w:r w:rsidR="002238EC" w:rsidRPr="005145F0">
        <w:t>.</w:t>
      </w:r>
    </w:p>
    <w:p w14:paraId="364D6832" w14:textId="77777777" w:rsidR="00B548DD" w:rsidRPr="005145F0" w:rsidRDefault="00530922" w:rsidP="00A419B7">
      <w:pPr>
        <w:pStyle w:val="ListParagraph"/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after="120"/>
        <w:ind w:left="737" w:right="1644" w:hanging="17"/>
        <w:jc w:val="both"/>
      </w:pPr>
      <w:r w:rsidRPr="005145F0">
        <w:t xml:space="preserve">At the governance and administration levels, </w:t>
      </w:r>
      <w:r w:rsidR="00110833" w:rsidRPr="005145F0">
        <w:t>significant</w:t>
      </w:r>
      <w:r w:rsidRPr="005145F0">
        <w:t xml:space="preserve"> </w:t>
      </w:r>
      <w:r w:rsidR="00090BB3">
        <w:t>p</w:t>
      </w:r>
      <w:r w:rsidR="00465D82" w:rsidRPr="005145F0">
        <w:t>rogramme risks</w:t>
      </w:r>
      <w:r w:rsidR="00B548DD" w:rsidRPr="005145F0">
        <w:t xml:space="preserve"> </w:t>
      </w:r>
      <w:r w:rsidRPr="005145F0">
        <w:t xml:space="preserve">include delays in drafting and enacting </w:t>
      </w:r>
      <w:r w:rsidR="00B548DD" w:rsidRPr="005145F0">
        <w:t xml:space="preserve">important laws for </w:t>
      </w:r>
      <w:r w:rsidR="00C6772A">
        <w:t>planned</w:t>
      </w:r>
      <w:r w:rsidR="00C6772A" w:rsidRPr="005145F0">
        <w:t xml:space="preserve"> </w:t>
      </w:r>
      <w:r w:rsidR="00B548DD" w:rsidRPr="005145F0">
        <w:t xml:space="preserve">reforms in </w:t>
      </w:r>
      <w:r w:rsidR="00C6772A">
        <w:t>the</w:t>
      </w:r>
      <w:r w:rsidRPr="005145F0">
        <w:t xml:space="preserve"> </w:t>
      </w:r>
      <w:r w:rsidR="00B548DD" w:rsidRPr="005145F0">
        <w:t>area</w:t>
      </w:r>
      <w:r w:rsidR="00C6772A">
        <w:t>s</w:t>
      </w:r>
      <w:r w:rsidR="00B548DD" w:rsidRPr="005145F0">
        <w:t xml:space="preserve"> of gover</w:t>
      </w:r>
      <w:r w:rsidRPr="005145F0">
        <w:t>nance</w:t>
      </w:r>
      <w:r w:rsidR="00812843">
        <w:t>,</w:t>
      </w:r>
      <w:r w:rsidR="00B548DD" w:rsidRPr="005145F0">
        <w:t xml:space="preserve"> sustainable and inclusive growth</w:t>
      </w:r>
      <w:r w:rsidR="00812843">
        <w:t>,</w:t>
      </w:r>
      <w:r w:rsidR="00B548DD" w:rsidRPr="005145F0">
        <w:t xml:space="preserve"> and resilience; improvement of </w:t>
      </w:r>
      <w:r w:rsidR="00C6772A">
        <w:t xml:space="preserve">the </w:t>
      </w:r>
      <w:r w:rsidR="00B548DD" w:rsidRPr="005145F0">
        <w:t>business climate; and</w:t>
      </w:r>
      <w:r w:rsidRPr="005145F0">
        <w:t xml:space="preserve"> </w:t>
      </w:r>
      <w:r w:rsidR="00B548DD" w:rsidRPr="005145F0">
        <w:t xml:space="preserve">implementation of proposed reforms. These risks </w:t>
      </w:r>
      <w:r w:rsidR="00C6772A">
        <w:t xml:space="preserve">and the risk associated with lack of reliable data </w:t>
      </w:r>
      <w:r w:rsidR="00B548DD" w:rsidRPr="005145F0">
        <w:t xml:space="preserve">will </w:t>
      </w:r>
      <w:r w:rsidRPr="005145F0">
        <w:t xml:space="preserve">all </w:t>
      </w:r>
      <w:r w:rsidR="00B548DD" w:rsidRPr="005145F0">
        <w:t xml:space="preserve">be mitigated through </w:t>
      </w:r>
      <w:r w:rsidR="004A0D1A" w:rsidRPr="005145F0">
        <w:t>advoc</w:t>
      </w:r>
      <w:r w:rsidR="007C36F0" w:rsidRPr="005145F0">
        <w:t>ac</w:t>
      </w:r>
      <w:r w:rsidR="004A0D1A" w:rsidRPr="005145F0">
        <w:t>y</w:t>
      </w:r>
      <w:r w:rsidR="00FE3B38" w:rsidRPr="005145F0">
        <w:t>,</w:t>
      </w:r>
      <w:r w:rsidR="004A0D1A" w:rsidRPr="005145F0">
        <w:t xml:space="preserve"> </w:t>
      </w:r>
      <w:r w:rsidR="00B548DD" w:rsidRPr="005145F0">
        <w:t xml:space="preserve">efficient </w:t>
      </w:r>
      <w:r w:rsidR="004A0D1A" w:rsidRPr="005145F0">
        <w:t>policy dialogue</w:t>
      </w:r>
      <w:r w:rsidR="00FE3B38" w:rsidRPr="005145F0">
        <w:t xml:space="preserve"> and </w:t>
      </w:r>
      <w:r w:rsidR="006A1037" w:rsidRPr="005145F0">
        <w:t>capacity</w:t>
      </w:r>
      <w:r w:rsidRPr="005145F0">
        <w:t xml:space="preserve"> </w:t>
      </w:r>
      <w:r w:rsidR="00FE3B38" w:rsidRPr="005145F0">
        <w:t>strengthening</w:t>
      </w:r>
      <w:r w:rsidR="00C6772A">
        <w:t>. The goal is</w:t>
      </w:r>
      <w:r w:rsidR="004A0D1A" w:rsidRPr="005145F0">
        <w:t xml:space="preserve"> to enhance national </w:t>
      </w:r>
      <w:r w:rsidR="005F6C55" w:rsidRPr="005145F0">
        <w:t xml:space="preserve">ownership of </w:t>
      </w:r>
      <w:r w:rsidR="00E97589" w:rsidRPr="005145F0">
        <w:t xml:space="preserve">the </w:t>
      </w:r>
      <w:r w:rsidR="00C6772A">
        <w:t xml:space="preserve">country </w:t>
      </w:r>
      <w:r w:rsidR="00E97589" w:rsidRPr="005145F0">
        <w:t>programme</w:t>
      </w:r>
      <w:r w:rsidR="00B548DD" w:rsidRPr="005145F0">
        <w:t>.</w:t>
      </w:r>
    </w:p>
    <w:p w14:paraId="52A30EEB" w14:textId="77777777" w:rsidR="00110833" w:rsidRPr="005145F0" w:rsidRDefault="00E96EC5" w:rsidP="00A419B7">
      <w:pPr>
        <w:pStyle w:val="ListParagraph"/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after="120"/>
        <w:ind w:left="737" w:right="1644" w:hanging="17"/>
        <w:jc w:val="both"/>
      </w:pPr>
      <w:r>
        <w:lastRenderedPageBreak/>
        <w:t>Lack of</w:t>
      </w:r>
      <w:r w:rsidR="00110833" w:rsidRPr="005145F0">
        <w:t xml:space="preserve"> effective accountability structures could </w:t>
      </w:r>
      <w:r>
        <w:t>jeopardize</w:t>
      </w:r>
      <w:r w:rsidR="00110833" w:rsidRPr="005145F0">
        <w:t xml:space="preserve"> the delivery of the </w:t>
      </w:r>
      <w:r>
        <w:t>country programme</w:t>
      </w:r>
      <w:r w:rsidR="00110833" w:rsidRPr="005145F0">
        <w:t xml:space="preserve">. To mitigate this risk, the </w:t>
      </w:r>
      <w:r w:rsidR="00090BB3">
        <w:t>p</w:t>
      </w:r>
      <w:r w:rsidR="004D1649" w:rsidRPr="005145F0">
        <w:t>rogramme document</w:t>
      </w:r>
      <w:r w:rsidR="00484FDB">
        <w:t>, which</w:t>
      </w:r>
      <w:r w:rsidR="004D1649" w:rsidRPr="005145F0">
        <w:t xml:space="preserve"> outlines UNDP’s contributions to national results</w:t>
      </w:r>
      <w:r w:rsidR="00484FDB">
        <w:t>,</w:t>
      </w:r>
      <w:r w:rsidR="004D1649" w:rsidRPr="005145F0">
        <w:t xml:space="preserve"> serves as the primary unit of accountability to the Executive Board for results alignment and resources assigned to the programme. Accountabilities of managers at country, regional and headquarter</w:t>
      </w:r>
      <w:r w:rsidR="00484FDB">
        <w:t>s</w:t>
      </w:r>
      <w:r w:rsidR="004D1649" w:rsidRPr="005145F0">
        <w:t xml:space="preserve"> levels </w:t>
      </w:r>
      <w:r w:rsidR="00484FDB">
        <w:t>are</w:t>
      </w:r>
      <w:r w:rsidR="004D1649" w:rsidRPr="005145F0">
        <w:t xml:space="preserve"> prescribed in </w:t>
      </w:r>
      <w:r w:rsidR="00484FDB">
        <w:t>UNDP’s</w:t>
      </w:r>
      <w:r w:rsidR="004D1649" w:rsidRPr="005145F0">
        <w:t xml:space="preserve"> </w:t>
      </w:r>
      <w:hyperlink r:id="rId8" w:history="1">
        <w:r w:rsidR="004D1649" w:rsidRPr="005145F0">
          <w:rPr>
            <w:rStyle w:val="Hyperlink"/>
            <w:color w:val="auto"/>
          </w:rPr>
          <w:t>programme and operations policies and procedures</w:t>
        </w:r>
      </w:hyperlink>
      <w:r w:rsidR="004D1649" w:rsidRPr="005145F0">
        <w:t xml:space="preserve"> and the </w:t>
      </w:r>
      <w:hyperlink r:id="rId9" w:history="1">
        <w:r w:rsidR="004D1649" w:rsidRPr="005145F0">
          <w:rPr>
            <w:rStyle w:val="Hyperlink"/>
            <w:color w:val="auto"/>
          </w:rPr>
          <w:t>internal controls framework</w:t>
        </w:r>
      </w:hyperlink>
      <w:r w:rsidR="00B548DD" w:rsidRPr="005145F0">
        <w:t>.</w:t>
      </w:r>
      <w:r w:rsidR="00CD1ACF" w:rsidRPr="005145F0">
        <w:t xml:space="preserve"> </w:t>
      </w:r>
    </w:p>
    <w:p w14:paraId="54803585" w14:textId="77777777" w:rsidR="00B548DD" w:rsidRPr="000B2BCB" w:rsidRDefault="000B2BCB" w:rsidP="00A419B7">
      <w:pPr>
        <w:pStyle w:val="ListParagraph"/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ind w:left="734" w:right="1642" w:hanging="17"/>
        <w:jc w:val="both"/>
      </w:pPr>
      <w:r>
        <w:t>A</w:t>
      </w:r>
      <w:r w:rsidR="00CD1ACF" w:rsidRPr="00CC503B">
        <w:t xml:space="preserve"> </w:t>
      </w:r>
      <w:r w:rsidRPr="009B2E26">
        <w:rPr>
          <w:lang w:val="en-GB"/>
        </w:rPr>
        <w:t xml:space="preserve">mission to assess the country’s </w:t>
      </w:r>
      <w:r w:rsidR="00CD1ACF" w:rsidRPr="000B2BCB">
        <w:t xml:space="preserve">capacity </w:t>
      </w:r>
      <w:r w:rsidRPr="009B2E26">
        <w:rPr>
          <w:lang w:val="en-GB"/>
        </w:rPr>
        <w:t>to deal with potential environmental risks</w:t>
      </w:r>
      <w:r w:rsidRPr="000B2BCB" w:rsidDel="00484FDB">
        <w:t xml:space="preserve"> </w:t>
      </w:r>
      <w:r w:rsidR="0087753C" w:rsidRPr="000B2BCB">
        <w:t>was undertaken</w:t>
      </w:r>
      <w:r w:rsidR="00660B1C" w:rsidRPr="000B2BCB">
        <w:t xml:space="preserve"> </w:t>
      </w:r>
      <w:r w:rsidR="00812843" w:rsidRPr="000B2BCB">
        <w:t>in 2015</w:t>
      </w:r>
      <w:r w:rsidR="00812843" w:rsidRPr="00CC503B">
        <w:t xml:space="preserve"> by a group of United Nations agencies</w:t>
      </w:r>
      <w:r w:rsidR="006A1037" w:rsidRPr="00CC503B">
        <w:t xml:space="preserve">. </w:t>
      </w:r>
      <w:r w:rsidR="00484FDB" w:rsidRPr="00CC503B">
        <w:t>The resulting</w:t>
      </w:r>
      <w:r w:rsidR="00660B1C" w:rsidRPr="00CC503B">
        <w:t xml:space="preserve"> r</w:t>
      </w:r>
      <w:r w:rsidR="0087753C" w:rsidRPr="00CC503B">
        <w:t>e</w:t>
      </w:r>
      <w:r w:rsidR="00660B1C" w:rsidRPr="00CC503B">
        <w:t xml:space="preserve">port will be </w:t>
      </w:r>
      <w:r w:rsidR="00A26C8C" w:rsidRPr="000B2BCB">
        <w:t>incorporated into the</w:t>
      </w:r>
      <w:r w:rsidR="00660B1C" w:rsidRPr="000B2BCB">
        <w:t xml:space="preserve"> risk mitigation plan</w:t>
      </w:r>
      <w:r w:rsidR="0087753C" w:rsidRPr="000B2BCB">
        <w:t>.</w:t>
      </w:r>
      <w:r w:rsidR="00FE3B38" w:rsidRPr="000B2BCB">
        <w:t xml:space="preserve"> </w:t>
      </w:r>
    </w:p>
    <w:p w14:paraId="55921B96" w14:textId="77777777" w:rsidR="00E6760A" w:rsidRPr="005145F0" w:rsidRDefault="00E6760A" w:rsidP="0071246A">
      <w:pPr>
        <w:ind w:left="737" w:right="1644" w:hanging="17"/>
      </w:pPr>
    </w:p>
    <w:p w14:paraId="61393563" w14:textId="77777777" w:rsidR="00B548DD" w:rsidRPr="00322FDC" w:rsidRDefault="00B548DD" w:rsidP="00322FDC">
      <w:pPr>
        <w:pStyle w:val="Heading1"/>
        <w:numPr>
          <w:ilvl w:val="0"/>
          <w:numId w:val="8"/>
        </w:numPr>
        <w:tabs>
          <w:tab w:val="left" w:pos="720"/>
          <w:tab w:val="left" w:pos="1800"/>
          <w:tab w:val="left" w:pos="8640"/>
        </w:tabs>
        <w:ind w:right="720" w:hanging="1170"/>
        <w:rPr>
          <w:rFonts w:ascii="Times New Roman" w:hAnsi="Times New Roman"/>
          <w:color w:val="000000"/>
          <w:sz w:val="24"/>
          <w:szCs w:val="24"/>
        </w:rPr>
      </w:pPr>
      <w:r w:rsidRPr="00322FDC">
        <w:rPr>
          <w:rFonts w:ascii="Times New Roman" w:hAnsi="Times New Roman"/>
          <w:color w:val="000000"/>
          <w:sz w:val="24"/>
          <w:szCs w:val="24"/>
        </w:rPr>
        <w:t>Monitoring and evaluation</w:t>
      </w:r>
    </w:p>
    <w:p w14:paraId="6AC20662" w14:textId="77777777" w:rsidR="00B548DD" w:rsidRPr="00322FDC" w:rsidRDefault="00B548DD" w:rsidP="00322FDC">
      <w:pPr>
        <w:tabs>
          <w:tab w:val="left" w:pos="720"/>
        </w:tabs>
        <w:ind w:firstLine="720"/>
      </w:pPr>
    </w:p>
    <w:p w14:paraId="307BBB43" w14:textId="77777777" w:rsidR="00B33280" w:rsidRPr="005145F0" w:rsidRDefault="006B6B5F" w:rsidP="00A419B7">
      <w:pPr>
        <w:pStyle w:val="ListParagraph"/>
        <w:numPr>
          <w:ilvl w:val="0"/>
          <w:numId w:val="15"/>
        </w:numPr>
        <w:tabs>
          <w:tab w:val="left" w:pos="900"/>
          <w:tab w:val="left" w:pos="1080"/>
        </w:tabs>
        <w:autoSpaceDE w:val="0"/>
        <w:autoSpaceDN w:val="0"/>
        <w:adjustRightInd w:val="0"/>
        <w:spacing w:after="120"/>
        <w:ind w:left="737" w:right="1644" w:hanging="17"/>
        <w:jc w:val="both"/>
      </w:pPr>
      <w:r w:rsidRPr="005145F0">
        <w:t>Together</w:t>
      </w:r>
      <w:r w:rsidR="00B548DD" w:rsidRPr="005145F0">
        <w:t xml:space="preserve"> with its partners, UNDP aims </w:t>
      </w:r>
      <w:r w:rsidR="00CC503B">
        <w:t>to achieve</w:t>
      </w:r>
      <w:r w:rsidR="00CC503B" w:rsidRPr="005145F0">
        <w:t xml:space="preserve"> </w:t>
      </w:r>
      <w:r w:rsidR="00B548DD" w:rsidRPr="005145F0">
        <w:t xml:space="preserve">visible and tangible results that have real impact for the </w:t>
      </w:r>
      <w:r w:rsidR="00484FDB">
        <w:t>G</w:t>
      </w:r>
      <w:r w:rsidR="00B548DD" w:rsidRPr="005145F0">
        <w:t xml:space="preserve">overnment, </w:t>
      </w:r>
      <w:r w:rsidR="00484FDB">
        <w:t>the people</w:t>
      </w:r>
      <w:r w:rsidR="00484FDB" w:rsidRPr="005145F0">
        <w:t xml:space="preserve"> </w:t>
      </w:r>
      <w:r w:rsidR="00B548DD" w:rsidRPr="005145F0">
        <w:t xml:space="preserve">and other stakeholders. </w:t>
      </w:r>
      <w:r w:rsidR="00B33280" w:rsidRPr="005145F0">
        <w:t xml:space="preserve">UNDP will support the </w:t>
      </w:r>
      <w:r w:rsidR="00484FDB">
        <w:t>G</w:t>
      </w:r>
      <w:r w:rsidR="00114DAF" w:rsidRPr="005145F0">
        <w:t xml:space="preserve">overnment in preparing, managing, </w:t>
      </w:r>
      <w:r w:rsidR="00B33280" w:rsidRPr="005145F0">
        <w:t xml:space="preserve">monitoring and evaluating policies and inclusive growth strategies. </w:t>
      </w:r>
      <w:r w:rsidR="00526C3A" w:rsidRPr="005145F0">
        <w:t>UNDP will technically support the Directorate of Planning</w:t>
      </w:r>
      <w:r w:rsidR="00526C3A" w:rsidRPr="005145F0">
        <w:rPr>
          <w:rStyle w:val="FootnoteReference"/>
        </w:rPr>
        <w:footnoteReference w:id="20"/>
      </w:r>
      <w:r w:rsidR="00526C3A" w:rsidRPr="005145F0">
        <w:t xml:space="preserve"> </w:t>
      </w:r>
      <w:r w:rsidR="00114DAF" w:rsidRPr="005145F0">
        <w:t>in</w:t>
      </w:r>
      <w:r w:rsidR="00526C3A" w:rsidRPr="005145F0">
        <w:t xml:space="preserve"> </w:t>
      </w:r>
      <w:r w:rsidR="00B548DD" w:rsidRPr="005145F0">
        <w:t>monitoring the programme</w:t>
      </w:r>
      <w:r w:rsidR="00114DAF" w:rsidRPr="005145F0">
        <w:t xml:space="preserve">, based on </w:t>
      </w:r>
      <w:r w:rsidR="00B548DD" w:rsidRPr="005145F0">
        <w:t>reference indicators and targets</w:t>
      </w:r>
      <w:r w:rsidRPr="005145F0">
        <w:t xml:space="preserve"> disaggregated by gender, age and region</w:t>
      </w:r>
      <w:r w:rsidR="00114DAF" w:rsidRPr="005145F0">
        <w:t>,</w:t>
      </w:r>
      <w:r w:rsidR="00B548DD" w:rsidRPr="005145F0">
        <w:t xml:space="preserve"> as defined in the </w:t>
      </w:r>
      <w:r w:rsidR="00C8091E">
        <w:t>r</w:t>
      </w:r>
      <w:r w:rsidR="00B548DD" w:rsidRPr="005145F0">
        <w:t xml:space="preserve">esults and </w:t>
      </w:r>
      <w:r w:rsidR="00C8091E">
        <w:t>r</w:t>
      </w:r>
      <w:r w:rsidR="00B548DD" w:rsidRPr="005145F0">
        <w:t xml:space="preserve">esources </w:t>
      </w:r>
      <w:r w:rsidR="00C8091E">
        <w:t>f</w:t>
      </w:r>
      <w:r w:rsidR="00114DAF" w:rsidRPr="005145F0">
        <w:t>ramework</w:t>
      </w:r>
      <w:r w:rsidR="00CA6091" w:rsidRPr="005145F0">
        <w:t xml:space="preserve">. </w:t>
      </w:r>
      <w:r w:rsidR="00B11F95">
        <w:t>These</w:t>
      </w:r>
      <w:r w:rsidR="00B11F95" w:rsidRPr="005145F0">
        <w:t xml:space="preserve"> </w:t>
      </w:r>
      <w:r w:rsidR="00B548DD" w:rsidRPr="005145F0">
        <w:t>data will be drawn from global and national sources</w:t>
      </w:r>
      <w:r w:rsidR="00526C3A" w:rsidRPr="005145F0">
        <w:t xml:space="preserve">, </w:t>
      </w:r>
      <w:r w:rsidR="00114DAF" w:rsidRPr="005145F0">
        <w:t xml:space="preserve">such as </w:t>
      </w:r>
      <w:r w:rsidR="00484FDB">
        <w:t>h</w:t>
      </w:r>
      <w:r w:rsidR="00114DAF" w:rsidRPr="005145F0">
        <w:t xml:space="preserve">ousehold </w:t>
      </w:r>
      <w:r w:rsidR="00484FDB">
        <w:t>s</w:t>
      </w:r>
      <w:r w:rsidR="00526C3A" w:rsidRPr="005145F0">
        <w:t>urvey</w:t>
      </w:r>
      <w:r w:rsidR="00114DAF" w:rsidRPr="005145F0">
        <w:t>s</w:t>
      </w:r>
      <w:r w:rsidR="00CC503B">
        <w:t xml:space="preserve"> </w:t>
      </w:r>
      <w:r w:rsidR="009421F1" w:rsidRPr="005145F0">
        <w:t>and thematic analys</w:t>
      </w:r>
      <w:r w:rsidR="00484FDB">
        <w:t>e</w:t>
      </w:r>
      <w:r w:rsidR="009421F1" w:rsidRPr="005145F0">
        <w:t>s.</w:t>
      </w:r>
      <w:r w:rsidR="00B548DD" w:rsidRPr="005145F0">
        <w:t xml:space="preserve"> </w:t>
      </w:r>
      <w:r w:rsidR="00B11F95">
        <w:t>This information</w:t>
      </w:r>
      <w:r w:rsidR="00484FDB">
        <w:t xml:space="preserve"> will facilitate preparation of n</w:t>
      </w:r>
      <w:r w:rsidRPr="005145F0">
        <w:t xml:space="preserve">ational </w:t>
      </w:r>
      <w:r w:rsidR="00484FDB">
        <w:t>r</w:t>
      </w:r>
      <w:r w:rsidRPr="005145F0">
        <w:t>eport</w:t>
      </w:r>
      <w:r w:rsidR="00484FDB">
        <w:t>s</w:t>
      </w:r>
      <w:r w:rsidRPr="005145F0">
        <w:t xml:space="preserve"> </w:t>
      </w:r>
      <w:r w:rsidR="00B548DD" w:rsidRPr="005145F0">
        <w:t>on sustainable human development</w:t>
      </w:r>
      <w:r w:rsidR="00114DAF" w:rsidRPr="005145F0">
        <w:t>,</w:t>
      </w:r>
      <w:r w:rsidR="00B548DD" w:rsidRPr="005145F0">
        <w:t xml:space="preserve"> </w:t>
      </w:r>
      <w:r w:rsidR="00114DAF" w:rsidRPr="005145F0">
        <w:t>related to</w:t>
      </w:r>
      <w:r w:rsidR="00B548DD" w:rsidRPr="005145F0">
        <w:t xml:space="preserve"> specific </w:t>
      </w:r>
      <w:r w:rsidR="00CC503B">
        <w:t xml:space="preserve">country </w:t>
      </w:r>
      <w:r w:rsidR="00B548DD" w:rsidRPr="005145F0">
        <w:t xml:space="preserve">issues and </w:t>
      </w:r>
      <w:r w:rsidR="00CC503B">
        <w:t xml:space="preserve">the </w:t>
      </w:r>
      <w:r w:rsidR="00B548DD" w:rsidRPr="005145F0">
        <w:t xml:space="preserve">SDGs. </w:t>
      </w:r>
      <w:r w:rsidR="009421F1" w:rsidRPr="005145F0">
        <w:t>UNDP</w:t>
      </w:r>
      <w:r w:rsidR="00B33280" w:rsidRPr="005145F0">
        <w:t xml:space="preserve"> will </w:t>
      </w:r>
      <w:r w:rsidR="00F24AC2" w:rsidRPr="005145F0">
        <w:t>help</w:t>
      </w:r>
      <w:r w:rsidR="00B33280" w:rsidRPr="005145F0">
        <w:t xml:space="preserve"> the </w:t>
      </w:r>
      <w:r w:rsidR="00C8091E">
        <w:t>G</w:t>
      </w:r>
      <w:r w:rsidR="00F24AC2" w:rsidRPr="005145F0">
        <w:t xml:space="preserve">overnment </w:t>
      </w:r>
      <w:r w:rsidRPr="005145F0">
        <w:t>set up</w:t>
      </w:r>
      <w:r w:rsidR="00B33280" w:rsidRPr="005145F0">
        <w:t xml:space="preserve"> mechanisms, </w:t>
      </w:r>
      <w:r w:rsidR="00114DAF" w:rsidRPr="005145F0">
        <w:t xml:space="preserve">structures, </w:t>
      </w:r>
      <w:r w:rsidR="00B33280" w:rsidRPr="005145F0">
        <w:t xml:space="preserve">systems and tools </w:t>
      </w:r>
      <w:r w:rsidR="00C8091E">
        <w:t>to achieve</w:t>
      </w:r>
      <w:r w:rsidR="00B33280" w:rsidRPr="005145F0">
        <w:t xml:space="preserve"> more efficient allocation, use and monitoring of resources and aid coordination. Innovative tools </w:t>
      </w:r>
      <w:r w:rsidRPr="005145F0">
        <w:t>to enable</w:t>
      </w:r>
      <w:r w:rsidR="00114DAF" w:rsidRPr="005145F0">
        <w:t xml:space="preserve"> and encourage </w:t>
      </w:r>
      <w:r w:rsidR="00B33280" w:rsidRPr="005145F0">
        <w:t xml:space="preserve">citizen participation in public debates will be promoted and implemented. </w:t>
      </w:r>
    </w:p>
    <w:p w14:paraId="15CBD521" w14:textId="7CBAA955" w:rsidR="00CC503B" w:rsidRDefault="00C8091E" w:rsidP="00A419B7">
      <w:pPr>
        <w:pStyle w:val="Heading1"/>
        <w:numPr>
          <w:ilvl w:val="0"/>
          <w:numId w:val="15"/>
        </w:numPr>
        <w:tabs>
          <w:tab w:val="left" w:pos="900"/>
          <w:tab w:val="left" w:pos="1080"/>
          <w:tab w:val="left" w:pos="1620"/>
          <w:tab w:val="left" w:pos="1710"/>
          <w:tab w:val="left" w:pos="1800"/>
          <w:tab w:val="left" w:pos="8640"/>
        </w:tabs>
        <w:autoSpaceDE w:val="0"/>
        <w:autoSpaceDN w:val="0"/>
        <w:adjustRightInd w:val="0"/>
        <w:ind w:left="737" w:right="1644" w:hanging="17"/>
        <w:contextualSpacing/>
        <w:jc w:val="both"/>
        <w:rPr>
          <w:rFonts w:ascii="Times New Roman" w:eastAsiaTheme="minorEastAsia" w:hAnsi="Times New Roman"/>
          <w:b w:val="0"/>
          <w:sz w:val="20"/>
          <w:lang w:eastAsia="ja-JP"/>
        </w:rPr>
      </w:pPr>
      <w:r>
        <w:rPr>
          <w:rFonts w:ascii="Times New Roman" w:hAnsi="Times New Roman"/>
          <w:b w:val="0"/>
          <w:sz w:val="20"/>
        </w:rPr>
        <w:t>Country programme</w:t>
      </w:r>
      <w:r w:rsidRPr="005145F0">
        <w:rPr>
          <w:rFonts w:ascii="Times New Roman" w:hAnsi="Times New Roman"/>
          <w:b w:val="0"/>
          <w:sz w:val="20"/>
        </w:rPr>
        <w:t xml:space="preserve"> </w:t>
      </w:r>
      <w:r w:rsidR="00CA6091" w:rsidRPr="005145F0">
        <w:rPr>
          <w:rFonts w:ascii="Times New Roman" w:hAnsi="Times New Roman"/>
          <w:b w:val="0"/>
          <w:sz w:val="20"/>
        </w:rPr>
        <w:t>m</w:t>
      </w:r>
      <w:r w:rsidR="00B548DD" w:rsidRPr="005145F0">
        <w:rPr>
          <w:rFonts w:ascii="Times New Roman" w:hAnsi="Times New Roman"/>
          <w:b w:val="0"/>
          <w:sz w:val="20"/>
        </w:rPr>
        <w:t xml:space="preserve">onitoring will be linked to </w:t>
      </w:r>
      <w:r w:rsidR="00CA6091" w:rsidRPr="005145F0">
        <w:rPr>
          <w:rFonts w:ascii="Times New Roman" w:hAnsi="Times New Roman"/>
          <w:b w:val="0"/>
          <w:sz w:val="20"/>
        </w:rPr>
        <w:t>government</w:t>
      </w:r>
      <w:r>
        <w:rPr>
          <w:rFonts w:ascii="Times New Roman" w:hAnsi="Times New Roman"/>
          <w:b w:val="0"/>
          <w:sz w:val="20"/>
        </w:rPr>
        <w:t>-</w:t>
      </w:r>
      <w:r w:rsidR="00CA6091" w:rsidRPr="005145F0">
        <w:rPr>
          <w:rFonts w:ascii="Times New Roman" w:hAnsi="Times New Roman"/>
          <w:b w:val="0"/>
          <w:sz w:val="20"/>
        </w:rPr>
        <w:t xml:space="preserve">established </w:t>
      </w:r>
      <w:r w:rsidR="00B548DD" w:rsidRPr="005145F0">
        <w:rPr>
          <w:rFonts w:ascii="Times New Roman" w:hAnsi="Times New Roman"/>
          <w:b w:val="0"/>
          <w:sz w:val="20"/>
        </w:rPr>
        <w:t xml:space="preserve">mechanisms </w:t>
      </w:r>
      <w:r w:rsidR="009D2F2D" w:rsidRPr="005145F0">
        <w:rPr>
          <w:rFonts w:ascii="Times New Roman" w:hAnsi="Times New Roman"/>
          <w:b w:val="0"/>
          <w:sz w:val="20"/>
        </w:rPr>
        <w:t>established</w:t>
      </w:r>
      <w:r w:rsidR="00B548DD" w:rsidRPr="005145F0">
        <w:rPr>
          <w:rFonts w:ascii="Times New Roman" w:hAnsi="Times New Roman"/>
          <w:b w:val="0"/>
          <w:sz w:val="20"/>
        </w:rPr>
        <w:t xml:space="preserve"> to monitor </w:t>
      </w:r>
      <w:r w:rsidR="0025288F">
        <w:rPr>
          <w:rFonts w:ascii="Times New Roman" w:hAnsi="Times New Roman"/>
          <w:b w:val="0"/>
          <w:sz w:val="20"/>
        </w:rPr>
        <w:t>the 2030 Transformation Agenda</w:t>
      </w:r>
      <w:r w:rsidR="00B548DD" w:rsidRPr="005145F0">
        <w:rPr>
          <w:rFonts w:ascii="Times New Roman" w:hAnsi="Times New Roman"/>
          <w:b w:val="0"/>
          <w:sz w:val="20"/>
        </w:rPr>
        <w:t xml:space="preserve"> </w:t>
      </w:r>
      <w:r w:rsidR="00CA6091" w:rsidRPr="005145F0">
        <w:rPr>
          <w:rFonts w:ascii="Times New Roman" w:hAnsi="Times New Roman"/>
          <w:b w:val="0"/>
          <w:sz w:val="20"/>
        </w:rPr>
        <w:t>and UNDAF outcomes. This</w:t>
      </w:r>
      <w:r w:rsidR="00B548DD" w:rsidRPr="005145F0">
        <w:rPr>
          <w:rFonts w:ascii="Times New Roman" w:hAnsi="Times New Roman"/>
          <w:b w:val="0"/>
          <w:sz w:val="20"/>
        </w:rPr>
        <w:t xml:space="preserve"> aim</w:t>
      </w:r>
      <w:r w:rsidR="001E3ABD" w:rsidRPr="005145F0">
        <w:rPr>
          <w:rFonts w:ascii="Times New Roman" w:hAnsi="Times New Roman"/>
          <w:b w:val="0"/>
          <w:sz w:val="20"/>
        </w:rPr>
        <w:t>s</w:t>
      </w:r>
      <w:r w:rsidR="00CA6091" w:rsidRPr="005145F0">
        <w:rPr>
          <w:rFonts w:ascii="Times New Roman" w:hAnsi="Times New Roman"/>
          <w:b w:val="0"/>
          <w:sz w:val="20"/>
        </w:rPr>
        <w:t xml:space="preserve"> at</w:t>
      </w:r>
      <w:r w:rsidR="00B548DD" w:rsidRPr="005145F0">
        <w:rPr>
          <w:rFonts w:ascii="Times New Roman" w:hAnsi="Times New Roman"/>
          <w:b w:val="0"/>
          <w:sz w:val="20"/>
        </w:rPr>
        <w:t xml:space="preserve"> strengthen</w:t>
      </w:r>
      <w:r w:rsidR="00CA6091" w:rsidRPr="005145F0">
        <w:rPr>
          <w:rFonts w:ascii="Times New Roman" w:hAnsi="Times New Roman"/>
          <w:b w:val="0"/>
          <w:sz w:val="20"/>
        </w:rPr>
        <w:t>ing stakeholder</w:t>
      </w:r>
      <w:r w:rsidR="00B548DD" w:rsidRPr="005145F0">
        <w:rPr>
          <w:rFonts w:ascii="Times New Roman" w:hAnsi="Times New Roman"/>
          <w:b w:val="0"/>
          <w:sz w:val="20"/>
        </w:rPr>
        <w:t xml:space="preserve"> </w:t>
      </w:r>
      <w:r w:rsidR="00CA6091" w:rsidRPr="005145F0">
        <w:rPr>
          <w:rFonts w:ascii="Times New Roman" w:hAnsi="Times New Roman"/>
          <w:b w:val="0"/>
          <w:sz w:val="20"/>
        </w:rPr>
        <w:t xml:space="preserve">involvement </w:t>
      </w:r>
      <w:r w:rsidR="00B548DD" w:rsidRPr="005145F0">
        <w:rPr>
          <w:rFonts w:ascii="Times New Roman" w:hAnsi="Times New Roman"/>
          <w:b w:val="0"/>
          <w:sz w:val="20"/>
        </w:rPr>
        <w:t>through joint fiel</w:t>
      </w:r>
      <w:r w:rsidR="001E3ABD" w:rsidRPr="005145F0">
        <w:rPr>
          <w:rFonts w:ascii="Times New Roman" w:hAnsi="Times New Roman"/>
          <w:b w:val="0"/>
          <w:sz w:val="20"/>
        </w:rPr>
        <w:t xml:space="preserve">d visits, quarterly and annual </w:t>
      </w:r>
      <w:r w:rsidR="00114DAF" w:rsidRPr="005145F0">
        <w:rPr>
          <w:rFonts w:ascii="Times New Roman" w:hAnsi="Times New Roman"/>
          <w:b w:val="0"/>
          <w:sz w:val="20"/>
        </w:rPr>
        <w:t>programme</w:t>
      </w:r>
      <w:r w:rsidR="00B548DD" w:rsidRPr="005145F0">
        <w:rPr>
          <w:rFonts w:ascii="Times New Roman" w:hAnsi="Times New Roman"/>
          <w:b w:val="0"/>
          <w:sz w:val="20"/>
        </w:rPr>
        <w:t xml:space="preserve"> reviews</w:t>
      </w:r>
      <w:r w:rsidR="00114DAF" w:rsidRPr="005145F0">
        <w:rPr>
          <w:rFonts w:ascii="Times New Roman" w:hAnsi="Times New Roman"/>
          <w:b w:val="0"/>
          <w:sz w:val="20"/>
        </w:rPr>
        <w:t>,</w:t>
      </w:r>
      <w:r w:rsidR="00B47CFF">
        <w:rPr>
          <w:rFonts w:ascii="Times New Roman" w:hAnsi="Times New Roman"/>
          <w:b w:val="0"/>
          <w:sz w:val="20"/>
        </w:rPr>
        <w:t xml:space="preserve"> and </w:t>
      </w:r>
      <w:r w:rsidR="00B548DD" w:rsidRPr="005145F0">
        <w:rPr>
          <w:rFonts w:ascii="Times New Roman" w:hAnsi="Times New Roman"/>
          <w:b w:val="0"/>
          <w:sz w:val="20"/>
        </w:rPr>
        <w:t xml:space="preserve">regular meetings </w:t>
      </w:r>
      <w:r w:rsidR="001E3ABD" w:rsidRPr="005145F0">
        <w:rPr>
          <w:rFonts w:ascii="Times New Roman" w:hAnsi="Times New Roman"/>
          <w:b w:val="0"/>
          <w:sz w:val="20"/>
        </w:rPr>
        <w:t>of</w:t>
      </w:r>
      <w:r w:rsidR="00B548DD" w:rsidRPr="005145F0">
        <w:rPr>
          <w:rFonts w:ascii="Times New Roman" w:hAnsi="Times New Roman"/>
          <w:b w:val="0"/>
          <w:sz w:val="20"/>
        </w:rPr>
        <w:t xml:space="preserve"> </w:t>
      </w:r>
      <w:r>
        <w:rPr>
          <w:rFonts w:ascii="Times New Roman" w:hAnsi="Times New Roman"/>
          <w:b w:val="0"/>
          <w:sz w:val="20"/>
        </w:rPr>
        <w:t>United Nations</w:t>
      </w:r>
      <w:r w:rsidRPr="005145F0">
        <w:rPr>
          <w:rFonts w:ascii="Times New Roman" w:hAnsi="Times New Roman"/>
          <w:b w:val="0"/>
          <w:sz w:val="20"/>
        </w:rPr>
        <w:t xml:space="preserve"> </w:t>
      </w:r>
      <w:r w:rsidR="00B548DD" w:rsidRPr="005145F0">
        <w:rPr>
          <w:rFonts w:ascii="Times New Roman" w:hAnsi="Times New Roman"/>
          <w:b w:val="0"/>
          <w:sz w:val="20"/>
        </w:rPr>
        <w:t>thematic groups on outcomes</w:t>
      </w:r>
      <w:r w:rsidR="00B47CFF">
        <w:rPr>
          <w:rFonts w:ascii="Times New Roman" w:hAnsi="Times New Roman"/>
          <w:b w:val="0"/>
          <w:sz w:val="20"/>
        </w:rPr>
        <w:t>,</w:t>
      </w:r>
      <w:r w:rsidR="00B548DD" w:rsidRPr="005145F0">
        <w:rPr>
          <w:rFonts w:ascii="Times New Roman" w:hAnsi="Times New Roman"/>
          <w:b w:val="0"/>
          <w:sz w:val="20"/>
        </w:rPr>
        <w:t xml:space="preserve"> technical groups and the UNDAF Steering Committee. </w:t>
      </w:r>
      <w:r w:rsidR="00EE3FB5" w:rsidRPr="005145F0">
        <w:rPr>
          <w:rFonts w:ascii="Times New Roman" w:hAnsi="Times New Roman"/>
          <w:b w:val="0"/>
          <w:sz w:val="20"/>
        </w:rPr>
        <w:t>M</w:t>
      </w:r>
      <w:r w:rsidR="00B548DD" w:rsidRPr="005145F0">
        <w:rPr>
          <w:rFonts w:ascii="Times New Roman" w:hAnsi="Times New Roman"/>
          <w:b w:val="0"/>
          <w:sz w:val="20"/>
        </w:rPr>
        <w:t xml:space="preserve">onitoring mechanisms will be based on quarterly reports and annual reviews. </w:t>
      </w:r>
      <w:r w:rsidR="00EE3FB5" w:rsidRPr="005145F0">
        <w:rPr>
          <w:rFonts w:ascii="Times New Roman" w:hAnsi="Times New Roman"/>
          <w:b w:val="0"/>
          <w:sz w:val="20"/>
        </w:rPr>
        <w:t>It will therefore</w:t>
      </w:r>
      <w:r w:rsidR="00B548DD" w:rsidRPr="005145F0">
        <w:rPr>
          <w:rFonts w:ascii="Times New Roman" w:hAnsi="Times New Roman"/>
          <w:b w:val="0"/>
          <w:sz w:val="20"/>
        </w:rPr>
        <w:t xml:space="preserve"> be essential to support the National Institute </w:t>
      </w:r>
      <w:r w:rsidR="00114DAF" w:rsidRPr="005145F0">
        <w:rPr>
          <w:rFonts w:ascii="Times New Roman" w:hAnsi="Times New Roman"/>
          <w:b w:val="0"/>
          <w:sz w:val="20"/>
        </w:rPr>
        <w:t xml:space="preserve">of Statistics </w:t>
      </w:r>
      <w:r w:rsidR="00EE3FB5" w:rsidRPr="005145F0">
        <w:rPr>
          <w:rFonts w:ascii="Times New Roman" w:hAnsi="Times New Roman"/>
          <w:b w:val="0"/>
          <w:sz w:val="20"/>
        </w:rPr>
        <w:t>in</w:t>
      </w:r>
      <w:r w:rsidR="002C4C14">
        <w:rPr>
          <w:rFonts w:ascii="Times New Roman" w:hAnsi="Times New Roman"/>
          <w:b w:val="0"/>
          <w:sz w:val="20"/>
        </w:rPr>
        <w:t xml:space="preserve"> improv</w:t>
      </w:r>
      <w:r w:rsidR="00EE3FB5" w:rsidRPr="005145F0">
        <w:rPr>
          <w:rFonts w:ascii="Times New Roman" w:hAnsi="Times New Roman"/>
          <w:b w:val="0"/>
          <w:sz w:val="20"/>
        </w:rPr>
        <w:t>ing</w:t>
      </w:r>
      <w:r w:rsidR="00B548DD" w:rsidRPr="005145F0">
        <w:rPr>
          <w:rFonts w:ascii="Times New Roman" w:hAnsi="Times New Roman"/>
          <w:b w:val="0"/>
          <w:sz w:val="20"/>
        </w:rPr>
        <w:t xml:space="preserve"> the quality of </w:t>
      </w:r>
      <w:r w:rsidR="00114DAF" w:rsidRPr="005145F0">
        <w:rPr>
          <w:rFonts w:ascii="Times New Roman" w:hAnsi="Times New Roman"/>
          <w:b w:val="0"/>
          <w:sz w:val="20"/>
        </w:rPr>
        <w:t>its</w:t>
      </w:r>
      <w:r w:rsidR="00B548DD" w:rsidRPr="005145F0">
        <w:rPr>
          <w:rFonts w:ascii="Times New Roman" w:hAnsi="Times New Roman"/>
          <w:b w:val="0"/>
          <w:sz w:val="20"/>
        </w:rPr>
        <w:t xml:space="preserve"> data</w:t>
      </w:r>
      <w:r w:rsidR="00EE3FB5" w:rsidRPr="005145F0">
        <w:rPr>
          <w:rFonts w:ascii="Times New Roman" w:hAnsi="Times New Roman"/>
          <w:b w:val="0"/>
          <w:sz w:val="20"/>
        </w:rPr>
        <w:t xml:space="preserve"> to ensure</w:t>
      </w:r>
      <w:r w:rsidR="00114DAF" w:rsidRPr="005145F0">
        <w:rPr>
          <w:rFonts w:ascii="Times New Roman" w:hAnsi="Times New Roman"/>
          <w:b w:val="0"/>
          <w:sz w:val="20"/>
        </w:rPr>
        <w:t xml:space="preserve"> more</w:t>
      </w:r>
      <w:r w:rsidR="00B548DD" w:rsidRPr="005145F0">
        <w:rPr>
          <w:rFonts w:ascii="Times New Roman" w:hAnsi="Times New Roman"/>
          <w:b w:val="0"/>
          <w:sz w:val="20"/>
        </w:rPr>
        <w:t xml:space="preserve"> efficient monitoring of indicators. </w:t>
      </w:r>
      <w:r w:rsidR="00743880" w:rsidRPr="005145F0">
        <w:rPr>
          <w:rFonts w:ascii="Times New Roman" w:eastAsiaTheme="minorEastAsia" w:hAnsi="Times New Roman"/>
          <w:b w:val="0"/>
          <w:sz w:val="20"/>
          <w:lang w:eastAsia="ja-JP"/>
        </w:rPr>
        <w:t>Perform</w:t>
      </w:r>
      <w:r w:rsidR="006C1455" w:rsidRPr="005145F0">
        <w:rPr>
          <w:rFonts w:ascii="Times New Roman" w:eastAsiaTheme="minorEastAsia" w:hAnsi="Times New Roman"/>
          <w:b w:val="0"/>
          <w:sz w:val="20"/>
          <w:lang w:eastAsia="ja-JP"/>
        </w:rPr>
        <w:t>ance review meetings (internal and external</w:t>
      </w:r>
      <w:r w:rsidR="00743880" w:rsidRPr="005145F0">
        <w:rPr>
          <w:rFonts w:ascii="Times New Roman" w:eastAsiaTheme="minorEastAsia" w:hAnsi="Times New Roman"/>
          <w:b w:val="0"/>
          <w:sz w:val="20"/>
          <w:lang w:eastAsia="ja-JP"/>
        </w:rPr>
        <w:t xml:space="preserve">) with key stakeholders, including </w:t>
      </w:r>
      <w:r w:rsidR="006C1455" w:rsidRPr="005145F0">
        <w:rPr>
          <w:rFonts w:ascii="Times New Roman" w:eastAsiaTheme="minorEastAsia" w:hAnsi="Times New Roman"/>
          <w:b w:val="0"/>
          <w:sz w:val="20"/>
          <w:lang w:eastAsia="ja-JP"/>
        </w:rPr>
        <w:t xml:space="preserve">the </w:t>
      </w:r>
      <w:r w:rsidR="00743880" w:rsidRPr="005145F0">
        <w:rPr>
          <w:rFonts w:ascii="Times New Roman" w:eastAsiaTheme="minorEastAsia" w:hAnsi="Times New Roman"/>
          <w:b w:val="0"/>
          <w:sz w:val="20"/>
          <w:lang w:eastAsia="ja-JP"/>
        </w:rPr>
        <w:t xml:space="preserve">National Institute of Statistics, will be conducted annually as part of the monitoring process. </w:t>
      </w:r>
    </w:p>
    <w:p w14:paraId="05EDFFA3" w14:textId="77777777" w:rsidR="00A419B7" w:rsidRPr="00A419B7" w:rsidRDefault="00A419B7" w:rsidP="00A419B7">
      <w:pPr>
        <w:rPr>
          <w:rFonts w:eastAsiaTheme="minorEastAsia"/>
          <w:sz w:val="12"/>
          <w:szCs w:val="12"/>
          <w:lang w:eastAsia="ja-JP"/>
        </w:rPr>
      </w:pPr>
    </w:p>
    <w:p w14:paraId="163F1327" w14:textId="04A72467" w:rsidR="00322FDC" w:rsidRDefault="00743880" w:rsidP="00A419B7">
      <w:pPr>
        <w:pStyle w:val="Heading1"/>
        <w:numPr>
          <w:ilvl w:val="0"/>
          <w:numId w:val="15"/>
        </w:numPr>
        <w:tabs>
          <w:tab w:val="left" w:pos="900"/>
          <w:tab w:val="left" w:pos="1080"/>
          <w:tab w:val="left" w:pos="1620"/>
          <w:tab w:val="left" w:pos="1710"/>
          <w:tab w:val="left" w:pos="1800"/>
          <w:tab w:val="left" w:pos="8640"/>
        </w:tabs>
        <w:autoSpaceDE w:val="0"/>
        <w:autoSpaceDN w:val="0"/>
        <w:adjustRightInd w:val="0"/>
        <w:ind w:left="737" w:right="1644" w:hanging="17"/>
        <w:contextualSpacing/>
        <w:jc w:val="both"/>
        <w:rPr>
          <w:rFonts w:ascii="Times New Roman" w:hAnsi="Times New Roman"/>
          <w:b w:val="0"/>
          <w:sz w:val="20"/>
        </w:rPr>
      </w:pPr>
      <w:r w:rsidRPr="005145F0">
        <w:rPr>
          <w:rFonts w:ascii="Times New Roman" w:eastAsiaTheme="minorEastAsia" w:hAnsi="Times New Roman"/>
          <w:b w:val="0"/>
          <w:sz w:val="20"/>
          <w:lang w:eastAsia="ja-JP"/>
        </w:rPr>
        <w:t xml:space="preserve">The </w:t>
      </w:r>
      <w:r w:rsidR="002C4C14">
        <w:rPr>
          <w:rFonts w:ascii="Times New Roman" w:eastAsiaTheme="minorEastAsia" w:hAnsi="Times New Roman"/>
          <w:b w:val="0"/>
          <w:sz w:val="20"/>
          <w:lang w:eastAsia="ja-JP"/>
        </w:rPr>
        <w:t>prim</w:t>
      </w:r>
      <w:r w:rsidR="00EE3FB5" w:rsidRPr="005145F0">
        <w:rPr>
          <w:rFonts w:ascii="Times New Roman" w:eastAsiaTheme="minorEastAsia" w:hAnsi="Times New Roman"/>
          <w:b w:val="0"/>
          <w:sz w:val="20"/>
          <w:lang w:eastAsia="ja-JP"/>
        </w:rPr>
        <w:t>ary</w:t>
      </w:r>
      <w:r w:rsidRPr="005145F0">
        <w:rPr>
          <w:rFonts w:ascii="Times New Roman" w:eastAsiaTheme="minorEastAsia" w:hAnsi="Times New Roman"/>
          <w:b w:val="0"/>
          <w:sz w:val="20"/>
          <w:lang w:eastAsia="ja-JP"/>
        </w:rPr>
        <w:t xml:space="preserve"> purpose of these reviews will be to assess progress</w:t>
      </w:r>
      <w:r w:rsidR="00B47CFF">
        <w:rPr>
          <w:rFonts w:ascii="Times New Roman" w:eastAsiaTheme="minorEastAsia" w:hAnsi="Times New Roman"/>
          <w:b w:val="0"/>
          <w:sz w:val="20"/>
          <w:lang w:eastAsia="ja-JP"/>
        </w:rPr>
        <w:t>,</w:t>
      </w:r>
      <w:r w:rsidR="00B11E27" w:rsidRPr="005145F0">
        <w:rPr>
          <w:rFonts w:ascii="Times New Roman" w:eastAsiaTheme="minorEastAsia" w:hAnsi="Times New Roman"/>
          <w:b w:val="0"/>
          <w:sz w:val="20"/>
          <w:lang w:eastAsia="ja-JP"/>
        </w:rPr>
        <w:t xml:space="preserve"> </w:t>
      </w:r>
      <w:r w:rsidR="009D2F2D" w:rsidRPr="005145F0">
        <w:rPr>
          <w:rFonts w:ascii="Times New Roman" w:eastAsiaTheme="minorEastAsia" w:hAnsi="Times New Roman"/>
          <w:b w:val="0"/>
          <w:sz w:val="20"/>
          <w:lang w:eastAsia="ja-JP"/>
        </w:rPr>
        <w:t>performance</w:t>
      </w:r>
      <w:r w:rsidR="00B47CFF">
        <w:rPr>
          <w:rFonts w:ascii="Times New Roman" w:eastAsiaTheme="minorEastAsia" w:hAnsi="Times New Roman"/>
          <w:b w:val="0"/>
          <w:sz w:val="20"/>
          <w:lang w:eastAsia="ja-JP"/>
        </w:rPr>
        <w:t xml:space="preserve"> and</w:t>
      </w:r>
      <w:r w:rsidR="00B11E27" w:rsidRPr="005145F0">
        <w:rPr>
          <w:rFonts w:ascii="Times New Roman" w:eastAsiaTheme="minorEastAsia" w:hAnsi="Times New Roman"/>
          <w:b w:val="0"/>
          <w:sz w:val="20"/>
          <w:lang w:eastAsia="ja-JP"/>
        </w:rPr>
        <w:t xml:space="preserve"> risks </w:t>
      </w:r>
      <w:r w:rsidR="009421F1" w:rsidRPr="005145F0">
        <w:rPr>
          <w:rFonts w:ascii="Times New Roman" w:eastAsiaTheme="minorEastAsia" w:hAnsi="Times New Roman"/>
          <w:b w:val="0"/>
          <w:sz w:val="20"/>
          <w:lang w:eastAsia="ja-JP"/>
        </w:rPr>
        <w:t xml:space="preserve">and </w:t>
      </w:r>
      <w:r w:rsidR="00F02387">
        <w:rPr>
          <w:rFonts w:ascii="Times New Roman" w:eastAsiaTheme="minorEastAsia" w:hAnsi="Times New Roman"/>
          <w:b w:val="0"/>
          <w:sz w:val="20"/>
          <w:lang w:eastAsia="ja-JP"/>
        </w:rPr>
        <w:t>i</w:t>
      </w:r>
      <w:r w:rsidR="009421F1" w:rsidRPr="005145F0">
        <w:rPr>
          <w:rFonts w:ascii="Times New Roman" w:eastAsiaTheme="minorEastAsia" w:hAnsi="Times New Roman"/>
          <w:b w:val="0"/>
          <w:sz w:val="20"/>
          <w:lang w:eastAsia="ja-JP"/>
        </w:rPr>
        <w:t>dentify</w:t>
      </w:r>
      <w:r w:rsidRPr="005145F0">
        <w:rPr>
          <w:rFonts w:ascii="Times New Roman" w:eastAsiaTheme="minorEastAsia" w:hAnsi="Times New Roman"/>
          <w:b w:val="0"/>
          <w:sz w:val="20"/>
          <w:lang w:eastAsia="ja-JP"/>
        </w:rPr>
        <w:t xml:space="preserve"> challenges and solutions. UNDP will </w:t>
      </w:r>
      <w:r w:rsidR="00250965" w:rsidRPr="005145F0">
        <w:rPr>
          <w:rFonts w:ascii="Times New Roman" w:eastAsiaTheme="minorEastAsia" w:hAnsi="Times New Roman"/>
          <w:b w:val="0"/>
          <w:sz w:val="20"/>
          <w:lang w:eastAsia="ja-JP"/>
        </w:rPr>
        <w:t>establish</w:t>
      </w:r>
      <w:r w:rsidRPr="005145F0">
        <w:rPr>
          <w:rFonts w:ascii="Times New Roman" w:eastAsiaTheme="minorEastAsia" w:hAnsi="Times New Roman"/>
          <w:b w:val="0"/>
          <w:sz w:val="20"/>
          <w:lang w:eastAsia="ja-JP"/>
        </w:rPr>
        <w:t xml:space="preserve"> partnerships to plan, coordinate and manage </w:t>
      </w:r>
      <w:r w:rsidR="00B47CFF">
        <w:rPr>
          <w:rFonts w:ascii="Times New Roman" w:eastAsiaTheme="minorEastAsia" w:hAnsi="Times New Roman"/>
          <w:b w:val="0"/>
          <w:sz w:val="20"/>
          <w:lang w:eastAsia="ja-JP"/>
        </w:rPr>
        <w:t>monitoring and evaluation</w:t>
      </w:r>
      <w:r w:rsidR="006C1455" w:rsidRPr="005145F0">
        <w:rPr>
          <w:rFonts w:ascii="Times New Roman" w:eastAsiaTheme="minorEastAsia" w:hAnsi="Times New Roman"/>
          <w:b w:val="0"/>
          <w:sz w:val="20"/>
          <w:lang w:eastAsia="ja-JP"/>
        </w:rPr>
        <w:t xml:space="preserve"> activities (</w:t>
      </w:r>
      <w:r w:rsidR="00B11F95">
        <w:rPr>
          <w:rFonts w:ascii="Times New Roman" w:eastAsiaTheme="minorEastAsia" w:hAnsi="Times New Roman"/>
          <w:b w:val="0"/>
          <w:sz w:val="20"/>
          <w:lang w:eastAsia="ja-JP"/>
        </w:rPr>
        <w:t>see p</w:t>
      </w:r>
      <w:r w:rsidR="006C1455" w:rsidRPr="00F02387">
        <w:rPr>
          <w:rFonts w:ascii="Times New Roman" w:eastAsiaTheme="minorEastAsia" w:hAnsi="Times New Roman"/>
          <w:b w:val="0"/>
          <w:sz w:val="20"/>
          <w:lang w:eastAsia="ja-JP"/>
        </w:rPr>
        <w:t>lan in Annex B</w:t>
      </w:r>
      <w:r w:rsidR="006C1455" w:rsidRPr="005145F0">
        <w:rPr>
          <w:rFonts w:ascii="Times New Roman" w:eastAsiaTheme="minorEastAsia" w:hAnsi="Times New Roman"/>
          <w:b w:val="0"/>
          <w:sz w:val="20"/>
          <w:lang w:eastAsia="ja-JP"/>
        </w:rPr>
        <w:t>). Project</w:t>
      </w:r>
      <w:r w:rsidRPr="005145F0">
        <w:rPr>
          <w:rFonts w:ascii="Times New Roman" w:eastAsiaTheme="minorEastAsia" w:hAnsi="Times New Roman"/>
          <w:b w:val="0"/>
          <w:sz w:val="20"/>
          <w:lang w:eastAsia="ja-JP"/>
        </w:rPr>
        <w:t xml:space="preserve"> </w:t>
      </w:r>
      <w:r w:rsidR="00F045A1">
        <w:rPr>
          <w:rFonts w:ascii="Times New Roman" w:eastAsiaTheme="minorEastAsia" w:hAnsi="Times New Roman"/>
          <w:b w:val="0"/>
          <w:sz w:val="20"/>
          <w:lang w:eastAsia="ja-JP"/>
        </w:rPr>
        <w:t>e</w:t>
      </w:r>
      <w:r w:rsidRPr="005145F0">
        <w:rPr>
          <w:rFonts w:ascii="Times New Roman" w:eastAsiaTheme="minorEastAsia" w:hAnsi="Times New Roman"/>
          <w:b w:val="0"/>
          <w:sz w:val="20"/>
          <w:lang w:eastAsia="ja-JP"/>
        </w:rPr>
        <w:t>valuations</w:t>
      </w:r>
      <w:r w:rsidR="00A1703C">
        <w:rPr>
          <w:rFonts w:ascii="Times New Roman" w:eastAsiaTheme="minorEastAsia" w:hAnsi="Times New Roman"/>
          <w:b w:val="0"/>
          <w:sz w:val="20"/>
          <w:lang w:eastAsia="ja-JP"/>
        </w:rPr>
        <w:t xml:space="preserve"> have been </w:t>
      </w:r>
      <w:r w:rsidRPr="005145F0">
        <w:rPr>
          <w:rFonts w:ascii="Times New Roman" w:eastAsiaTheme="minorEastAsia" w:hAnsi="Times New Roman"/>
          <w:b w:val="0"/>
          <w:sz w:val="20"/>
          <w:lang w:eastAsia="ja-JP"/>
        </w:rPr>
        <w:t xml:space="preserve">identified and </w:t>
      </w:r>
      <w:r w:rsidR="00A1703C">
        <w:rPr>
          <w:rFonts w:ascii="Times New Roman" w:eastAsiaTheme="minorEastAsia" w:hAnsi="Times New Roman"/>
          <w:b w:val="0"/>
          <w:sz w:val="20"/>
          <w:lang w:eastAsia="ja-JP"/>
        </w:rPr>
        <w:t xml:space="preserve">will be </w:t>
      </w:r>
      <w:r w:rsidRPr="005145F0">
        <w:rPr>
          <w:rFonts w:ascii="Times New Roman" w:eastAsiaTheme="minorEastAsia" w:hAnsi="Times New Roman"/>
          <w:b w:val="0"/>
          <w:sz w:val="20"/>
          <w:lang w:eastAsia="ja-JP"/>
        </w:rPr>
        <w:t>conducted as planned</w:t>
      </w:r>
      <w:r w:rsidR="00B47CFF">
        <w:rPr>
          <w:rFonts w:ascii="Times New Roman" w:eastAsiaTheme="minorEastAsia" w:hAnsi="Times New Roman"/>
          <w:b w:val="0"/>
          <w:sz w:val="20"/>
          <w:lang w:eastAsia="ja-JP"/>
        </w:rPr>
        <w:t>. All</w:t>
      </w:r>
      <w:r w:rsidRPr="005145F0">
        <w:rPr>
          <w:rFonts w:ascii="Times New Roman" w:eastAsiaTheme="minorEastAsia" w:hAnsi="Times New Roman"/>
          <w:b w:val="0"/>
          <w:sz w:val="20"/>
          <w:lang w:eastAsia="ja-JP"/>
        </w:rPr>
        <w:t xml:space="preserve"> </w:t>
      </w:r>
      <w:r w:rsidR="00BC4B18" w:rsidRPr="005145F0">
        <w:rPr>
          <w:rFonts w:ascii="Times New Roman" w:eastAsiaTheme="minorEastAsia" w:hAnsi="Times New Roman"/>
          <w:b w:val="0"/>
          <w:sz w:val="20"/>
          <w:lang w:eastAsia="ja-JP"/>
        </w:rPr>
        <w:t>p</w:t>
      </w:r>
      <w:r w:rsidRPr="005145F0">
        <w:rPr>
          <w:rFonts w:ascii="Times New Roman" w:eastAsiaTheme="minorEastAsia" w:hAnsi="Times New Roman"/>
          <w:b w:val="0"/>
          <w:sz w:val="20"/>
          <w:lang w:eastAsia="ja-JP"/>
        </w:rPr>
        <w:t xml:space="preserve">rojects </w:t>
      </w:r>
      <w:r w:rsidR="00B47CFF">
        <w:rPr>
          <w:rFonts w:ascii="Times New Roman" w:eastAsiaTheme="minorEastAsia" w:hAnsi="Times New Roman"/>
          <w:b w:val="0"/>
          <w:sz w:val="20"/>
          <w:lang w:eastAsia="ja-JP"/>
        </w:rPr>
        <w:t xml:space="preserve">funded by the Global Environment Facility </w:t>
      </w:r>
      <w:r w:rsidRPr="005145F0">
        <w:rPr>
          <w:rFonts w:ascii="Times New Roman" w:eastAsiaTheme="minorEastAsia" w:hAnsi="Times New Roman"/>
          <w:b w:val="0"/>
          <w:sz w:val="20"/>
          <w:lang w:eastAsia="ja-JP"/>
        </w:rPr>
        <w:t xml:space="preserve">will undergo at least one evaluation as per </w:t>
      </w:r>
      <w:r w:rsidR="00B47CFF">
        <w:rPr>
          <w:rFonts w:ascii="Times New Roman" w:eastAsiaTheme="minorEastAsia" w:hAnsi="Times New Roman"/>
          <w:b w:val="0"/>
          <w:sz w:val="20"/>
          <w:lang w:eastAsia="ja-JP"/>
        </w:rPr>
        <w:t>its</w:t>
      </w:r>
      <w:r w:rsidRPr="005145F0">
        <w:rPr>
          <w:rFonts w:ascii="Times New Roman" w:eastAsiaTheme="minorEastAsia" w:hAnsi="Times New Roman"/>
          <w:b w:val="0"/>
          <w:sz w:val="20"/>
          <w:lang w:eastAsia="ja-JP"/>
        </w:rPr>
        <w:t xml:space="preserve"> evaluation guidelines. </w:t>
      </w:r>
      <w:r w:rsidR="006C1455" w:rsidRPr="005145F0">
        <w:rPr>
          <w:rFonts w:ascii="Times New Roman" w:eastAsiaTheme="minorEastAsia" w:hAnsi="Times New Roman"/>
          <w:b w:val="0"/>
          <w:sz w:val="20"/>
          <w:lang w:eastAsia="ja-JP"/>
        </w:rPr>
        <w:t>The</w:t>
      </w:r>
      <w:r w:rsidR="00B47CFF">
        <w:rPr>
          <w:rFonts w:ascii="Times New Roman" w:eastAsiaTheme="minorEastAsia" w:hAnsi="Times New Roman"/>
          <w:b w:val="0"/>
          <w:sz w:val="20"/>
          <w:lang w:eastAsia="ja-JP"/>
        </w:rPr>
        <w:t xml:space="preserve"> country office has</w:t>
      </w:r>
      <w:r w:rsidR="006C1455" w:rsidRPr="005145F0">
        <w:rPr>
          <w:rFonts w:ascii="Times New Roman" w:eastAsiaTheme="minorEastAsia" w:hAnsi="Times New Roman"/>
          <w:b w:val="0"/>
          <w:sz w:val="20"/>
          <w:lang w:eastAsia="ja-JP"/>
        </w:rPr>
        <w:t xml:space="preserve"> no </w:t>
      </w:r>
      <w:r w:rsidR="00AB7A06" w:rsidRPr="005145F0">
        <w:rPr>
          <w:rFonts w:ascii="Times New Roman" w:eastAsiaTheme="minorEastAsia" w:hAnsi="Times New Roman"/>
          <w:b w:val="0"/>
          <w:sz w:val="20"/>
          <w:lang w:eastAsia="ja-JP"/>
        </w:rPr>
        <w:t>full</w:t>
      </w:r>
      <w:r w:rsidR="00B47CFF">
        <w:rPr>
          <w:rFonts w:ascii="Times New Roman" w:eastAsiaTheme="minorEastAsia" w:hAnsi="Times New Roman"/>
          <w:b w:val="0"/>
          <w:sz w:val="20"/>
          <w:lang w:eastAsia="ja-JP"/>
        </w:rPr>
        <w:t>-</w:t>
      </w:r>
      <w:r w:rsidR="00AB7A06" w:rsidRPr="005145F0">
        <w:rPr>
          <w:rFonts w:ascii="Times New Roman" w:eastAsiaTheme="minorEastAsia" w:hAnsi="Times New Roman"/>
          <w:b w:val="0"/>
          <w:sz w:val="20"/>
          <w:lang w:eastAsia="ja-JP"/>
        </w:rPr>
        <w:t xml:space="preserve">time monitoring and evaluation specialist but </w:t>
      </w:r>
      <w:r w:rsidR="00B548DD" w:rsidRPr="005145F0">
        <w:rPr>
          <w:rFonts w:ascii="Times New Roman" w:hAnsi="Times New Roman"/>
          <w:b w:val="0"/>
          <w:sz w:val="20"/>
        </w:rPr>
        <w:t>is considering setting up a monitoring and evaluation unit to improve accountability</w:t>
      </w:r>
      <w:r w:rsidR="00B11E27" w:rsidRPr="005145F0">
        <w:rPr>
          <w:rFonts w:ascii="Times New Roman" w:hAnsi="Times New Roman"/>
          <w:b w:val="0"/>
          <w:sz w:val="20"/>
        </w:rPr>
        <w:t>.</w:t>
      </w:r>
      <w:r w:rsidR="00A53006" w:rsidRPr="005145F0">
        <w:rPr>
          <w:rFonts w:ascii="Times New Roman" w:hAnsi="Times New Roman"/>
          <w:b w:val="0"/>
          <w:sz w:val="20"/>
        </w:rPr>
        <w:t xml:space="preserve"> UNDP gender marker</w:t>
      </w:r>
      <w:r w:rsidR="006C1455" w:rsidRPr="005145F0">
        <w:rPr>
          <w:rFonts w:ascii="Times New Roman" w:hAnsi="Times New Roman"/>
          <w:b w:val="0"/>
          <w:sz w:val="20"/>
        </w:rPr>
        <w:t>s</w:t>
      </w:r>
      <w:r w:rsidR="00A53006" w:rsidRPr="005145F0">
        <w:rPr>
          <w:rFonts w:ascii="Times New Roman" w:hAnsi="Times New Roman"/>
          <w:b w:val="0"/>
          <w:sz w:val="20"/>
        </w:rPr>
        <w:t xml:space="preserve"> will be used to monitor </w:t>
      </w:r>
      <w:r w:rsidR="00B47CFF">
        <w:rPr>
          <w:rFonts w:ascii="Times New Roman" w:hAnsi="Times New Roman"/>
          <w:b w:val="0"/>
          <w:sz w:val="20"/>
        </w:rPr>
        <w:t>country programme gender-related</w:t>
      </w:r>
      <w:r w:rsidR="00B47CFF" w:rsidRPr="005145F0">
        <w:rPr>
          <w:rFonts w:ascii="Times New Roman" w:hAnsi="Times New Roman"/>
          <w:b w:val="0"/>
          <w:sz w:val="20"/>
        </w:rPr>
        <w:t xml:space="preserve"> </w:t>
      </w:r>
      <w:r w:rsidR="00A53006" w:rsidRPr="005145F0">
        <w:rPr>
          <w:rFonts w:ascii="Times New Roman" w:hAnsi="Times New Roman"/>
          <w:b w:val="0"/>
          <w:sz w:val="20"/>
        </w:rPr>
        <w:t>expenditures an</w:t>
      </w:r>
      <w:r w:rsidR="001E3ABD" w:rsidRPr="005145F0">
        <w:rPr>
          <w:rFonts w:ascii="Times New Roman" w:hAnsi="Times New Roman"/>
          <w:b w:val="0"/>
          <w:sz w:val="20"/>
        </w:rPr>
        <w:t>d improve planning and decision-</w:t>
      </w:r>
      <w:r w:rsidR="00A53006" w:rsidRPr="005145F0">
        <w:rPr>
          <w:rFonts w:ascii="Times New Roman" w:hAnsi="Times New Roman"/>
          <w:b w:val="0"/>
          <w:sz w:val="20"/>
        </w:rPr>
        <w:t xml:space="preserve">making. </w:t>
      </w:r>
      <w:r w:rsidR="001E3ABD" w:rsidRPr="005145F0">
        <w:rPr>
          <w:rFonts w:ascii="Times New Roman" w:hAnsi="Times New Roman"/>
          <w:b w:val="0"/>
          <w:sz w:val="20"/>
        </w:rPr>
        <w:t>The cost</w:t>
      </w:r>
      <w:r w:rsidR="00B548DD" w:rsidRPr="005145F0">
        <w:rPr>
          <w:rFonts w:ascii="Times New Roman" w:hAnsi="Times New Roman"/>
          <w:b w:val="0"/>
          <w:sz w:val="20"/>
        </w:rPr>
        <w:t xml:space="preserve"> of monitoring and evaluation mechanisms </w:t>
      </w:r>
      <w:r w:rsidR="006C1455" w:rsidRPr="005145F0">
        <w:rPr>
          <w:rFonts w:ascii="Times New Roman" w:hAnsi="Times New Roman"/>
          <w:b w:val="0"/>
          <w:sz w:val="20"/>
        </w:rPr>
        <w:t>is</w:t>
      </w:r>
      <w:r w:rsidR="00B548DD" w:rsidRPr="005145F0">
        <w:rPr>
          <w:rFonts w:ascii="Times New Roman" w:hAnsi="Times New Roman"/>
          <w:b w:val="0"/>
          <w:sz w:val="20"/>
        </w:rPr>
        <w:t xml:space="preserve"> estimated at 5 </w:t>
      </w:r>
      <w:r w:rsidR="00BF1EB3">
        <w:rPr>
          <w:rFonts w:ascii="Times New Roman" w:hAnsi="Times New Roman"/>
          <w:b w:val="0"/>
          <w:sz w:val="20"/>
        </w:rPr>
        <w:t>per cent</w:t>
      </w:r>
      <w:r w:rsidR="00B548DD" w:rsidRPr="005145F0">
        <w:rPr>
          <w:rFonts w:ascii="Times New Roman" w:hAnsi="Times New Roman"/>
          <w:b w:val="0"/>
          <w:sz w:val="20"/>
        </w:rPr>
        <w:t xml:space="preserve"> of the programme budget.</w:t>
      </w:r>
    </w:p>
    <w:p w14:paraId="0CCE70C6" w14:textId="77777777" w:rsidR="00322FDC" w:rsidRPr="00A16798" w:rsidRDefault="00322FDC" w:rsidP="00A419B7">
      <w:pPr>
        <w:tabs>
          <w:tab w:val="left" w:pos="900"/>
          <w:tab w:val="left" w:pos="1080"/>
        </w:tabs>
        <w:rPr>
          <w:sz w:val="12"/>
          <w:szCs w:val="12"/>
        </w:rPr>
      </w:pPr>
    </w:p>
    <w:p w14:paraId="66C918D8" w14:textId="109A39E6" w:rsidR="00B548DD" w:rsidRPr="005145F0" w:rsidRDefault="00267E67" w:rsidP="00A419B7">
      <w:pPr>
        <w:pStyle w:val="Heading1"/>
        <w:numPr>
          <w:ilvl w:val="0"/>
          <w:numId w:val="15"/>
        </w:numPr>
        <w:tabs>
          <w:tab w:val="left" w:pos="900"/>
          <w:tab w:val="left" w:pos="1080"/>
          <w:tab w:val="left" w:pos="1620"/>
          <w:tab w:val="left" w:pos="1710"/>
          <w:tab w:val="left" w:pos="1800"/>
          <w:tab w:val="left" w:pos="8640"/>
        </w:tabs>
        <w:autoSpaceDE w:val="0"/>
        <w:autoSpaceDN w:val="0"/>
        <w:adjustRightInd w:val="0"/>
        <w:ind w:left="737" w:right="1644" w:hanging="17"/>
        <w:contextualSpacing/>
        <w:jc w:val="both"/>
        <w:rPr>
          <w:rFonts w:ascii="Times New Roman" w:hAnsi="Times New Roman"/>
          <w:b w:val="0"/>
          <w:sz w:val="20"/>
        </w:rPr>
      </w:pPr>
      <w:r w:rsidRPr="005145F0">
        <w:rPr>
          <w:rFonts w:ascii="Times New Roman" w:hAnsi="Times New Roman"/>
          <w:b w:val="0"/>
          <w:sz w:val="20"/>
        </w:rPr>
        <w:t xml:space="preserve">UNDP and </w:t>
      </w:r>
      <w:r w:rsidR="00B47CFF">
        <w:rPr>
          <w:rFonts w:ascii="Times New Roman" w:hAnsi="Times New Roman"/>
          <w:b w:val="0"/>
          <w:sz w:val="20"/>
        </w:rPr>
        <w:t>other</w:t>
      </w:r>
      <w:r w:rsidR="00B47CFF" w:rsidRPr="005145F0">
        <w:rPr>
          <w:rFonts w:ascii="Times New Roman" w:hAnsi="Times New Roman"/>
          <w:b w:val="0"/>
          <w:sz w:val="20"/>
        </w:rPr>
        <w:t xml:space="preserve"> </w:t>
      </w:r>
      <w:r w:rsidR="00B47CFF">
        <w:rPr>
          <w:rFonts w:ascii="Times New Roman" w:hAnsi="Times New Roman"/>
          <w:b w:val="0"/>
          <w:sz w:val="20"/>
        </w:rPr>
        <w:t>United Nations partners</w:t>
      </w:r>
      <w:r w:rsidRPr="005145F0">
        <w:rPr>
          <w:rFonts w:ascii="Times New Roman" w:hAnsi="Times New Roman"/>
          <w:b w:val="0"/>
          <w:sz w:val="20"/>
        </w:rPr>
        <w:t xml:space="preserve"> will support </w:t>
      </w:r>
      <w:r w:rsidRPr="005145F0">
        <w:rPr>
          <w:rFonts w:ascii="Times New Roman" w:hAnsi="Times New Roman"/>
          <w:b w:val="0"/>
          <w:bCs/>
          <w:sz w:val="20"/>
        </w:rPr>
        <w:t>public and private institutions to ensure</w:t>
      </w:r>
      <w:r w:rsidR="00B47CFF">
        <w:rPr>
          <w:rFonts w:ascii="Times New Roman" w:hAnsi="Times New Roman"/>
          <w:b w:val="0"/>
          <w:bCs/>
          <w:sz w:val="20"/>
        </w:rPr>
        <w:t xml:space="preserve"> the</w:t>
      </w:r>
      <w:r w:rsidRPr="005145F0">
        <w:rPr>
          <w:rFonts w:ascii="Times New Roman" w:hAnsi="Times New Roman"/>
          <w:b w:val="0"/>
          <w:bCs/>
          <w:sz w:val="20"/>
        </w:rPr>
        <w:t xml:space="preserve"> </w:t>
      </w:r>
      <w:r w:rsidR="00A372B6" w:rsidRPr="005145F0">
        <w:rPr>
          <w:rFonts w:ascii="Times New Roman" w:hAnsi="Times New Roman"/>
          <w:b w:val="0"/>
          <w:bCs/>
          <w:sz w:val="20"/>
        </w:rPr>
        <w:t>SDG</w:t>
      </w:r>
      <w:r w:rsidR="00BC4B18" w:rsidRPr="005145F0">
        <w:rPr>
          <w:rFonts w:ascii="Times New Roman" w:hAnsi="Times New Roman"/>
          <w:b w:val="0"/>
          <w:bCs/>
          <w:sz w:val="20"/>
        </w:rPr>
        <w:t>s</w:t>
      </w:r>
      <w:r w:rsidR="00A372B6" w:rsidRPr="005145F0">
        <w:rPr>
          <w:rFonts w:ascii="Times New Roman" w:hAnsi="Times New Roman"/>
          <w:b w:val="0"/>
          <w:bCs/>
          <w:sz w:val="20"/>
        </w:rPr>
        <w:t xml:space="preserve"> are effectively</w:t>
      </w:r>
      <w:r w:rsidRPr="005145F0">
        <w:rPr>
          <w:rFonts w:ascii="Times New Roman" w:hAnsi="Times New Roman"/>
          <w:b w:val="0"/>
          <w:bCs/>
          <w:sz w:val="20"/>
        </w:rPr>
        <w:t xml:space="preserve"> </w:t>
      </w:r>
      <w:r w:rsidR="00913E55" w:rsidRPr="005145F0">
        <w:rPr>
          <w:rFonts w:ascii="Times New Roman" w:hAnsi="Times New Roman"/>
          <w:b w:val="0"/>
          <w:bCs/>
          <w:sz w:val="20"/>
        </w:rPr>
        <w:t>mainstreamed into</w:t>
      </w:r>
      <w:r w:rsidRPr="005145F0">
        <w:rPr>
          <w:rFonts w:ascii="Times New Roman" w:hAnsi="Times New Roman"/>
          <w:b w:val="0"/>
          <w:bCs/>
          <w:sz w:val="20"/>
        </w:rPr>
        <w:t xml:space="preserve"> national plans, policies and strategies. This process will enhance resource mobilization, </w:t>
      </w:r>
      <w:r w:rsidR="00EB452D" w:rsidRPr="005145F0">
        <w:rPr>
          <w:rFonts w:ascii="Times New Roman" w:hAnsi="Times New Roman"/>
          <w:b w:val="0"/>
          <w:bCs/>
          <w:sz w:val="20"/>
        </w:rPr>
        <w:t>aid</w:t>
      </w:r>
      <w:r w:rsidRPr="005145F0">
        <w:rPr>
          <w:rFonts w:ascii="Times New Roman" w:hAnsi="Times New Roman"/>
          <w:b w:val="0"/>
          <w:bCs/>
          <w:sz w:val="20"/>
        </w:rPr>
        <w:t xml:space="preserve"> </w:t>
      </w:r>
      <w:r w:rsidR="00EB452D" w:rsidRPr="005145F0">
        <w:rPr>
          <w:rFonts w:ascii="Times New Roman" w:hAnsi="Times New Roman"/>
          <w:b w:val="0"/>
          <w:bCs/>
          <w:sz w:val="20"/>
        </w:rPr>
        <w:t>coordination</w:t>
      </w:r>
      <w:r w:rsidR="00FF7005">
        <w:rPr>
          <w:rFonts w:ascii="Times New Roman" w:hAnsi="Times New Roman"/>
          <w:b w:val="0"/>
          <w:bCs/>
          <w:sz w:val="20"/>
        </w:rPr>
        <w:t>,</w:t>
      </w:r>
      <w:r w:rsidRPr="005145F0">
        <w:rPr>
          <w:rFonts w:ascii="Times New Roman" w:hAnsi="Times New Roman"/>
          <w:b w:val="0"/>
          <w:bCs/>
          <w:sz w:val="20"/>
        </w:rPr>
        <w:t xml:space="preserve"> management of diverse </w:t>
      </w:r>
      <w:r w:rsidR="00A372B6" w:rsidRPr="005145F0">
        <w:rPr>
          <w:rFonts w:ascii="Times New Roman" w:hAnsi="Times New Roman"/>
          <w:b w:val="0"/>
          <w:bCs/>
          <w:sz w:val="20"/>
        </w:rPr>
        <w:t xml:space="preserve">external </w:t>
      </w:r>
      <w:r w:rsidRPr="005145F0">
        <w:rPr>
          <w:rFonts w:ascii="Times New Roman" w:hAnsi="Times New Roman"/>
          <w:b w:val="0"/>
          <w:bCs/>
          <w:sz w:val="20"/>
        </w:rPr>
        <w:t>fundi</w:t>
      </w:r>
      <w:r w:rsidR="00EB452D" w:rsidRPr="005145F0">
        <w:rPr>
          <w:rFonts w:ascii="Times New Roman" w:hAnsi="Times New Roman"/>
          <w:b w:val="0"/>
          <w:bCs/>
          <w:sz w:val="20"/>
        </w:rPr>
        <w:t>ng streams</w:t>
      </w:r>
      <w:r w:rsidR="00A372B6" w:rsidRPr="005145F0">
        <w:rPr>
          <w:rFonts w:ascii="Times New Roman" w:hAnsi="Times New Roman"/>
          <w:b w:val="0"/>
          <w:bCs/>
          <w:sz w:val="20"/>
        </w:rPr>
        <w:t>,</w:t>
      </w:r>
      <w:r w:rsidR="00EB452D" w:rsidRPr="005145F0">
        <w:rPr>
          <w:rFonts w:ascii="Times New Roman" w:hAnsi="Times New Roman"/>
          <w:b w:val="0"/>
          <w:bCs/>
          <w:sz w:val="20"/>
        </w:rPr>
        <w:t xml:space="preserve"> </w:t>
      </w:r>
      <w:r w:rsidR="00035E7F" w:rsidRPr="005145F0">
        <w:rPr>
          <w:rFonts w:ascii="Times New Roman" w:hAnsi="Times New Roman"/>
          <w:b w:val="0"/>
          <w:bCs/>
          <w:sz w:val="20"/>
        </w:rPr>
        <w:t>and implementation</w:t>
      </w:r>
      <w:r w:rsidRPr="005145F0">
        <w:rPr>
          <w:rFonts w:ascii="Times New Roman" w:hAnsi="Times New Roman"/>
          <w:b w:val="0"/>
          <w:bCs/>
          <w:sz w:val="20"/>
        </w:rPr>
        <w:t xml:space="preserve"> </w:t>
      </w:r>
      <w:r w:rsidR="00FF7005">
        <w:rPr>
          <w:rFonts w:ascii="Times New Roman" w:hAnsi="Times New Roman"/>
          <w:b w:val="0"/>
          <w:bCs/>
          <w:sz w:val="20"/>
        </w:rPr>
        <w:t>of the Transformation Agenda</w:t>
      </w:r>
      <w:r w:rsidR="00FE16F1">
        <w:rPr>
          <w:rFonts w:ascii="Times New Roman" w:hAnsi="Times New Roman"/>
          <w:b w:val="0"/>
          <w:bCs/>
          <w:sz w:val="20"/>
        </w:rPr>
        <w:t>, leading to</w:t>
      </w:r>
      <w:r w:rsidR="00EB452D" w:rsidRPr="005145F0">
        <w:rPr>
          <w:rFonts w:ascii="Times New Roman" w:hAnsi="Times New Roman"/>
          <w:b w:val="0"/>
          <w:bCs/>
          <w:sz w:val="20"/>
        </w:rPr>
        <w:t xml:space="preserve"> </w:t>
      </w:r>
      <w:r w:rsidR="00A372B6" w:rsidRPr="005145F0">
        <w:rPr>
          <w:rFonts w:ascii="Times New Roman" w:hAnsi="Times New Roman"/>
          <w:b w:val="0"/>
          <w:bCs/>
          <w:sz w:val="20"/>
        </w:rPr>
        <w:t xml:space="preserve">successful attainment of </w:t>
      </w:r>
      <w:r w:rsidR="00B47CFF">
        <w:rPr>
          <w:rFonts w:ascii="Times New Roman" w:hAnsi="Times New Roman"/>
          <w:b w:val="0"/>
          <w:bCs/>
          <w:sz w:val="20"/>
        </w:rPr>
        <w:t xml:space="preserve">the </w:t>
      </w:r>
      <w:r w:rsidR="00A372B6" w:rsidRPr="005145F0">
        <w:rPr>
          <w:rFonts w:ascii="Times New Roman" w:hAnsi="Times New Roman"/>
          <w:b w:val="0"/>
          <w:bCs/>
          <w:sz w:val="20"/>
        </w:rPr>
        <w:t>SDGs</w:t>
      </w:r>
      <w:r w:rsidRPr="005145F0">
        <w:rPr>
          <w:rFonts w:ascii="Times New Roman" w:hAnsi="Times New Roman"/>
          <w:b w:val="0"/>
          <w:bCs/>
          <w:sz w:val="20"/>
        </w:rPr>
        <w:t>.</w:t>
      </w:r>
    </w:p>
    <w:p w14:paraId="4BCB0A28" w14:textId="77777777" w:rsidR="0057274A" w:rsidRPr="005145F0" w:rsidRDefault="0057274A" w:rsidP="00F67B82">
      <w:pPr>
        <w:ind w:left="737" w:right="1644"/>
        <w:rPr>
          <w:sz w:val="22"/>
          <w:szCs w:val="22"/>
        </w:rPr>
      </w:pPr>
    </w:p>
    <w:p w14:paraId="47518BC1" w14:textId="77777777" w:rsidR="0057274A" w:rsidRPr="005145F0" w:rsidRDefault="0057274A" w:rsidP="00F67B82">
      <w:pPr>
        <w:ind w:left="737" w:right="1644"/>
        <w:rPr>
          <w:sz w:val="22"/>
          <w:szCs w:val="22"/>
        </w:rPr>
        <w:sectPr w:rsidR="0057274A" w:rsidRPr="005145F0" w:rsidSect="00A419B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notePr>
            <w:numRestart w:val="eachSect"/>
          </w:footnotePr>
          <w:endnotePr>
            <w:numFmt w:val="decimal"/>
            <w:numStart w:val="7"/>
          </w:endnotePr>
          <w:pgSz w:w="12240" w:h="15840" w:code="1"/>
          <w:pgMar w:top="1166" w:right="1195" w:bottom="1260" w:left="1195" w:header="737" w:footer="737" w:gutter="0"/>
          <w:pgNumType w:start="1"/>
          <w:cols w:space="720"/>
          <w:titlePg/>
          <w:docGrid w:linePitch="272"/>
        </w:sectPr>
      </w:pPr>
    </w:p>
    <w:p w14:paraId="1E6B422F" w14:textId="77777777" w:rsidR="00CE2949" w:rsidRPr="00322FDC" w:rsidRDefault="00322FDC" w:rsidP="00322FDC">
      <w:pPr>
        <w:spacing w:after="120"/>
        <w:rPr>
          <w:b/>
        </w:rPr>
      </w:pPr>
      <w:r w:rsidRPr="00322FDC">
        <w:rPr>
          <w:b/>
          <w:bCs/>
          <w:sz w:val="24"/>
          <w:szCs w:val="24"/>
          <w:lang w:val="en-GB"/>
        </w:rPr>
        <w:lastRenderedPageBreak/>
        <w:t>Annex</w:t>
      </w:r>
      <w:r>
        <w:rPr>
          <w:b/>
          <w:bCs/>
          <w:sz w:val="24"/>
          <w:szCs w:val="24"/>
          <w:lang w:val="en-GB"/>
        </w:rPr>
        <w:t xml:space="preserve">. </w:t>
      </w:r>
      <w:r w:rsidRPr="00322FDC">
        <w:rPr>
          <w:b/>
          <w:bCs/>
          <w:sz w:val="24"/>
          <w:szCs w:val="24"/>
          <w:lang w:val="en-GB"/>
        </w:rPr>
        <w:t>Results and resources framework for São Tomé and Príncipe</w:t>
      </w:r>
      <w:r>
        <w:rPr>
          <w:b/>
          <w:bCs/>
          <w:sz w:val="24"/>
          <w:szCs w:val="24"/>
          <w:lang w:val="en-GB"/>
        </w:rPr>
        <w:t xml:space="preserve"> </w:t>
      </w:r>
      <w:r w:rsidRPr="00322FDC">
        <w:rPr>
          <w:b/>
          <w:bCs/>
          <w:sz w:val="24"/>
          <w:szCs w:val="24"/>
          <w:lang w:val="en-GB"/>
        </w:rPr>
        <w:t xml:space="preserve">(2017-2021) </w:t>
      </w:r>
    </w:p>
    <w:tbl>
      <w:tblPr>
        <w:tblW w:w="56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1794"/>
        <w:gridCol w:w="2789"/>
        <w:gridCol w:w="6662"/>
        <w:gridCol w:w="2336"/>
        <w:gridCol w:w="1727"/>
      </w:tblGrid>
      <w:tr w:rsidR="00B548DD" w:rsidRPr="00A16798" w14:paraId="2FD48680" w14:textId="77777777" w:rsidTr="00322FDC">
        <w:trPr>
          <w:jc w:val="center"/>
        </w:trPr>
        <w:tc>
          <w:tcPr>
            <w:tcW w:w="5000" w:type="pct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D6BB1A" w14:textId="77777777" w:rsidR="00B548DD" w:rsidRPr="00A16798" w:rsidRDefault="00B548DD" w:rsidP="00FD6992">
            <w:pPr>
              <w:rPr>
                <w:color w:val="000000"/>
                <w:sz w:val="17"/>
                <w:szCs w:val="17"/>
              </w:rPr>
            </w:pPr>
            <w:r w:rsidRPr="00A16798">
              <w:rPr>
                <w:b/>
                <w:bCs/>
                <w:color w:val="000000"/>
                <w:sz w:val="17"/>
                <w:szCs w:val="17"/>
              </w:rPr>
              <w:t>NATIONAL PRIORITY OR GOAL: Strengthen social cohesion and the internal and external credibility of the country</w:t>
            </w:r>
            <w:r w:rsidR="003737E0">
              <w:rPr>
                <w:b/>
                <w:bCs/>
                <w:color w:val="000000"/>
                <w:sz w:val="17"/>
                <w:szCs w:val="17"/>
              </w:rPr>
              <w:t>.</w:t>
            </w:r>
          </w:p>
        </w:tc>
      </w:tr>
      <w:tr w:rsidR="00B548DD" w:rsidRPr="00A16798" w14:paraId="21E6A540" w14:textId="77777777" w:rsidTr="00322FDC">
        <w:trPr>
          <w:jc w:val="center"/>
        </w:trPr>
        <w:tc>
          <w:tcPr>
            <w:tcW w:w="5000" w:type="pct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389CDE" w14:textId="77777777" w:rsidR="00B548DD" w:rsidRPr="00A16798" w:rsidRDefault="00B548DD" w:rsidP="00D97453">
            <w:pPr>
              <w:autoSpaceDE w:val="0"/>
              <w:autoSpaceDN w:val="0"/>
              <w:adjustRightInd w:val="0"/>
              <w:rPr>
                <w:b/>
                <w:bCs/>
                <w:sz w:val="17"/>
                <w:szCs w:val="17"/>
                <w:lang w:eastAsia="fr-FR"/>
              </w:rPr>
            </w:pPr>
            <w:r w:rsidRPr="00A16798">
              <w:rPr>
                <w:b/>
                <w:bCs/>
                <w:color w:val="000000"/>
                <w:sz w:val="17"/>
                <w:szCs w:val="17"/>
              </w:rPr>
              <w:t>UNDAF OUTCOME INVOLVING UNDP</w:t>
            </w:r>
            <w:r w:rsidRPr="00A16798">
              <w:rPr>
                <w:rStyle w:val="hps"/>
                <w:b/>
                <w:sz w:val="17"/>
                <w:szCs w:val="17"/>
              </w:rPr>
              <w:t xml:space="preserve">: Disparities and inequalities are reduced at all levels through the effective participation of vulnerable and key groups, and the development and use by these groups of </w:t>
            </w:r>
            <w:r w:rsidR="00E178B9">
              <w:rPr>
                <w:rStyle w:val="hps"/>
                <w:b/>
                <w:sz w:val="17"/>
                <w:szCs w:val="17"/>
              </w:rPr>
              <w:t xml:space="preserve">social </w:t>
            </w:r>
            <w:r w:rsidRPr="00A16798">
              <w:rPr>
                <w:rStyle w:val="hps"/>
                <w:b/>
                <w:sz w:val="17"/>
                <w:szCs w:val="17"/>
              </w:rPr>
              <w:t>protection and basic social services.</w:t>
            </w:r>
          </w:p>
        </w:tc>
      </w:tr>
      <w:tr w:rsidR="00512B8F" w:rsidRPr="00A16798" w14:paraId="45173E5C" w14:textId="77777777" w:rsidTr="00322FDC">
        <w:trPr>
          <w:jc w:val="center"/>
        </w:trPr>
        <w:tc>
          <w:tcPr>
            <w:tcW w:w="5000" w:type="pct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5E4F5C" w14:textId="77777777" w:rsidR="00512B8F" w:rsidRPr="00A16798" w:rsidRDefault="00512B8F" w:rsidP="00512B8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7"/>
                <w:szCs w:val="17"/>
              </w:rPr>
            </w:pPr>
            <w:r w:rsidRPr="00A16798">
              <w:rPr>
                <w:b/>
                <w:bCs/>
                <w:color w:val="000000"/>
                <w:sz w:val="17"/>
                <w:szCs w:val="17"/>
              </w:rPr>
              <w:t xml:space="preserve">RELATED STRATEGIC PLAN OUTCOME 3: </w:t>
            </w:r>
            <w:r w:rsidRPr="00A16798">
              <w:rPr>
                <w:b/>
                <w:sz w:val="17"/>
                <w:szCs w:val="17"/>
              </w:rPr>
              <w:t>Countries have strengthened institutions to progressively deliver universal access to basic services</w:t>
            </w:r>
            <w:r w:rsidR="003737E0">
              <w:rPr>
                <w:b/>
                <w:sz w:val="17"/>
                <w:szCs w:val="17"/>
              </w:rPr>
              <w:t>.</w:t>
            </w:r>
          </w:p>
        </w:tc>
      </w:tr>
      <w:tr w:rsidR="00512B8F" w:rsidRPr="00A16798" w14:paraId="0C70736F" w14:textId="77777777" w:rsidTr="00322FDC">
        <w:trPr>
          <w:jc w:val="center"/>
        </w:trPr>
        <w:tc>
          <w:tcPr>
            <w:tcW w:w="58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7C02345" w14:textId="77777777" w:rsidR="00512B8F" w:rsidRPr="00A16798" w:rsidRDefault="00512B8F" w:rsidP="00512B8F">
            <w:pPr>
              <w:jc w:val="center"/>
              <w:rPr>
                <w:color w:val="000000"/>
                <w:sz w:val="17"/>
                <w:szCs w:val="17"/>
              </w:rPr>
            </w:pPr>
            <w:r w:rsidRPr="00A16798">
              <w:rPr>
                <w:b/>
                <w:bCs/>
                <w:color w:val="000000"/>
                <w:sz w:val="17"/>
                <w:szCs w:val="17"/>
              </w:rPr>
              <w:t>UNDAF OUTCOME INDICATOR(S), BASELINES, TARGET(S)</w:t>
            </w:r>
          </w:p>
        </w:tc>
        <w:tc>
          <w:tcPr>
            <w:tcW w:w="911" w:type="pct"/>
            <w:shd w:val="clear" w:color="auto" w:fill="auto"/>
            <w:vAlign w:val="center"/>
          </w:tcPr>
          <w:p w14:paraId="1115CB5C" w14:textId="77777777" w:rsidR="00512B8F" w:rsidRPr="00A16798" w:rsidRDefault="00512B8F" w:rsidP="00512B8F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A16798">
              <w:rPr>
                <w:b/>
                <w:color w:val="000000"/>
                <w:sz w:val="17"/>
                <w:szCs w:val="17"/>
              </w:rPr>
              <w:t>DATA SOURCE AND FREQUENCY OF DATA COLLECTION, AND RESPONSIBILITIES</w:t>
            </w:r>
          </w:p>
        </w:tc>
        <w:tc>
          <w:tcPr>
            <w:tcW w:w="2176" w:type="pct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27523B" w14:textId="77777777" w:rsidR="00512B8F" w:rsidRPr="00A16798" w:rsidRDefault="00512B8F" w:rsidP="00512B8F">
            <w:pPr>
              <w:jc w:val="center"/>
              <w:rPr>
                <w:color w:val="000000"/>
                <w:sz w:val="17"/>
                <w:szCs w:val="17"/>
              </w:rPr>
            </w:pPr>
            <w:r w:rsidRPr="00A16798">
              <w:rPr>
                <w:b/>
                <w:bCs/>
                <w:color w:val="000000"/>
                <w:sz w:val="17"/>
                <w:szCs w:val="17"/>
              </w:rPr>
              <w:t>INDICATIVE COUNTRY PROGRAMME OUTPUTS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A51B0" w14:textId="77777777" w:rsidR="00512B8F" w:rsidRPr="00A16798" w:rsidRDefault="00512B8F" w:rsidP="00512B8F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A16798">
              <w:rPr>
                <w:b/>
                <w:bCs/>
                <w:color w:val="000000"/>
                <w:sz w:val="17"/>
                <w:szCs w:val="17"/>
              </w:rPr>
              <w:t>MAJOR PARTNERS / PARTNERSHIPS</w:t>
            </w:r>
          </w:p>
          <w:p w14:paraId="646CA5E0" w14:textId="77777777" w:rsidR="00512B8F" w:rsidRPr="00A16798" w:rsidRDefault="00512B8F" w:rsidP="00512B8F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A16798">
              <w:rPr>
                <w:b/>
                <w:bCs/>
                <w:color w:val="000000"/>
                <w:sz w:val="17"/>
                <w:szCs w:val="17"/>
              </w:rPr>
              <w:t>FRAMEWORKS</w:t>
            </w:r>
          </w:p>
        </w:tc>
        <w:tc>
          <w:tcPr>
            <w:tcW w:w="56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7247385" w14:textId="77777777" w:rsidR="00512B8F" w:rsidRPr="00A16798" w:rsidRDefault="00512B8F" w:rsidP="00512B8F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A16798">
              <w:rPr>
                <w:b/>
                <w:bCs/>
                <w:color w:val="000000"/>
                <w:sz w:val="17"/>
                <w:szCs w:val="17"/>
              </w:rPr>
              <w:t>INDICATIVE RESOURCES BY OUTCOME (US$)</w:t>
            </w:r>
          </w:p>
        </w:tc>
      </w:tr>
      <w:tr w:rsidR="00B548DD" w:rsidRPr="00A16798" w14:paraId="4A7FD0BC" w14:textId="77777777" w:rsidTr="00322FDC">
        <w:trPr>
          <w:jc w:val="center"/>
        </w:trPr>
        <w:tc>
          <w:tcPr>
            <w:tcW w:w="586" w:type="pct"/>
            <w:tcBorders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09330E" w14:textId="77777777" w:rsidR="00B548DD" w:rsidRPr="00A16798" w:rsidRDefault="00B548DD" w:rsidP="00FD6992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  <w:lang w:val="en-US"/>
              </w:rPr>
            </w:pPr>
            <w:r w:rsidRPr="009B2E26">
              <w:rPr>
                <w:rFonts w:ascii="Times New Roman" w:hAnsi="Times New Roman" w:cs="Times New Roman"/>
                <w:b/>
                <w:i/>
                <w:color w:val="auto"/>
                <w:sz w:val="17"/>
                <w:szCs w:val="17"/>
                <w:lang w:val="en-US"/>
              </w:rPr>
              <w:t>Indicator</w:t>
            </w:r>
            <w:r w:rsidR="00C61478" w:rsidRPr="009B2E26">
              <w:rPr>
                <w:rFonts w:ascii="Times New Roman" w:hAnsi="Times New Roman" w:cs="Times New Roman"/>
                <w:b/>
                <w:i/>
                <w:color w:val="auto"/>
                <w:sz w:val="17"/>
                <w:szCs w:val="17"/>
                <w:lang w:val="en-US"/>
              </w:rPr>
              <w:t xml:space="preserve"> </w:t>
            </w:r>
            <w:r w:rsidRPr="009B2E26">
              <w:rPr>
                <w:rFonts w:ascii="Times New Roman" w:hAnsi="Times New Roman" w:cs="Times New Roman"/>
                <w:b/>
                <w:i/>
                <w:color w:val="auto"/>
                <w:sz w:val="17"/>
                <w:szCs w:val="17"/>
                <w:lang w:val="en-US"/>
              </w:rPr>
              <w:t>1</w:t>
            </w:r>
            <w:r w:rsidRPr="009B2E26">
              <w:rPr>
                <w:rFonts w:ascii="Times New Roman" w:hAnsi="Times New Roman" w:cs="Times New Roman"/>
                <w:i/>
                <w:color w:val="auto"/>
                <w:sz w:val="17"/>
                <w:szCs w:val="17"/>
                <w:lang w:val="en-US"/>
              </w:rPr>
              <w:t>:</w:t>
            </w:r>
            <w:r w:rsidRPr="00A16798">
              <w:rPr>
                <w:rFonts w:ascii="Times New Roman" w:hAnsi="Times New Roman" w:cs="Times New Roman"/>
                <w:color w:val="auto"/>
                <w:sz w:val="17"/>
                <w:szCs w:val="17"/>
                <w:lang w:val="en-US"/>
              </w:rPr>
              <w:t xml:space="preserve"> Gini </w:t>
            </w:r>
            <w:r w:rsidR="00D42BEA">
              <w:rPr>
                <w:rFonts w:ascii="Times New Roman" w:hAnsi="Times New Roman" w:cs="Times New Roman"/>
                <w:color w:val="auto"/>
                <w:sz w:val="17"/>
                <w:szCs w:val="17"/>
                <w:lang w:val="en-US"/>
              </w:rPr>
              <w:t>i</w:t>
            </w:r>
            <w:r w:rsidRPr="00A16798">
              <w:rPr>
                <w:rFonts w:ascii="Times New Roman" w:hAnsi="Times New Roman" w:cs="Times New Roman"/>
                <w:color w:val="auto"/>
                <w:sz w:val="17"/>
                <w:szCs w:val="17"/>
                <w:lang w:val="en-US"/>
              </w:rPr>
              <w:t>ndex</w:t>
            </w:r>
          </w:p>
          <w:p w14:paraId="68F86FBC" w14:textId="77777777" w:rsidR="00B548DD" w:rsidRPr="00A16798" w:rsidRDefault="00B548DD" w:rsidP="00FD6992">
            <w:pPr>
              <w:pStyle w:val="Default"/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  <w:lang w:val="en-US"/>
              </w:rPr>
            </w:pPr>
            <w:r w:rsidRPr="00A16798">
              <w:rPr>
                <w:rFonts w:ascii="Times New Roman" w:hAnsi="Times New Roman" w:cs="Times New Roman"/>
                <w:color w:val="auto"/>
                <w:sz w:val="17"/>
                <w:szCs w:val="17"/>
                <w:lang w:val="en-US"/>
              </w:rPr>
              <w:t xml:space="preserve">Baseline </w:t>
            </w:r>
            <w:r w:rsidR="007A1298">
              <w:rPr>
                <w:rFonts w:ascii="Times New Roman" w:hAnsi="Times New Roman" w:cs="Times New Roman"/>
                <w:color w:val="auto"/>
                <w:sz w:val="17"/>
                <w:szCs w:val="17"/>
                <w:lang w:val="en-US"/>
              </w:rPr>
              <w:t>(2015)</w:t>
            </w:r>
            <w:r w:rsidRPr="00A16798">
              <w:rPr>
                <w:rFonts w:ascii="Times New Roman" w:hAnsi="Times New Roman" w:cs="Times New Roman"/>
                <w:color w:val="auto"/>
                <w:sz w:val="17"/>
                <w:szCs w:val="17"/>
                <w:lang w:val="en-US"/>
              </w:rPr>
              <w:t>:</w:t>
            </w:r>
            <w:r w:rsidR="007547EF" w:rsidRPr="00A16798">
              <w:rPr>
                <w:rFonts w:ascii="Times New Roman" w:hAnsi="Times New Roman" w:cs="Times New Roman"/>
                <w:color w:val="auto"/>
                <w:sz w:val="17"/>
                <w:szCs w:val="17"/>
                <w:lang w:val="en-US"/>
              </w:rPr>
              <w:t xml:space="preserve"> 0.33 (</w:t>
            </w:r>
            <w:r w:rsidRPr="00A16798">
              <w:rPr>
                <w:rFonts w:ascii="Times New Roman" w:hAnsi="Times New Roman" w:cs="Times New Roman"/>
                <w:color w:val="auto"/>
                <w:sz w:val="17"/>
                <w:szCs w:val="17"/>
                <w:lang w:val="en-US"/>
              </w:rPr>
              <w:t>33%</w:t>
            </w:r>
            <w:r w:rsidR="009421F1" w:rsidRPr="00A16798">
              <w:rPr>
                <w:rFonts w:ascii="Times New Roman" w:hAnsi="Times New Roman" w:cs="Times New Roman"/>
                <w:color w:val="auto"/>
                <w:sz w:val="17"/>
                <w:szCs w:val="17"/>
                <w:lang w:val="en-US"/>
              </w:rPr>
              <w:t>)</w:t>
            </w:r>
            <w:r w:rsidRPr="00A16798">
              <w:rPr>
                <w:rFonts w:ascii="Times New Roman" w:hAnsi="Times New Roman" w:cs="Times New Roman"/>
                <w:color w:val="auto"/>
                <w:sz w:val="17"/>
                <w:szCs w:val="17"/>
                <w:lang w:val="en-US"/>
              </w:rPr>
              <w:t xml:space="preserve"> </w:t>
            </w:r>
          </w:p>
          <w:p w14:paraId="1DE35C5C" w14:textId="77777777" w:rsidR="00B548DD" w:rsidRPr="00A16798" w:rsidRDefault="00B548DD" w:rsidP="00FD6992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  <w:lang w:val="en-US"/>
              </w:rPr>
            </w:pPr>
            <w:r w:rsidRPr="00A16798">
              <w:rPr>
                <w:rFonts w:ascii="Times New Roman" w:hAnsi="Times New Roman" w:cs="Times New Roman"/>
                <w:color w:val="auto"/>
                <w:sz w:val="17"/>
                <w:szCs w:val="17"/>
                <w:lang w:val="en-US"/>
              </w:rPr>
              <w:t>Target</w:t>
            </w:r>
            <w:r w:rsidR="007A1298">
              <w:rPr>
                <w:rFonts w:ascii="Times New Roman" w:hAnsi="Times New Roman" w:cs="Times New Roman"/>
                <w:color w:val="auto"/>
                <w:sz w:val="17"/>
                <w:szCs w:val="17"/>
                <w:lang w:val="en-US"/>
              </w:rPr>
              <w:t xml:space="preserve"> (2021)</w:t>
            </w:r>
            <w:r w:rsidRPr="00A16798">
              <w:rPr>
                <w:rFonts w:ascii="Times New Roman" w:hAnsi="Times New Roman" w:cs="Times New Roman"/>
                <w:color w:val="auto"/>
                <w:sz w:val="17"/>
                <w:szCs w:val="17"/>
                <w:lang w:val="en-US"/>
              </w:rPr>
              <w:t xml:space="preserve">: </w:t>
            </w:r>
            <w:r w:rsidR="009421F1" w:rsidRPr="00A16798">
              <w:rPr>
                <w:rFonts w:ascii="Times New Roman" w:hAnsi="Times New Roman" w:cs="Times New Roman"/>
                <w:color w:val="auto"/>
                <w:sz w:val="17"/>
                <w:szCs w:val="17"/>
                <w:lang w:val="en-US"/>
              </w:rPr>
              <w:t>0.25 (</w:t>
            </w:r>
            <w:r w:rsidRPr="00A16798">
              <w:rPr>
                <w:rFonts w:ascii="Times New Roman" w:hAnsi="Times New Roman" w:cs="Times New Roman"/>
                <w:color w:val="auto"/>
                <w:sz w:val="17"/>
                <w:szCs w:val="17"/>
                <w:lang w:val="en-US"/>
              </w:rPr>
              <w:t>25%</w:t>
            </w:r>
            <w:r w:rsidR="009421F1" w:rsidRPr="00A16798">
              <w:rPr>
                <w:rFonts w:ascii="Times New Roman" w:hAnsi="Times New Roman" w:cs="Times New Roman"/>
                <w:color w:val="auto"/>
                <w:sz w:val="17"/>
                <w:szCs w:val="17"/>
                <w:lang w:val="en-US"/>
              </w:rPr>
              <w:t>)</w:t>
            </w:r>
          </w:p>
          <w:p w14:paraId="365AFFD4" w14:textId="77777777" w:rsidR="00B548DD" w:rsidRPr="00A16798" w:rsidRDefault="00B548DD" w:rsidP="00FD6992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  <w:lang w:val="en-US"/>
              </w:rPr>
            </w:pPr>
          </w:p>
          <w:p w14:paraId="5C1529A7" w14:textId="77777777" w:rsidR="00B548DD" w:rsidRPr="00A16798" w:rsidRDefault="00B548DD" w:rsidP="00FD6992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  <w:u w:val="single"/>
                <w:lang w:val="en-US"/>
              </w:rPr>
            </w:pPr>
          </w:p>
          <w:p w14:paraId="32EBCA01" w14:textId="77777777" w:rsidR="00B548DD" w:rsidRPr="00A16798" w:rsidRDefault="00B548DD" w:rsidP="00FD6992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  <w:u w:val="single"/>
                <w:lang w:val="en-US"/>
              </w:rPr>
            </w:pPr>
          </w:p>
          <w:p w14:paraId="1AB15624" w14:textId="77777777" w:rsidR="00B548DD" w:rsidRPr="00A16798" w:rsidRDefault="00B548DD" w:rsidP="00FD6992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  <w:u w:val="single"/>
                <w:lang w:val="en-US"/>
              </w:rPr>
            </w:pPr>
            <w:r w:rsidRPr="009B2E26">
              <w:rPr>
                <w:rFonts w:ascii="Times New Roman" w:hAnsi="Times New Roman" w:cs="Times New Roman"/>
                <w:b/>
                <w:i/>
                <w:color w:val="auto"/>
                <w:sz w:val="17"/>
                <w:szCs w:val="17"/>
                <w:lang w:val="en-US"/>
              </w:rPr>
              <w:t>Indicator 2:</w:t>
            </w:r>
            <w:r w:rsidRPr="00A16798">
              <w:rPr>
                <w:rFonts w:ascii="Times New Roman" w:hAnsi="Times New Roman" w:cs="Times New Roman"/>
                <w:color w:val="auto"/>
                <w:sz w:val="17"/>
                <w:szCs w:val="17"/>
                <w:lang w:val="en-US"/>
              </w:rPr>
              <w:t xml:space="preserve"> Poverty incidence</w:t>
            </w:r>
          </w:p>
          <w:p w14:paraId="20426B63" w14:textId="77777777" w:rsidR="00B548DD" w:rsidRPr="00A16798" w:rsidRDefault="00B548DD" w:rsidP="00FD6992">
            <w:pPr>
              <w:pStyle w:val="Default"/>
              <w:ind w:left="360"/>
              <w:rPr>
                <w:rFonts w:ascii="Times New Roman" w:hAnsi="Times New Roman" w:cs="Times New Roman"/>
                <w:color w:val="auto"/>
                <w:sz w:val="17"/>
                <w:szCs w:val="17"/>
                <w:lang w:val="en-US"/>
              </w:rPr>
            </w:pPr>
          </w:p>
          <w:p w14:paraId="2F1E734E" w14:textId="77777777" w:rsidR="00B548DD" w:rsidRPr="00A16798" w:rsidRDefault="00B548DD" w:rsidP="00FD6992">
            <w:pPr>
              <w:pStyle w:val="Default"/>
              <w:rPr>
                <w:rFonts w:ascii="Times New Roman" w:hAnsi="Times New Roman" w:cs="Times New Roman"/>
                <w:color w:val="365F91" w:themeColor="accent1" w:themeShade="BF"/>
                <w:sz w:val="17"/>
                <w:szCs w:val="17"/>
                <w:lang w:val="en-US"/>
              </w:rPr>
            </w:pPr>
            <w:r w:rsidRPr="00A16798">
              <w:rPr>
                <w:rFonts w:ascii="Times New Roman" w:hAnsi="Times New Roman" w:cs="Times New Roman"/>
                <w:color w:val="auto"/>
                <w:sz w:val="17"/>
                <w:szCs w:val="17"/>
                <w:lang w:val="en-US"/>
              </w:rPr>
              <w:t xml:space="preserve">Baseline </w:t>
            </w:r>
            <w:r w:rsidR="007A1298">
              <w:rPr>
                <w:rFonts w:ascii="Times New Roman" w:hAnsi="Times New Roman" w:cs="Times New Roman"/>
                <w:color w:val="auto"/>
                <w:sz w:val="17"/>
                <w:szCs w:val="17"/>
                <w:lang w:val="en-US"/>
              </w:rPr>
              <w:t>(2015)</w:t>
            </w:r>
            <w:r w:rsidRPr="00A16798">
              <w:rPr>
                <w:rFonts w:ascii="Times New Roman" w:hAnsi="Times New Roman" w:cs="Times New Roman"/>
                <w:color w:val="auto"/>
                <w:sz w:val="17"/>
                <w:szCs w:val="17"/>
                <w:lang w:val="en-US"/>
              </w:rPr>
              <w:t xml:space="preserve">: 66.2% </w:t>
            </w:r>
          </w:p>
          <w:p w14:paraId="3E3A55F9" w14:textId="77777777" w:rsidR="00B548DD" w:rsidRPr="00A16798" w:rsidRDefault="00B548DD" w:rsidP="00FD6992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  <w:lang w:val="en-US"/>
              </w:rPr>
            </w:pPr>
            <w:r w:rsidRPr="00A16798">
              <w:rPr>
                <w:rFonts w:ascii="Times New Roman" w:hAnsi="Times New Roman" w:cs="Times New Roman"/>
                <w:color w:val="auto"/>
                <w:sz w:val="17"/>
                <w:szCs w:val="17"/>
                <w:lang w:val="en-US"/>
              </w:rPr>
              <w:t>Target</w:t>
            </w:r>
            <w:r w:rsidR="007A1298">
              <w:rPr>
                <w:rFonts w:ascii="Times New Roman" w:hAnsi="Times New Roman" w:cs="Times New Roman"/>
                <w:color w:val="auto"/>
                <w:sz w:val="17"/>
                <w:szCs w:val="17"/>
                <w:lang w:val="en-US"/>
              </w:rPr>
              <w:t xml:space="preserve"> (2021)</w:t>
            </w:r>
            <w:r w:rsidRPr="00A16798">
              <w:rPr>
                <w:rFonts w:ascii="Times New Roman" w:hAnsi="Times New Roman" w:cs="Times New Roman"/>
                <w:color w:val="auto"/>
                <w:sz w:val="17"/>
                <w:szCs w:val="17"/>
                <w:lang w:val="en-US"/>
              </w:rPr>
              <w:t xml:space="preserve">: 30% </w:t>
            </w:r>
          </w:p>
          <w:p w14:paraId="5F00F4BE" w14:textId="77777777" w:rsidR="00B548DD" w:rsidRPr="00A16798" w:rsidRDefault="00B548DD" w:rsidP="00FD6992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  <w:lang w:val="en-US"/>
              </w:rPr>
            </w:pPr>
          </w:p>
          <w:p w14:paraId="42B9FB35" w14:textId="77777777" w:rsidR="00B548DD" w:rsidRPr="00A16798" w:rsidRDefault="00B548DD" w:rsidP="00FD6992">
            <w:pPr>
              <w:pStyle w:val="Default"/>
              <w:rPr>
                <w:rFonts w:ascii="Times New Roman" w:hAnsi="Times New Roman" w:cs="Times New Roman"/>
                <w:iCs/>
                <w:sz w:val="17"/>
                <w:szCs w:val="17"/>
                <w:lang w:val="en-US"/>
              </w:rPr>
            </w:pPr>
          </w:p>
          <w:p w14:paraId="73E70674" w14:textId="77777777" w:rsidR="00B548DD" w:rsidRPr="00A16798" w:rsidRDefault="00B548DD" w:rsidP="00FD6992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B2E26">
              <w:rPr>
                <w:b/>
                <w:i/>
                <w:sz w:val="17"/>
                <w:szCs w:val="17"/>
              </w:rPr>
              <w:t>Indicator 3</w:t>
            </w:r>
            <w:r w:rsidRPr="007A1298">
              <w:rPr>
                <w:sz w:val="17"/>
                <w:szCs w:val="17"/>
              </w:rPr>
              <w:t xml:space="preserve">: </w:t>
            </w:r>
            <w:r w:rsidR="00B45338" w:rsidRPr="00A16798">
              <w:rPr>
                <w:sz w:val="17"/>
                <w:szCs w:val="17"/>
              </w:rPr>
              <w:t>M</w:t>
            </w:r>
            <w:r w:rsidR="002C4C14" w:rsidRPr="00A16798">
              <w:rPr>
                <w:sz w:val="17"/>
                <w:szCs w:val="17"/>
              </w:rPr>
              <w:t>aternal</w:t>
            </w:r>
            <w:r w:rsidR="009153EE" w:rsidRPr="00A16798">
              <w:rPr>
                <w:sz w:val="17"/>
                <w:szCs w:val="17"/>
              </w:rPr>
              <w:t xml:space="preserve"> </w:t>
            </w:r>
            <w:r w:rsidR="00B726B7" w:rsidRPr="00A16798">
              <w:rPr>
                <w:sz w:val="17"/>
                <w:szCs w:val="17"/>
              </w:rPr>
              <w:t>m</w:t>
            </w:r>
            <w:r w:rsidRPr="00A16798">
              <w:rPr>
                <w:sz w:val="17"/>
                <w:szCs w:val="17"/>
              </w:rPr>
              <w:t>ortality rate</w:t>
            </w:r>
          </w:p>
          <w:p w14:paraId="00EF870E" w14:textId="77777777" w:rsidR="00B548DD" w:rsidRPr="00A16798" w:rsidRDefault="00B548DD" w:rsidP="00FD6992">
            <w:pPr>
              <w:autoSpaceDE w:val="0"/>
              <w:autoSpaceDN w:val="0"/>
              <w:adjustRightInd w:val="0"/>
              <w:rPr>
                <w:iCs/>
                <w:sz w:val="17"/>
                <w:szCs w:val="17"/>
              </w:rPr>
            </w:pPr>
            <w:r w:rsidRPr="00A16798">
              <w:rPr>
                <w:sz w:val="17"/>
                <w:szCs w:val="17"/>
              </w:rPr>
              <w:t xml:space="preserve">Baseline </w:t>
            </w:r>
            <w:r w:rsidR="007A1298">
              <w:rPr>
                <w:sz w:val="17"/>
                <w:szCs w:val="17"/>
              </w:rPr>
              <w:t>(2015)</w:t>
            </w:r>
            <w:r w:rsidRPr="00A16798">
              <w:rPr>
                <w:sz w:val="17"/>
                <w:szCs w:val="17"/>
              </w:rPr>
              <w:t xml:space="preserve">: </w:t>
            </w:r>
            <w:r w:rsidR="009153EE" w:rsidRPr="00A16798">
              <w:rPr>
                <w:sz w:val="17"/>
                <w:szCs w:val="17"/>
              </w:rPr>
              <w:t>76</w:t>
            </w:r>
            <w:r w:rsidRPr="00A16798">
              <w:rPr>
                <w:iCs/>
                <w:sz w:val="17"/>
                <w:szCs w:val="17"/>
              </w:rPr>
              <w:t xml:space="preserve"> </w:t>
            </w:r>
            <w:r w:rsidR="007547EF" w:rsidRPr="00A16798">
              <w:rPr>
                <w:iCs/>
                <w:sz w:val="17"/>
                <w:szCs w:val="17"/>
              </w:rPr>
              <w:t>per</w:t>
            </w:r>
            <w:r w:rsidRPr="00A16798">
              <w:rPr>
                <w:iCs/>
                <w:sz w:val="17"/>
                <w:szCs w:val="17"/>
              </w:rPr>
              <w:t xml:space="preserve"> 1</w:t>
            </w:r>
            <w:r w:rsidR="009153EE" w:rsidRPr="00A16798">
              <w:rPr>
                <w:iCs/>
                <w:sz w:val="17"/>
                <w:szCs w:val="17"/>
              </w:rPr>
              <w:t>00</w:t>
            </w:r>
            <w:r w:rsidRPr="00A16798">
              <w:rPr>
                <w:iCs/>
                <w:sz w:val="17"/>
                <w:szCs w:val="17"/>
              </w:rPr>
              <w:t>,000 births</w:t>
            </w:r>
          </w:p>
          <w:p w14:paraId="001CE1C2" w14:textId="77777777" w:rsidR="00B548DD" w:rsidRPr="00A16798" w:rsidRDefault="00B548DD" w:rsidP="007A1298">
            <w:pPr>
              <w:pStyle w:val="Default"/>
              <w:rPr>
                <w:rFonts w:ascii="Times New Roman" w:hAnsi="Times New Roman" w:cs="Times New Roman"/>
                <w:i/>
                <w:iCs/>
                <w:sz w:val="17"/>
                <w:szCs w:val="17"/>
                <w:lang w:val="en-US"/>
              </w:rPr>
            </w:pPr>
            <w:r w:rsidRPr="00A16798">
              <w:rPr>
                <w:rFonts w:ascii="Times New Roman" w:hAnsi="Times New Roman" w:cs="Times New Roman"/>
                <w:iCs/>
                <w:sz w:val="17"/>
                <w:szCs w:val="17"/>
                <w:lang w:val="en-US"/>
              </w:rPr>
              <w:t>Target</w:t>
            </w:r>
            <w:r w:rsidR="007A1298">
              <w:rPr>
                <w:rFonts w:ascii="Times New Roman" w:hAnsi="Times New Roman" w:cs="Times New Roman"/>
                <w:iCs/>
                <w:sz w:val="17"/>
                <w:szCs w:val="17"/>
                <w:lang w:val="en-US"/>
              </w:rPr>
              <w:t xml:space="preserve"> (2021)</w:t>
            </w:r>
            <w:r w:rsidRPr="00A16798">
              <w:rPr>
                <w:rFonts w:ascii="Times New Roman" w:hAnsi="Times New Roman" w:cs="Times New Roman"/>
                <w:iCs/>
                <w:sz w:val="17"/>
                <w:szCs w:val="17"/>
                <w:lang w:val="en-US"/>
              </w:rPr>
              <w:t xml:space="preserve">: </w:t>
            </w:r>
            <w:r w:rsidR="007A41FB" w:rsidRPr="00A16798">
              <w:rPr>
                <w:rFonts w:ascii="Times New Roman" w:hAnsi="Times New Roman" w:cs="Times New Roman"/>
                <w:iCs/>
                <w:sz w:val="17"/>
                <w:szCs w:val="17"/>
                <w:lang w:val="en-US"/>
              </w:rPr>
              <w:t>25</w:t>
            </w:r>
            <w:r w:rsidRPr="00A16798">
              <w:rPr>
                <w:rFonts w:ascii="Times New Roman" w:hAnsi="Times New Roman" w:cs="Times New Roman"/>
                <w:iCs/>
                <w:sz w:val="17"/>
                <w:szCs w:val="17"/>
                <w:lang w:val="en-US"/>
              </w:rPr>
              <w:t xml:space="preserve"> </w:t>
            </w:r>
            <w:r w:rsidR="007547EF" w:rsidRPr="00A16798">
              <w:rPr>
                <w:rFonts w:ascii="Times New Roman" w:hAnsi="Times New Roman" w:cs="Times New Roman"/>
                <w:iCs/>
                <w:sz w:val="17"/>
                <w:szCs w:val="17"/>
                <w:lang w:val="en-US"/>
              </w:rPr>
              <w:t>per</w:t>
            </w:r>
            <w:r w:rsidRPr="00A16798">
              <w:rPr>
                <w:rFonts w:ascii="Times New Roman" w:hAnsi="Times New Roman" w:cs="Times New Roman"/>
                <w:iCs/>
                <w:sz w:val="17"/>
                <w:szCs w:val="17"/>
                <w:lang w:val="en-US"/>
              </w:rPr>
              <w:t xml:space="preserve"> 1</w:t>
            </w:r>
            <w:r w:rsidR="007A41FB" w:rsidRPr="00A16798">
              <w:rPr>
                <w:rFonts w:ascii="Times New Roman" w:hAnsi="Times New Roman" w:cs="Times New Roman"/>
                <w:iCs/>
                <w:sz w:val="17"/>
                <w:szCs w:val="17"/>
                <w:lang w:val="en-US"/>
              </w:rPr>
              <w:t>00</w:t>
            </w:r>
            <w:r w:rsidRPr="00A16798">
              <w:rPr>
                <w:rFonts w:ascii="Times New Roman" w:hAnsi="Times New Roman" w:cs="Times New Roman"/>
                <w:iCs/>
                <w:sz w:val="17"/>
                <w:szCs w:val="17"/>
                <w:lang w:val="en-US"/>
              </w:rPr>
              <w:t>,000 birth</w:t>
            </w:r>
            <w:r w:rsidR="00E178B9">
              <w:rPr>
                <w:rFonts w:ascii="Times New Roman" w:hAnsi="Times New Roman" w:cs="Times New Roman"/>
                <w:iCs/>
                <w:sz w:val="17"/>
                <w:szCs w:val="17"/>
                <w:lang w:val="en-US"/>
              </w:rPr>
              <w:t>s</w:t>
            </w:r>
          </w:p>
        </w:tc>
        <w:tc>
          <w:tcPr>
            <w:tcW w:w="911" w:type="pct"/>
            <w:tcBorders>
              <w:bottom w:val="single" w:sz="4" w:space="0" w:color="auto"/>
              <w:right w:val="single" w:sz="4" w:space="0" w:color="auto"/>
            </w:tcBorders>
          </w:tcPr>
          <w:p w14:paraId="6F0D6F65" w14:textId="77777777" w:rsidR="00B548DD" w:rsidRPr="00A16798" w:rsidRDefault="00B548DD" w:rsidP="00C67F29">
            <w:pPr>
              <w:spacing w:after="120"/>
              <w:rPr>
                <w:iCs/>
                <w:sz w:val="17"/>
                <w:szCs w:val="17"/>
              </w:rPr>
            </w:pPr>
            <w:r w:rsidRPr="00A16798">
              <w:rPr>
                <w:iCs/>
                <w:sz w:val="17"/>
                <w:szCs w:val="17"/>
              </w:rPr>
              <w:t xml:space="preserve">Poverty </w:t>
            </w:r>
            <w:r w:rsidR="00D42BEA">
              <w:rPr>
                <w:iCs/>
                <w:sz w:val="17"/>
                <w:szCs w:val="17"/>
              </w:rPr>
              <w:t>p</w:t>
            </w:r>
            <w:r w:rsidRPr="00A16798">
              <w:rPr>
                <w:iCs/>
                <w:sz w:val="17"/>
                <w:szCs w:val="17"/>
              </w:rPr>
              <w:t>rofile (INE)</w:t>
            </w:r>
          </w:p>
          <w:p w14:paraId="71776990" w14:textId="77777777" w:rsidR="009153EE" w:rsidRPr="00A16798" w:rsidRDefault="002C4C14" w:rsidP="00C67F29">
            <w:pPr>
              <w:spacing w:after="120"/>
              <w:rPr>
                <w:iCs/>
                <w:sz w:val="17"/>
                <w:szCs w:val="17"/>
              </w:rPr>
            </w:pPr>
            <w:r w:rsidRPr="00A16798">
              <w:rPr>
                <w:iCs/>
                <w:sz w:val="17"/>
                <w:szCs w:val="17"/>
              </w:rPr>
              <w:t>Report of the Min</w:t>
            </w:r>
            <w:r w:rsidR="009153EE" w:rsidRPr="00A16798">
              <w:rPr>
                <w:iCs/>
                <w:sz w:val="17"/>
                <w:szCs w:val="17"/>
              </w:rPr>
              <w:t>i</w:t>
            </w:r>
            <w:r w:rsidRPr="00A16798">
              <w:rPr>
                <w:iCs/>
                <w:sz w:val="17"/>
                <w:szCs w:val="17"/>
              </w:rPr>
              <w:t>s</w:t>
            </w:r>
            <w:r w:rsidR="009153EE" w:rsidRPr="00A16798">
              <w:rPr>
                <w:iCs/>
                <w:sz w:val="17"/>
                <w:szCs w:val="17"/>
              </w:rPr>
              <w:t>try of Economy</w:t>
            </w:r>
          </w:p>
          <w:p w14:paraId="0D19B506" w14:textId="77777777" w:rsidR="00D97453" w:rsidRPr="00A16798" w:rsidRDefault="00D97453" w:rsidP="00C67F29">
            <w:pPr>
              <w:spacing w:after="120"/>
              <w:rPr>
                <w:iCs/>
                <w:sz w:val="17"/>
                <w:szCs w:val="17"/>
              </w:rPr>
            </w:pPr>
            <w:r w:rsidRPr="00A16798">
              <w:rPr>
                <w:iCs/>
                <w:sz w:val="17"/>
                <w:szCs w:val="17"/>
              </w:rPr>
              <w:t>Frequency: 5 years</w:t>
            </w:r>
          </w:p>
          <w:p w14:paraId="2E425676" w14:textId="77777777" w:rsidR="009153EE" w:rsidRPr="00A16798" w:rsidRDefault="009153EE" w:rsidP="00FD6992">
            <w:pPr>
              <w:spacing w:after="120"/>
              <w:ind w:left="253"/>
              <w:rPr>
                <w:iCs/>
                <w:sz w:val="17"/>
                <w:szCs w:val="17"/>
              </w:rPr>
            </w:pPr>
          </w:p>
          <w:p w14:paraId="41FBB7F2" w14:textId="77777777" w:rsidR="009153EE" w:rsidRPr="00A16798" w:rsidRDefault="009153EE" w:rsidP="00FD6992">
            <w:pPr>
              <w:spacing w:after="120"/>
              <w:ind w:left="253"/>
              <w:rPr>
                <w:iCs/>
                <w:sz w:val="17"/>
                <w:szCs w:val="17"/>
              </w:rPr>
            </w:pPr>
          </w:p>
          <w:p w14:paraId="70CC98E6" w14:textId="77777777" w:rsidR="009153EE" w:rsidRPr="00A16798" w:rsidRDefault="009153EE" w:rsidP="00C67F29">
            <w:pPr>
              <w:spacing w:after="120"/>
              <w:rPr>
                <w:iCs/>
                <w:sz w:val="17"/>
                <w:szCs w:val="17"/>
              </w:rPr>
            </w:pPr>
            <w:r w:rsidRPr="00A16798">
              <w:rPr>
                <w:iCs/>
                <w:sz w:val="17"/>
                <w:szCs w:val="17"/>
              </w:rPr>
              <w:t xml:space="preserve">Poverty </w:t>
            </w:r>
            <w:r w:rsidR="00D42BEA">
              <w:rPr>
                <w:iCs/>
                <w:sz w:val="17"/>
                <w:szCs w:val="17"/>
              </w:rPr>
              <w:t>p</w:t>
            </w:r>
            <w:r w:rsidRPr="00A16798">
              <w:rPr>
                <w:iCs/>
                <w:sz w:val="17"/>
                <w:szCs w:val="17"/>
              </w:rPr>
              <w:t>rofile (INE)</w:t>
            </w:r>
          </w:p>
          <w:p w14:paraId="7412B586" w14:textId="77777777" w:rsidR="009153EE" w:rsidRPr="00A16798" w:rsidRDefault="009153EE" w:rsidP="00C67F29">
            <w:pPr>
              <w:spacing w:after="120"/>
              <w:rPr>
                <w:iCs/>
                <w:sz w:val="17"/>
                <w:szCs w:val="17"/>
              </w:rPr>
            </w:pPr>
            <w:r w:rsidRPr="00A16798">
              <w:rPr>
                <w:iCs/>
                <w:sz w:val="17"/>
                <w:szCs w:val="17"/>
              </w:rPr>
              <w:t xml:space="preserve">Report of the </w:t>
            </w:r>
            <w:r w:rsidR="002C4C14" w:rsidRPr="00A16798">
              <w:rPr>
                <w:iCs/>
                <w:sz w:val="17"/>
                <w:szCs w:val="17"/>
              </w:rPr>
              <w:t>Ministry</w:t>
            </w:r>
            <w:r w:rsidRPr="00A16798">
              <w:rPr>
                <w:iCs/>
                <w:sz w:val="17"/>
                <w:szCs w:val="17"/>
              </w:rPr>
              <w:t xml:space="preserve"> of Economy</w:t>
            </w:r>
          </w:p>
          <w:p w14:paraId="0CCACD32" w14:textId="77777777" w:rsidR="009153EE" w:rsidRPr="00A16798" w:rsidRDefault="009153EE" w:rsidP="00C67F29">
            <w:pPr>
              <w:spacing w:after="120"/>
              <w:rPr>
                <w:iCs/>
                <w:sz w:val="17"/>
                <w:szCs w:val="17"/>
              </w:rPr>
            </w:pPr>
            <w:r w:rsidRPr="00A16798">
              <w:rPr>
                <w:iCs/>
                <w:sz w:val="17"/>
                <w:szCs w:val="17"/>
              </w:rPr>
              <w:t>Frequency: 5 years</w:t>
            </w:r>
          </w:p>
          <w:p w14:paraId="5B2E9FD9" w14:textId="77777777" w:rsidR="009153EE" w:rsidRPr="00A16798" w:rsidRDefault="009153EE" w:rsidP="00FD6992">
            <w:pPr>
              <w:spacing w:after="120"/>
              <w:ind w:left="253"/>
              <w:rPr>
                <w:iCs/>
                <w:sz w:val="17"/>
                <w:szCs w:val="17"/>
              </w:rPr>
            </w:pPr>
          </w:p>
          <w:p w14:paraId="26B739E0" w14:textId="77777777" w:rsidR="009153EE" w:rsidRPr="00A16798" w:rsidRDefault="009153EE" w:rsidP="00FD6992">
            <w:pPr>
              <w:spacing w:after="120"/>
              <w:ind w:left="253"/>
              <w:rPr>
                <w:iCs/>
                <w:sz w:val="17"/>
                <w:szCs w:val="17"/>
              </w:rPr>
            </w:pPr>
          </w:p>
          <w:p w14:paraId="5E340B62" w14:textId="77777777" w:rsidR="00B548DD" w:rsidRPr="00A16798" w:rsidRDefault="00B45338" w:rsidP="00C67F29">
            <w:pPr>
              <w:spacing w:after="120"/>
              <w:rPr>
                <w:iCs/>
                <w:sz w:val="17"/>
                <w:szCs w:val="17"/>
              </w:rPr>
            </w:pPr>
            <w:r w:rsidRPr="00A16798">
              <w:rPr>
                <w:iCs/>
                <w:sz w:val="17"/>
                <w:szCs w:val="17"/>
              </w:rPr>
              <w:t xml:space="preserve">WHO </w:t>
            </w:r>
            <w:r w:rsidR="00D42BEA">
              <w:rPr>
                <w:iCs/>
                <w:sz w:val="17"/>
                <w:szCs w:val="17"/>
              </w:rPr>
              <w:t>r</w:t>
            </w:r>
            <w:r w:rsidRPr="00A16798">
              <w:rPr>
                <w:iCs/>
                <w:sz w:val="17"/>
                <w:szCs w:val="17"/>
              </w:rPr>
              <w:t>eports</w:t>
            </w:r>
          </w:p>
          <w:p w14:paraId="0DA5939C" w14:textId="77777777" w:rsidR="00D97453" w:rsidRPr="00A16798" w:rsidRDefault="00D97453" w:rsidP="00C67F29">
            <w:pPr>
              <w:spacing w:after="120"/>
              <w:rPr>
                <w:iCs/>
                <w:sz w:val="17"/>
                <w:szCs w:val="17"/>
              </w:rPr>
            </w:pPr>
            <w:r w:rsidRPr="00A16798">
              <w:rPr>
                <w:iCs/>
                <w:sz w:val="17"/>
                <w:szCs w:val="17"/>
              </w:rPr>
              <w:t>Frequency: Annual</w:t>
            </w:r>
          </w:p>
          <w:p w14:paraId="241C7575" w14:textId="77777777" w:rsidR="00B548DD" w:rsidRPr="00A16798" w:rsidRDefault="00B548DD" w:rsidP="00C67F29">
            <w:pPr>
              <w:spacing w:after="120"/>
              <w:rPr>
                <w:iCs/>
                <w:sz w:val="17"/>
                <w:szCs w:val="17"/>
              </w:rPr>
            </w:pPr>
            <w:r w:rsidRPr="00A16798">
              <w:rPr>
                <w:iCs/>
                <w:sz w:val="17"/>
                <w:szCs w:val="17"/>
              </w:rPr>
              <w:t>Reports of Ministry of Health</w:t>
            </w:r>
          </w:p>
          <w:p w14:paraId="72D2BC4D" w14:textId="77777777" w:rsidR="00D97453" w:rsidRPr="00A16798" w:rsidRDefault="009D2F2D" w:rsidP="00C67F29">
            <w:pPr>
              <w:spacing w:after="120"/>
              <w:rPr>
                <w:iCs/>
                <w:sz w:val="17"/>
                <w:szCs w:val="17"/>
              </w:rPr>
            </w:pPr>
            <w:r w:rsidRPr="00A16798">
              <w:rPr>
                <w:iCs/>
                <w:sz w:val="17"/>
                <w:szCs w:val="17"/>
              </w:rPr>
              <w:t>Frequency</w:t>
            </w:r>
            <w:r w:rsidR="00D97453" w:rsidRPr="00A16798">
              <w:rPr>
                <w:iCs/>
                <w:sz w:val="17"/>
                <w:szCs w:val="17"/>
              </w:rPr>
              <w:t>: Annual</w:t>
            </w:r>
          </w:p>
          <w:p w14:paraId="198EDC06" w14:textId="77777777" w:rsidR="00B548DD" w:rsidRPr="00A16798" w:rsidRDefault="00B548DD" w:rsidP="00C67F29">
            <w:pPr>
              <w:spacing w:after="120"/>
              <w:rPr>
                <w:iCs/>
                <w:sz w:val="17"/>
                <w:szCs w:val="17"/>
              </w:rPr>
            </w:pPr>
            <w:r w:rsidRPr="00A16798">
              <w:rPr>
                <w:iCs/>
                <w:sz w:val="17"/>
                <w:szCs w:val="17"/>
              </w:rPr>
              <w:t xml:space="preserve">Report of National </w:t>
            </w:r>
            <w:r w:rsidR="009D2F2D" w:rsidRPr="00A16798">
              <w:rPr>
                <w:iCs/>
                <w:sz w:val="17"/>
                <w:szCs w:val="17"/>
              </w:rPr>
              <w:t>Endemics</w:t>
            </w:r>
            <w:r w:rsidRPr="00A16798">
              <w:rPr>
                <w:iCs/>
                <w:sz w:val="17"/>
                <w:szCs w:val="17"/>
              </w:rPr>
              <w:t xml:space="preserve"> Centr</w:t>
            </w:r>
            <w:r w:rsidR="00D42BEA">
              <w:rPr>
                <w:iCs/>
                <w:sz w:val="17"/>
                <w:szCs w:val="17"/>
              </w:rPr>
              <w:t>e</w:t>
            </w:r>
          </w:p>
          <w:p w14:paraId="189B8402" w14:textId="77777777" w:rsidR="00D97453" w:rsidRPr="00A16798" w:rsidRDefault="009D2F2D" w:rsidP="00C67F29">
            <w:pPr>
              <w:spacing w:after="120"/>
              <w:rPr>
                <w:iCs/>
                <w:sz w:val="17"/>
                <w:szCs w:val="17"/>
              </w:rPr>
            </w:pPr>
            <w:r w:rsidRPr="00A16798">
              <w:rPr>
                <w:iCs/>
                <w:sz w:val="17"/>
                <w:szCs w:val="17"/>
              </w:rPr>
              <w:t>Frequency</w:t>
            </w:r>
            <w:r w:rsidR="00D97453" w:rsidRPr="00A16798">
              <w:rPr>
                <w:iCs/>
                <w:sz w:val="17"/>
                <w:szCs w:val="17"/>
              </w:rPr>
              <w:t>: Annual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24128D" w14:textId="77777777" w:rsidR="0082775F" w:rsidRPr="00A16798" w:rsidRDefault="0082775F" w:rsidP="0082775F">
            <w:pPr>
              <w:rPr>
                <w:sz w:val="17"/>
                <w:szCs w:val="17"/>
              </w:rPr>
            </w:pPr>
            <w:r w:rsidRPr="009B2E26">
              <w:rPr>
                <w:b/>
                <w:sz w:val="17"/>
                <w:szCs w:val="17"/>
              </w:rPr>
              <w:t>Output 1.1:</w:t>
            </w:r>
            <w:r w:rsidRPr="00A16798">
              <w:rPr>
                <w:sz w:val="17"/>
                <w:szCs w:val="17"/>
              </w:rPr>
              <w:t xml:space="preserve"> </w:t>
            </w:r>
            <w:r w:rsidR="00E178B9">
              <w:rPr>
                <w:sz w:val="17"/>
                <w:szCs w:val="17"/>
              </w:rPr>
              <w:t>K</w:t>
            </w:r>
            <w:r w:rsidRPr="00A16798">
              <w:rPr>
                <w:sz w:val="17"/>
                <w:szCs w:val="17"/>
              </w:rPr>
              <w:t>ey and vulnerable groups, particularly children and women, use quality health services, within a legal framework and strengthened national systems</w:t>
            </w:r>
          </w:p>
          <w:p w14:paraId="7FE86C2F" w14:textId="77777777" w:rsidR="0082775F" w:rsidRPr="00A16798" w:rsidRDefault="0082775F" w:rsidP="0082775F">
            <w:pPr>
              <w:rPr>
                <w:i/>
                <w:iCs/>
                <w:color w:val="000000"/>
                <w:sz w:val="17"/>
                <w:szCs w:val="17"/>
              </w:rPr>
            </w:pPr>
          </w:p>
          <w:p w14:paraId="128B336C" w14:textId="77777777" w:rsidR="0082775F" w:rsidRPr="00A16798" w:rsidRDefault="0082775F" w:rsidP="0082775F">
            <w:pPr>
              <w:rPr>
                <w:sz w:val="17"/>
                <w:szCs w:val="17"/>
              </w:rPr>
            </w:pPr>
            <w:r w:rsidRPr="009B2E26">
              <w:rPr>
                <w:b/>
                <w:i/>
                <w:iCs/>
                <w:sz w:val="17"/>
                <w:szCs w:val="17"/>
              </w:rPr>
              <w:t>Indicator</w:t>
            </w:r>
            <w:r w:rsidRPr="00A16798">
              <w:rPr>
                <w:i/>
                <w:iCs/>
                <w:sz w:val="17"/>
                <w:szCs w:val="17"/>
              </w:rPr>
              <w:t>:</w:t>
            </w:r>
            <w:r w:rsidRPr="00A16798">
              <w:rPr>
                <w:sz w:val="17"/>
                <w:szCs w:val="17"/>
              </w:rPr>
              <w:t xml:space="preserve"> </w:t>
            </w:r>
            <w:r w:rsidR="00D42BEA">
              <w:rPr>
                <w:sz w:val="17"/>
                <w:szCs w:val="17"/>
              </w:rPr>
              <w:t>Percentage</w:t>
            </w:r>
            <w:r w:rsidR="00D42BEA" w:rsidRPr="00A16798">
              <w:rPr>
                <w:sz w:val="17"/>
                <w:szCs w:val="17"/>
              </w:rPr>
              <w:t xml:space="preserve"> </w:t>
            </w:r>
            <w:r w:rsidRPr="00A16798">
              <w:rPr>
                <w:sz w:val="17"/>
                <w:szCs w:val="17"/>
              </w:rPr>
              <w:t xml:space="preserve">of children under </w:t>
            </w:r>
            <w:r w:rsidR="00D42BEA">
              <w:rPr>
                <w:sz w:val="17"/>
                <w:szCs w:val="17"/>
              </w:rPr>
              <w:t>5</w:t>
            </w:r>
            <w:r w:rsidR="00D42BEA" w:rsidRPr="00A16798">
              <w:rPr>
                <w:sz w:val="17"/>
                <w:szCs w:val="17"/>
              </w:rPr>
              <w:t xml:space="preserve"> </w:t>
            </w:r>
            <w:r w:rsidRPr="00A16798">
              <w:rPr>
                <w:sz w:val="17"/>
                <w:szCs w:val="17"/>
              </w:rPr>
              <w:t xml:space="preserve">who sleep under an </w:t>
            </w:r>
            <w:r w:rsidR="00D42BEA">
              <w:rPr>
                <w:sz w:val="17"/>
                <w:szCs w:val="17"/>
              </w:rPr>
              <w:t>insecticide-treated net</w:t>
            </w:r>
            <w:r w:rsidRPr="00A16798">
              <w:rPr>
                <w:sz w:val="17"/>
                <w:szCs w:val="17"/>
              </w:rPr>
              <w:t xml:space="preserve"> during the night</w:t>
            </w:r>
          </w:p>
          <w:p w14:paraId="014082E4" w14:textId="77777777" w:rsidR="0082775F" w:rsidRPr="00A16798" w:rsidRDefault="0082775F" w:rsidP="00BF1EB3">
            <w:pPr>
              <w:numPr>
                <w:ilvl w:val="0"/>
                <w:numId w:val="6"/>
              </w:numPr>
              <w:ind w:left="366" w:hanging="180"/>
              <w:rPr>
                <w:i/>
                <w:iCs/>
                <w:color w:val="000000"/>
                <w:sz w:val="17"/>
                <w:szCs w:val="17"/>
              </w:rPr>
            </w:pPr>
            <w:r w:rsidRPr="009B2E26">
              <w:rPr>
                <w:iCs/>
                <w:color w:val="000000"/>
                <w:sz w:val="17"/>
                <w:szCs w:val="17"/>
              </w:rPr>
              <w:t xml:space="preserve">Baseline </w:t>
            </w:r>
            <w:r w:rsidR="007A1298">
              <w:rPr>
                <w:iCs/>
                <w:color w:val="000000"/>
                <w:sz w:val="17"/>
                <w:szCs w:val="17"/>
              </w:rPr>
              <w:t>(2014)</w:t>
            </w:r>
            <w:r w:rsidRPr="009B2E26">
              <w:rPr>
                <w:iCs/>
                <w:color w:val="000000"/>
                <w:sz w:val="17"/>
                <w:szCs w:val="17"/>
              </w:rPr>
              <w:t>:</w:t>
            </w:r>
            <w:r w:rsidRPr="00A16798">
              <w:rPr>
                <w:i/>
                <w:iCs/>
                <w:color w:val="000000"/>
                <w:sz w:val="17"/>
                <w:szCs w:val="17"/>
              </w:rPr>
              <w:t xml:space="preserve"> </w:t>
            </w:r>
            <w:r w:rsidRPr="00A16798">
              <w:rPr>
                <w:iCs/>
                <w:color w:val="000000"/>
                <w:sz w:val="17"/>
                <w:szCs w:val="17"/>
              </w:rPr>
              <w:t>61.1</w:t>
            </w:r>
            <w:r w:rsidR="00D42BEA">
              <w:rPr>
                <w:iCs/>
                <w:color w:val="000000"/>
                <w:sz w:val="17"/>
                <w:szCs w:val="17"/>
              </w:rPr>
              <w:t>%</w:t>
            </w:r>
            <w:r w:rsidRPr="00A16798">
              <w:rPr>
                <w:iCs/>
                <w:color w:val="000000"/>
                <w:sz w:val="17"/>
                <w:szCs w:val="17"/>
              </w:rPr>
              <w:t xml:space="preserve"> </w:t>
            </w:r>
          </w:p>
          <w:p w14:paraId="22EA1156" w14:textId="77777777" w:rsidR="0082775F" w:rsidRPr="00A16798" w:rsidRDefault="0082775F" w:rsidP="00BF1EB3">
            <w:pPr>
              <w:numPr>
                <w:ilvl w:val="0"/>
                <w:numId w:val="6"/>
              </w:numPr>
              <w:ind w:left="366" w:hanging="180"/>
              <w:rPr>
                <w:i/>
                <w:iCs/>
                <w:color w:val="000000"/>
                <w:sz w:val="17"/>
                <w:szCs w:val="17"/>
              </w:rPr>
            </w:pPr>
            <w:r w:rsidRPr="009B2E26">
              <w:rPr>
                <w:iCs/>
                <w:color w:val="000000"/>
                <w:sz w:val="17"/>
                <w:szCs w:val="17"/>
              </w:rPr>
              <w:t>Target</w:t>
            </w:r>
            <w:r w:rsidR="007A1298">
              <w:rPr>
                <w:iCs/>
                <w:color w:val="000000"/>
                <w:sz w:val="17"/>
                <w:szCs w:val="17"/>
              </w:rPr>
              <w:t xml:space="preserve"> (2018)</w:t>
            </w:r>
            <w:r w:rsidRPr="009B2E26">
              <w:rPr>
                <w:iCs/>
                <w:color w:val="000000"/>
                <w:sz w:val="17"/>
                <w:szCs w:val="17"/>
              </w:rPr>
              <w:t>:</w:t>
            </w:r>
            <w:r w:rsidRPr="00A16798">
              <w:rPr>
                <w:i/>
                <w:iCs/>
                <w:color w:val="000000"/>
                <w:sz w:val="17"/>
                <w:szCs w:val="17"/>
              </w:rPr>
              <w:t xml:space="preserve"> </w:t>
            </w:r>
            <w:r w:rsidRPr="00A16798">
              <w:rPr>
                <w:iCs/>
                <w:color w:val="000000"/>
                <w:sz w:val="17"/>
                <w:szCs w:val="17"/>
              </w:rPr>
              <w:t>85</w:t>
            </w:r>
            <w:r w:rsidR="00D42BEA">
              <w:rPr>
                <w:iCs/>
                <w:color w:val="000000"/>
                <w:sz w:val="17"/>
                <w:szCs w:val="17"/>
              </w:rPr>
              <w:t>%</w:t>
            </w:r>
            <w:r w:rsidRPr="00A16798">
              <w:rPr>
                <w:iCs/>
                <w:color w:val="000000"/>
                <w:sz w:val="17"/>
                <w:szCs w:val="17"/>
              </w:rPr>
              <w:t xml:space="preserve"> </w:t>
            </w:r>
          </w:p>
          <w:p w14:paraId="08A7E60A" w14:textId="77777777" w:rsidR="0082775F" w:rsidRPr="00A16798" w:rsidRDefault="0082775F" w:rsidP="00BF1EB3">
            <w:pPr>
              <w:numPr>
                <w:ilvl w:val="0"/>
                <w:numId w:val="6"/>
              </w:numPr>
              <w:ind w:left="366" w:hanging="180"/>
              <w:rPr>
                <w:i/>
                <w:iCs/>
                <w:color w:val="000000"/>
                <w:sz w:val="17"/>
                <w:szCs w:val="17"/>
              </w:rPr>
            </w:pPr>
            <w:r w:rsidRPr="009B2E26">
              <w:rPr>
                <w:iCs/>
                <w:color w:val="000000"/>
                <w:sz w:val="17"/>
                <w:szCs w:val="17"/>
              </w:rPr>
              <w:t>Data source:</w:t>
            </w:r>
            <w:r w:rsidRPr="00A16798">
              <w:rPr>
                <w:i/>
                <w:iCs/>
                <w:color w:val="000000"/>
                <w:sz w:val="17"/>
                <w:szCs w:val="17"/>
              </w:rPr>
              <w:t xml:space="preserve"> </w:t>
            </w:r>
            <w:r w:rsidRPr="00A16798">
              <w:rPr>
                <w:sz w:val="17"/>
                <w:szCs w:val="17"/>
              </w:rPr>
              <w:t xml:space="preserve">National Programme for Fighting </w:t>
            </w:r>
            <w:r w:rsidR="00D42BEA">
              <w:rPr>
                <w:sz w:val="17"/>
                <w:szCs w:val="17"/>
              </w:rPr>
              <w:t>a</w:t>
            </w:r>
            <w:r w:rsidRPr="00A16798">
              <w:rPr>
                <w:sz w:val="17"/>
                <w:szCs w:val="17"/>
              </w:rPr>
              <w:t xml:space="preserve">gainst Malaria </w:t>
            </w:r>
          </w:p>
          <w:p w14:paraId="2C30CBCA" w14:textId="77777777" w:rsidR="0082775F" w:rsidRPr="00A16798" w:rsidRDefault="0082775F" w:rsidP="00BF1EB3">
            <w:pPr>
              <w:numPr>
                <w:ilvl w:val="0"/>
                <w:numId w:val="6"/>
              </w:numPr>
              <w:ind w:left="366" w:hanging="180"/>
              <w:rPr>
                <w:i/>
                <w:iCs/>
                <w:color w:val="000000"/>
                <w:sz w:val="17"/>
                <w:szCs w:val="17"/>
              </w:rPr>
            </w:pPr>
            <w:r w:rsidRPr="009B2E26">
              <w:rPr>
                <w:iCs/>
                <w:color w:val="000000"/>
                <w:sz w:val="17"/>
                <w:szCs w:val="17"/>
              </w:rPr>
              <w:t>Frequency:</w:t>
            </w:r>
            <w:r w:rsidRPr="00A16798">
              <w:rPr>
                <w:i/>
                <w:iCs/>
                <w:color w:val="000000"/>
                <w:sz w:val="17"/>
                <w:szCs w:val="17"/>
              </w:rPr>
              <w:t xml:space="preserve"> </w:t>
            </w:r>
            <w:r w:rsidR="002C4C14" w:rsidRPr="00A16798">
              <w:rPr>
                <w:iCs/>
                <w:color w:val="000000"/>
                <w:sz w:val="17"/>
                <w:szCs w:val="17"/>
              </w:rPr>
              <w:t>A</w:t>
            </w:r>
            <w:r w:rsidRPr="00A16798">
              <w:rPr>
                <w:iCs/>
                <w:color w:val="000000"/>
                <w:sz w:val="17"/>
                <w:szCs w:val="17"/>
              </w:rPr>
              <w:t>nnual</w:t>
            </w:r>
          </w:p>
          <w:p w14:paraId="6706BE6A" w14:textId="77777777" w:rsidR="0082775F" w:rsidRPr="00A16798" w:rsidRDefault="0082775F" w:rsidP="0082775F">
            <w:pPr>
              <w:ind w:left="860"/>
              <w:rPr>
                <w:b/>
                <w:bCs/>
                <w:color w:val="000000"/>
                <w:sz w:val="17"/>
                <w:szCs w:val="17"/>
                <w:highlight w:val="green"/>
              </w:rPr>
            </w:pPr>
          </w:p>
          <w:p w14:paraId="08C3C948" w14:textId="77777777" w:rsidR="0082775F" w:rsidRPr="00A16798" w:rsidRDefault="0082775F" w:rsidP="0082775F">
            <w:pPr>
              <w:rPr>
                <w:sz w:val="17"/>
                <w:szCs w:val="17"/>
              </w:rPr>
            </w:pPr>
            <w:r w:rsidRPr="009B2E26">
              <w:rPr>
                <w:b/>
                <w:i/>
                <w:iCs/>
                <w:sz w:val="17"/>
                <w:szCs w:val="17"/>
              </w:rPr>
              <w:t>Indicator</w:t>
            </w:r>
            <w:r w:rsidRPr="00A16798">
              <w:rPr>
                <w:i/>
                <w:iCs/>
                <w:sz w:val="17"/>
                <w:szCs w:val="17"/>
              </w:rPr>
              <w:t xml:space="preserve">: </w:t>
            </w:r>
            <w:r w:rsidRPr="00A16798">
              <w:rPr>
                <w:sz w:val="17"/>
                <w:szCs w:val="17"/>
              </w:rPr>
              <w:t xml:space="preserve">Percentage of female sex workers infected by HIV </w:t>
            </w:r>
          </w:p>
          <w:p w14:paraId="5A0D8601" w14:textId="77777777" w:rsidR="0082775F" w:rsidRPr="00A16798" w:rsidRDefault="0082775F" w:rsidP="00BF1EB3">
            <w:pPr>
              <w:numPr>
                <w:ilvl w:val="0"/>
                <w:numId w:val="6"/>
              </w:numPr>
              <w:ind w:left="366" w:hanging="180"/>
              <w:rPr>
                <w:i/>
                <w:iCs/>
                <w:color w:val="000000"/>
                <w:sz w:val="17"/>
                <w:szCs w:val="17"/>
              </w:rPr>
            </w:pPr>
            <w:r w:rsidRPr="009B2E26">
              <w:rPr>
                <w:iCs/>
                <w:color w:val="000000"/>
                <w:sz w:val="17"/>
                <w:szCs w:val="17"/>
              </w:rPr>
              <w:t xml:space="preserve">Baseline </w:t>
            </w:r>
            <w:r w:rsidR="007A1298">
              <w:rPr>
                <w:iCs/>
                <w:color w:val="000000"/>
                <w:sz w:val="17"/>
                <w:szCs w:val="17"/>
              </w:rPr>
              <w:t>(2013)</w:t>
            </w:r>
            <w:r w:rsidRPr="009B2E26">
              <w:rPr>
                <w:iCs/>
                <w:color w:val="000000"/>
                <w:sz w:val="17"/>
                <w:szCs w:val="17"/>
              </w:rPr>
              <w:t>:</w:t>
            </w:r>
            <w:r w:rsidRPr="00A16798">
              <w:rPr>
                <w:i/>
                <w:iCs/>
                <w:color w:val="000000"/>
                <w:sz w:val="17"/>
                <w:szCs w:val="17"/>
              </w:rPr>
              <w:t xml:space="preserve"> </w:t>
            </w:r>
            <w:r w:rsidR="00862229" w:rsidRPr="00A16798">
              <w:rPr>
                <w:iCs/>
                <w:color w:val="000000"/>
                <w:sz w:val="17"/>
                <w:szCs w:val="17"/>
              </w:rPr>
              <w:t>1.1</w:t>
            </w:r>
            <w:r w:rsidR="00BC045C" w:rsidRPr="00A16798">
              <w:rPr>
                <w:iCs/>
                <w:color w:val="000000"/>
                <w:sz w:val="17"/>
                <w:szCs w:val="17"/>
              </w:rPr>
              <w:t>%</w:t>
            </w:r>
            <w:r w:rsidRPr="00A16798">
              <w:rPr>
                <w:iCs/>
                <w:color w:val="000000"/>
                <w:sz w:val="17"/>
                <w:szCs w:val="17"/>
              </w:rPr>
              <w:t xml:space="preserve"> </w:t>
            </w:r>
          </w:p>
          <w:p w14:paraId="53DAACB4" w14:textId="77777777" w:rsidR="0082775F" w:rsidRPr="00A16798" w:rsidRDefault="0082775F" w:rsidP="00BF1EB3">
            <w:pPr>
              <w:numPr>
                <w:ilvl w:val="0"/>
                <w:numId w:val="6"/>
              </w:numPr>
              <w:ind w:left="366" w:hanging="180"/>
              <w:rPr>
                <w:iCs/>
                <w:color w:val="000000"/>
                <w:sz w:val="17"/>
                <w:szCs w:val="17"/>
              </w:rPr>
            </w:pPr>
            <w:r w:rsidRPr="009B2E26">
              <w:rPr>
                <w:iCs/>
                <w:color w:val="000000"/>
                <w:sz w:val="17"/>
                <w:szCs w:val="17"/>
              </w:rPr>
              <w:t>Target</w:t>
            </w:r>
            <w:r w:rsidR="007A1298">
              <w:rPr>
                <w:iCs/>
                <w:color w:val="000000"/>
                <w:sz w:val="17"/>
                <w:szCs w:val="17"/>
              </w:rPr>
              <w:t xml:space="preserve"> (2021)</w:t>
            </w:r>
            <w:r w:rsidRPr="009B2E26">
              <w:rPr>
                <w:iCs/>
                <w:color w:val="000000"/>
                <w:sz w:val="17"/>
                <w:szCs w:val="17"/>
              </w:rPr>
              <w:t>:</w:t>
            </w:r>
            <w:r w:rsidRPr="00A16798">
              <w:rPr>
                <w:i/>
                <w:iCs/>
                <w:color w:val="000000"/>
                <w:sz w:val="17"/>
                <w:szCs w:val="17"/>
              </w:rPr>
              <w:t xml:space="preserve">  </w:t>
            </w:r>
            <w:r w:rsidR="00BC045C" w:rsidRPr="00A16798">
              <w:rPr>
                <w:iCs/>
                <w:color w:val="000000"/>
                <w:sz w:val="17"/>
                <w:szCs w:val="17"/>
              </w:rPr>
              <w:t xml:space="preserve">0.5% </w:t>
            </w:r>
          </w:p>
          <w:p w14:paraId="07205527" w14:textId="77777777" w:rsidR="0082775F" w:rsidRPr="00A16798" w:rsidRDefault="0082775F" w:rsidP="00BF1EB3">
            <w:pPr>
              <w:pStyle w:val="Default"/>
              <w:numPr>
                <w:ilvl w:val="0"/>
                <w:numId w:val="6"/>
              </w:numPr>
              <w:ind w:left="366" w:hanging="180"/>
              <w:rPr>
                <w:rFonts w:ascii="Times New Roman" w:hAnsi="Times New Roman" w:cs="Times New Roman"/>
                <w:iCs/>
                <w:sz w:val="17"/>
                <w:szCs w:val="17"/>
                <w:lang w:val="en-US"/>
              </w:rPr>
            </w:pPr>
            <w:r w:rsidRPr="00A16798">
              <w:rPr>
                <w:rFonts w:ascii="Times New Roman" w:hAnsi="Times New Roman" w:cs="Times New Roman"/>
                <w:iCs/>
                <w:sz w:val="17"/>
                <w:szCs w:val="17"/>
                <w:lang w:val="en-US"/>
              </w:rPr>
              <w:t xml:space="preserve">Data source: National Programme for Fighting </w:t>
            </w:r>
            <w:r w:rsidR="00D42BEA">
              <w:rPr>
                <w:rFonts w:ascii="Times New Roman" w:hAnsi="Times New Roman" w:cs="Times New Roman"/>
                <w:iCs/>
                <w:sz w:val="17"/>
                <w:szCs w:val="17"/>
                <w:lang w:val="en-US"/>
              </w:rPr>
              <w:t>a</w:t>
            </w:r>
            <w:r w:rsidRPr="00A16798">
              <w:rPr>
                <w:rFonts w:ascii="Times New Roman" w:hAnsi="Times New Roman" w:cs="Times New Roman"/>
                <w:iCs/>
                <w:sz w:val="17"/>
                <w:szCs w:val="17"/>
                <w:lang w:val="en-US"/>
              </w:rPr>
              <w:t xml:space="preserve">gainst </w:t>
            </w:r>
            <w:r w:rsidR="00D42BEA">
              <w:rPr>
                <w:rFonts w:ascii="Times New Roman" w:hAnsi="Times New Roman" w:cs="Times New Roman"/>
                <w:iCs/>
                <w:sz w:val="17"/>
                <w:szCs w:val="17"/>
                <w:lang w:val="en-US"/>
              </w:rPr>
              <w:t>AIDS</w:t>
            </w:r>
            <w:r w:rsidR="00D42BEA" w:rsidRPr="00A16798">
              <w:rPr>
                <w:rFonts w:ascii="Times New Roman" w:hAnsi="Times New Roman" w:cs="Times New Roman"/>
                <w:iCs/>
                <w:sz w:val="17"/>
                <w:szCs w:val="17"/>
                <w:lang w:val="en-US"/>
              </w:rPr>
              <w:t xml:space="preserve"> </w:t>
            </w:r>
          </w:p>
          <w:p w14:paraId="7E6F71E3" w14:textId="77777777" w:rsidR="0082775F" w:rsidRPr="00A16798" w:rsidRDefault="0082775F" w:rsidP="00BF1EB3">
            <w:pPr>
              <w:numPr>
                <w:ilvl w:val="0"/>
                <w:numId w:val="6"/>
              </w:numPr>
              <w:ind w:left="366" w:hanging="180"/>
              <w:rPr>
                <w:iCs/>
                <w:color w:val="000000"/>
                <w:sz w:val="17"/>
                <w:szCs w:val="17"/>
              </w:rPr>
            </w:pPr>
            <w:r w:rsidRPr="00A16798">
              <w:rPr>
                <w:iCs/>
                <w:color w:val="000000"/>
                <w:sz w:val="17"/>
                <w:szCs w:val="17"/>
              </w:rPr>
              <w:t xml:space="preserve">Frequency: </w:t>
            </w:r>
            <w:r w:rsidR="002C4C14" w:rsidRPr="00A16798">
              <w:rPr>
                <w:iCs/>
                <w:color w:val="000000"/>
                <w:sz w:val="17"/>
                <w:szCs w:val="17"/>
              </w:rPr>
              <w:t>A</w:t>
            </w:r>
            <w:r w:rsidRPr="00A16798">
              <w:rPr>
                <w:iCs/>
                <w:color w:val="000000"/>
                <w:sz w:val="17"/>
                <w:szCs w:val="17"/>
              </w:rPr>
              <w:t>nnual</w:t>
            </w:r>
          </w:p>
          <w:p w14:paraId="1470FE90" w14:textId="77777777" w:rsidR="0082775F" w:rsidRPr="00A16798" w:rsidRDefault="0082775F" w:rsidP="0082775F">
            <w:pPr>
              <w:rPr>
                <w:sz w:val="17"/>
                <w:szCs w:val="17"/>
              </w:rPr>
            </w:pPr>
          </w:p>
          <w:p w14:paraId="4DE29FC5" w14:textId="77777777" w:rsidR="0082775F" w:rsidRPr="00A16798" w:rsidRDefault="0082775F" w:rsidP="0082775F">
            <w:pPr>
              <w:rPr>
                <w:sz w:val="17"/>
                <w:szCs w:val="17"/>
              </w:rPr>
            </w:pPr>
            <w:r w:rsidRPr="009B2E26">
              <w:rPr>
                <w:b/>
                <w:i/>
                <w:iCs/>
                <w:sz w:val="17"/>
                <w:szCs w:val="17"/>
              </w:rPr>
              <w:t>Indicator:</w:t>
            </w:r>
            <w:r w:rsidRPr="009B2E26">
              <w:rPr>
                <w:i/>
                <w:iCs/>
                <w:sz w:val="17"/>
                <w:szCs w:val="17"/>
              </w:rPr>
              <w:t xml:space="preserve"> </w:t>
            </w:r>
            <w:r w:rsidRPr="00A16798">
              <w:rPr>
                <w:sz w:val="17"/>
                <w:szCs w:val="17"/>
              </w:rPr>
              <w:t xml:space="preserve">Number of </w:t>
            </w:r>
            <w:r w:rsidR="00D42BEA">
              <w:rPr>
                <w:sz w:val="17"/>
                <w:szCs w:val="17"/>
              </w:rPr>
              <w:t xml:space="preserve">tuberculosis </w:t>
            </w:r>
            <w:r w:rsidRPr="00A16798">
              <w:rPr>
                <w:sz w:val="17"/>
                <w:szCs w:val="17"/>
              </w:rPr>
              <w:t>cases notified within key and high-risk population</w:t>
            </w:r>
            <w:r w:rsidR="00E178B9">
              <w:rPr>
                <w:sz w:val="17"/>
                <w:szCs w:val="17"/>
              </w:rPr>
              <w:t>s</w:t>
            </w:r>
            <w:r w:rsidRPr="00A16798">
              <w:rPr>
                <w:sz w:val="17"/>
                <w:szCs w:val="17"/>
              </w:rPr>
              <w:t xml:space="preserve">                                                                                                     </w:t>
            </w:r>
          </w:p>
          <w:p w14:paraId="0A183105" w14:textId="77777777" w:rsidR="0082775F" w:rsidRPr="009B2E26" w:rsidRDefault="0082775F" w:rsidP="00BF1EB3">
            <w:pPr>
              <w:numPr>
                <w:ilvl w:val="0"/>
                <w:numId w:val="6"/>
              </w:numPr>
              <w:ind w:left="366" w:hanging="180"/>
              <w:rPr>
                <w:iCs/>
                <w:color w:val="000000"/>
                <w:sz w:val="17"/>
                <w:szCs w:val="17"/>
              </w:rPr>
            </w:pPr>
            <w:r w:rsidRPr="009B2E26">
              <w:rPr>
                <w:iCs/>
                <w:color w:val="000000"/>
                <w:sz w:val="17"/>
                <w:szCs w:val="17"/>
              </w:rPr>
              <w:t xml:space="preserve">Baseline </w:t>
            </w:r>
            <w:r w:rsidR="007A1298">
              <w:rPr>
                <w:iCs/>
                <w:color w:val="000000"/>
                <w:sz w:val="17"/>
                <w:szCs w:val="17"/>
              </w:rPr>
              <w:t>(2013)</w:t>
            </w:r>
            <w:r w:rsidRPr="009B2E26">
              <w:rPr>
                <w:iCs/>
                <w:color w:val="000000"/>
                <w:sz w:val="17"/>
                <w:szCs w:val="17"/>
              </w:rPr>
              <w:t xml:space="preserve">: </w:t>
            </w:r>
            <w:r w:rsidRPr="00BF1EB3">
              <w:rPr>
                <w:iCs/>
                <w:color w:val="000000"/>
                <w:sz w:val="17"/>
                <w:szCs w:val="17"/>
              </w:rPr>
              <w:t xml:space="preserve">91 </w:t>
            </w:r>
          </w:p>
          <w:p w14:paraId="5D1D483C" w14:textId="77777777" w:rsidR="0082775F" w:rsidRPr="009B2E26" w:rsidRDefault="0082775F" w:rsidP="00BF1EB3">
            <w:pPr>
              <w:numPr>
                <w:ilvl w:val="0"/>
                <w:numId w:val="6"/>
              </w:numPr>
              <w:ind w:left="366" w:hanging="180"/>
              <w:rPr>
                <w:iCs/>
                <w:color w:val="000000"/>
                <w:sz w:val="17"/>
                <w:szCs w:val="17"/>
              </w:rPr>
            </w:pPr>
            <w:r w:rsidRPr="009B2E26">
              <w:rPr>
                <w:iCs/>
                <w:color w:val="000000"/>
                <w:sz w:val="17"/>
                <w:szCs w:val="17"/>
              </w:rPr>
              <w:t>Target</w:t>
            </w:r>
            <w:r w:rsidR="007A1298">
              <w:rPr>
                <w:iCs/>
                <w:color w:val="000000"/>
                <w:sz w:val="17"/>
                <w:szCs w:val="17"/>
              </w:rPr>
              <w:t xml:space="preserve"> (2017)</w:t>
            </w:r>
            <w:r w:rsidRPr="009B2E26">
              <w:rPr>
                <w:iCs/>
                <w:color w:val="000000"/>
                <w:sz w:val="17"/>
                <w:szCs w:val="17"/>
              </w:rPr>
              <w:t xml:space="preserve">: </w:t>
            </w:r>
            <w:r w:rsidRPr="00BF1EB3">
              <w:rPr>
                <w:iCs/>
                <w:color w:val="000000"/>
                <w:sz w:val="17"/>
                <w:szCs w:val="17"/>
              </w:rPr>
              <w:t xml:space="preserve">77 </w:t>
            </w:r>
          </w:p>
          <w:p w14:paraId="47690136" w14:textId="77777777" w:rsidR="0082775F" w:rsidRPr="00BF1EB3" w:rsidRDefault="0082775F" w:rsidP="00BF1EB3">
            <w:pPr>
              <w:numPr>
                <w:ilvl w:val="0"/>
                <w:numId w:val="6"/>
              </w:numPr>
              <w:ind w:left="366" w:hanging="180"/>
              <w:rPr>
                <w:iCs/>
                <w:color w:val="000000"/>
                <w:sz w:val="17"/>
                <w:szCs w:val="17"/>
              </w:rPr>
            </w:pPr>
            <w:r w:rsidRPr="009B2E26">
              <w:rPr>
                <w:iCs/>
                <w:color w:val="000000"/>
                <w:sz w:val="17"/>
                <w:szCs w:val="17"/>
              </w:rPr>
              <w:t xml:space="preserve">Data source: </w:t>
            </w:r>
            <w:r w:rsidRPr="00BF1EB3">
              <w:rPr>
                <w:iCs/>
                <w:color w:val="000000"/>
                <w:sz w:val="17"/>
                <w:szCs w:val="17"/>
              </w:rPr>
              <w:t xml:space="preserve">National Programme for Fighting </w:t>
            </w:r>
            <w:r w:rsidR="00D42BEA" w:rsidRPr="00BF1EB3">
              <w:rPr>
                <w:iCs/>
                <w:color w:val="000000"/>
                <w:sz w:val="17"/>
                <w:szCs w:val="17"/>
              </w:rPr>
              <w:t>a</w:t>
            </w:r>
            <w:r w:rsidRPr="00BF1EB3">
              <w:rPr>
                <w:iCs/>
                <w:color w:val="000000"/>
                <w:sz w:val="17"/>
                <w:szCs w:val="17"/>
              </w:rPr>
              <w:t xml:space="preserve">gainst Tuberculosis </w:t>
            </w:r>
          </w:p>
          <w:p w14:paraId="22603F2C" w14:textId="77777777" w:rsidR="0082775F" w:rsidRPr="009B2E26" w:rsidRDefault="002C4C14" w:rsidP="00BF1EB3">
            <w:pPr>
              <w:numPr>
                <w:ilvl w:val="0"/>
                <w:numId w:val="6"/>
              </w:numPr>
              <w:ind w:left="366" w:hanging="180"/>
              <w:rPr>
                <w:iCs/>
                <w:color w:val="000000"/>
                <w:sz w:val="17"/>
                <w:szCs w:val="17"/>
              </w:rPr>
            </w:pPr>
            <w:r w:rsidRPr="009B2E26">
              <w:rPr>
                <w:iCs/>
                <w:color w:val="000000"/>
                <w:sz w:val="17"/>
                <w:szCs w:val="17"/>
              </w:rPr>
              <w:t xml:space="preserve">Frequency: </w:t>
            </w:r>
            <w:r w:rsidRPr="00BF1EB3">
              <w:rPr>
                <w:iCs/>
                <w:color w:val="000000"/>
                <w:sz w:val="17"/>
                <w:szCs w:val="17"/>
              </w:rPr>
              <w:t>A</w:t>
            </w:r>
            <w:r w:rsidR="0082775F" w:rsidRPr="00BF1EB3">
              <w:rPr>
                <w:iCs/>
                <w:color w:val="000000"/>
                <w:sz w:val="17"/>
                <w:szCs w:val="17"/>
              </w:rPr>
              <w:t>nnual</w:t>
            </w:r>
          </w:p>
          <w:p w14:paraId="61644A8E" w14:textId="77777777" w:rsidR="00B548DD" w:rsidRPr="00A16798" w:rsidRDefault="00B548DD" w:rsidP="0082775F">
            <w:pPr>
              <w:ind w:left="860"/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260A" w14:textId="77777777" w:rsidR="00B548DD" w:rsidRPr="00A16798" w:rsidRDefault="00F77338" w:rsidP="00FD6992">
            <w:pPr>
              <w:pStyle w:val="Default"/>
              <w:rPr>
                <w:rFonts w:ascii="Times New Roman" w:hAnsi="Times New Roman" w:cs="Times New Roman"/>
                <w:iCs/>
                <w:sz w:val="17"/>
                <w:szCs w:val="17"/>
                <w:lang w:val="en-US"/>
              </w:rPr>
            </w:pPr>
            <w:r w:rsidRPr="00A16798">
              <w:rPr>
                <w:rFonts w:ascii="Times New Roman" w:hAnsi="Times New Roman" w:cs="Times New Roman"/>
                <w:iCs/>
                <w:sz w:val="17"/>
                <w:szCs w:val="17"/>
                <w:lang w:val="en-US"/>
              </w:rPr>
              <w:t xml:space="preserve">National </w:t>
            </w:r>
            <w:r w:rsidR="00D42BEA">
              <w:rPr>
                <w:rFonts w:ascii="Times New Roman" w:hAnsi="Times New Roman" w:cs="Times New Roman"/>
                <w:iCs/>
                <w:sz w:val="17"/>
                <w:szCs w:val="17"/>
                <w:lang w:val="en-US"/>
              </w:rPr>
              <w:t>i</w:t>
            </w:r>
            <w:r w:rsidRPr="00A16798">
              <w:rPr>
                <w:rFonts w:ascii="Times New Roman" w:hAnsi="Times New Roman" w:cs="Times New Roman"/>
                <w:iCs/>
                <w:sz w:val="17"/>
                <w:szCs w:val="17"/>
                <w:lang w:val="en-US"/>
              </w:rPr>
              <w:t>nstitutions</w:t>
            </w:r>
            <w:r w:rsidR="00B548DD" w:rsidRPr="00A16798">
              <w:rPr>
                <w:rFonts w:ascii="Times New Roman" w:hAnsi="Times New Roman" w:cs="Times New Roman"/>
                <w:iCs/>
                <w:sz w:val="17"/>
                <w:szCs w:val="17"/>
                <w:lang w:val="en-US"/>
              </w:rPr>
              <w:t xml:space="preserve">: </w:t>
            </w:r>
          </w:p>
          <w:p w14:paraId="44F94285" w14:textId="77777777" w:rsidR="00B548DD" w:rsidRPr="00A16798" w:rsidRDefault="00B548DD" w:rsidP="00FD6992">
            <w:pPr>
              <w:pStyle w:val="Default"/>
              <w:rPr>
                <w:rFonts w:ascii="Times New Roman" w:hAnsi="Times New Roman" w:cs="Times New Roman"/>
                <w:iCs/>
                <w:sz w:val="17"/>
                <w:szCs w:val="17"/>
                <w:lang w:val="en-US"/>
              </w:rPr>
            </w:pPr>
            <w:r w:rsidRPr="00A16798">
              <w:rPr>
                <w:rFonts w:ascii="Times New Roman" w:hAnsi="Times New Roman" w:cs="Times New Roman"/>
                <w:iCs/>
                <w:sz w:val="17"/>
                <w:szCs w:val="17"/>
                <w:lang w:val="en-US"/>
              </w:rPr>
              <w:t xml:space="preserve">National Programme for Fighting against Malaria </w:t>
            </w:r>
          </w:p>
          <w:p w14:paraId="2979CFF2" w14:textId="77777777" w:rsidR="00B548DD" w:rsidRPr="00A16798" w:rsidRDefault="00B548DD" w:rsidP="00FD6992">
            <w:pPr>
              <w:pStyle w:val="Default"/>
              <w:rPr>
                <w:rFonts w:ascii="Times New Roman" w:hAnsi="Times New Roman" w:cs="Times New Roman"/>
                <w:iCs/>
                <w:sz w:val="17"/>
                <w:szCs w:val="17"/>
                <w:lang w:val="en-US"/>
              </w:rPr>
            </w:pPr>
            <w:r w:rsidRPr="00A16798">
              <w:rPr>
                <w:rFonts w:ascii="Times New Roman" w:hAnsi="Times New Roman" w:cs="Times New Roman"/>
                <w:iCs/>
                <w:sz w:val="17"/>
                <w:szCs w:val="17"/>
                <w:lang w:val="en-US"/>
              </w:rPr>
              <w:t xml:space="preserve">National Programme for Fighting </w:t>
            </w:r>
            <w:r w:rsidR="00D42BEA">
              <w:rPr>
                <w:rFonts w:ascii="Times New Roman" w:hAnsi="Times New Roman" w:cs="Times New Roman"/>
                <w:iCs/>
                <w:sz w:val="17"/>
                <w:szCs w:val="17"/>
                <w:lang w:val="en-US"/>
              </w:rPr>
              <w:t>a</w:t>
            </w:r>
            <w:r w:rsidRPr="00A16798">
              <w:rPr>
                <w:rFonts w:ascii="Times New Roman" w:hAnsi="Times New Roman" w:cs="Times New Roman"/>
                <w:iCs/>
                <w:sz w:val="17"/>
                <w:szCs w:val="17"/>
                <w:lang w:val="en-US"/>
              </w:rPr>
              <w:t xml:space="preserve">gainst </w:t>
            </w:r>
            <w:r w:rsidR="00862229" w:rsidRPr="00A16798">
              <w:rPr>
                <w:rFonts w:ascii="Times New Roman" w:hAnsi="Times New Roman" w:cs="Times New Roman"/>
                <w:iCs/>
                <w:sz w:val="17"/>
                <w:szCs w:val="17"/>
                <w:lang w:val="en-US"/>
              </w:rPr>
              <w:t>AIDS</w:t>
            </w:r>
            <w:r w:rsidRPr="00A16798">
              <w:rPr>
                <w:rFonts w:ascii="Times New Roman" w:hAnsi="Times New Roman" w:cs="Times New Roman"/>
                <w:iCs/>
                <w:sz w:val="17"/>
                <w:szCs w:val="17"/>
                <w:lang w:val="en-US"/>
              </w:rPr>
              <w:t xml:space="preserve"> </w:t>
            </w:r>
          </w:p>
          <w:p w14:paraId="412B3268" w14:textId="4A4ECCCE" w:rsidR="00761595" w:rsidRPr="00F55743" w:rsidRDefault="00761595" w:rsidP="00FD6992">
            <w:pPr>
              <w:pStyle w:val="Default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F55743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National Centr</w:t>
            </w:r>
            <w:r w:rsidR="00FE16F1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e</w:t>
            </w:r>
            <w:r w:rsidRPr="00F55743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for Epidemics</w:t>
            </w:r>
          </w:p>
          <w:p w14:paraId="3139A22A" w14:textId="4C13DD11" w:rsidR="00761595" w:rsidRPr="00F55743" w:rsidRDefault="00761595" w:rsidP="00FD6992">
            <w:pPr>
              <w:pStyle w:val="Default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F55743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National Centr</w:t>
            </w:r>
            <w:r w:rsidR="00FE16F1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e</w:t>
            </w:r>
            <w:r w:rsidRPr="00F55743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for Health Education</w:t>
            </w:r>
          </w:p>
          <w:p w14:paraId="0B0EEBB2" w14:textId="77777777" w:rsidR="00761595" w:rsidRPr="00F55743" w:rsidRDefault="00761595" w:rsidP="00FD6992">
            <w:pPr>
              <w:pStyle w:val="Default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F55743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National Institute for Gender Promotion</w:t>
            </w:r>
          </w:p>
          <w:p w14:paraId="5674B540" w14:textId="77777777" w:rsidR="00761595" w:rsidRPr="00F55743" w:rsidRDefault="00761595" w:rsidP="00FD6992">
            <w:pPr>
              <w:pStyle w:val="Default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F55743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National Fund for Medicines </w:t>
            </w:r>
          </w:p>
          <w:p w14:paraId="1A1CCA62" w14:textId="033A41B1" w:rsidR="00B548DD" w:rsidRPr="00F55743" w:rsidRDefault="00B548DD" w:rsidP="00FD6992">
            <w:pPr>
              <w:pStyle w:val="Default"/>
              <w:rPr>
                <w:rFonts w:ascii="Times New Roman" w:hAnsi="Times New Roman" w:cs="Times New Roman"/>
                <w:iCs/>
                <w:sz w:val="17"/>
                <w:szCs w:val="17"/>
                <w:lang w:val="en-US"/>
              </w:rPr>
            </w:pPr>
          </w:p>
          <w:p w14:paraId="5D8CD9AE" w14:textId="77777777" w:rsidR="00A457CA" w:rsidRPr="00F55743" w:rsidRDefault="00A457CA" w:rsidP="00FD6992">
            <w:pPr>
              <w:pStyle w:val="Default"/>
              <w:rPr>
                <w:rFonts w:ascii="Times New Roman" w:hAnsi="Times New Roman" w:cs="Times New Roman"/>
                <w:iCs/>
                <w:sz w:val="17"/>
                <w:szCs w:val="17"/>
                <w:lang w:val="en-US"/>
              </w:rPr>
            </w:pPr>
          </w:p>
          <w:p w14:paraId="7F87DE5F" w14:textId="77777777" w:rsidR="00A457CA" w:rsidRPr="00A16798" w:rsidRDefault="00A457CA" w:rsidP="00FD6992">
            <w:pPr>
              <w:pStyle w:val="Default"/>
              <w:rPr>
                <w:rFonts w:ascii="Times New Roman" w:hAnsi="Times New Roman" w:cs="Times New Roman"/>
                <w:iCs/>
                <w:sz w:val="17"/>
                <w:szCs w:val="17"/>
                <w:lang w:val="en-US"/>
              </w:rPr>
            </w:pPr>
            <w:r w:rsidRPr="00A16798">
              <w:rPr>
                <w:rFonts w:ascii="Times New Roman" w:hAnsi="Times New Roman" w:cs="Times New Roman"/>
                <w:iCs/>
                <w:sz w:val="17"/>
                <w:szCs w:val="17"/>
                <w:lang w:val="en-US"/>
              </w:rPr>
              <w:t xml:space="preserve">Additional </w:t>
            </w:r>
            <w:r w:rsidR="00D42BEA">
              <w:rPr>
                <w:rFonts w:ascii="Times New Roman" w:hAnsi="Times New Roman" w:cs="Times New Roman"/>
                <w:iCs/>
                <w:sz w:val="17"/>
                <w:szCs w:val="17"/>
                <w:lang w:val="en-US"/>
              </w:rPr>
              <w:t>p</w:t>
            </w:r>
            <w:r w:rsidRPr="00A16798">
              <w:rPr>
                <w:rFonts w:ascii="Times New Roman" w:hAnsi="Times New Roman" w:cs="Times New Roman"/>
                <w:iCs/>
                <w:sz w:val="17"/>
                <w:szCs w:val="17"/>
                <w:lang w:val="en-US"/>
              </w:rPr>
              <w:t xml:space="preserve">artners / </w:t>
            </w:r>
            <w:r w:rsidR="00D42BEA">
              <w:rPr>
                <w:rFonts w:ascii="Times New Roman" w:hAnsi="Times New Roman" w:cs="Times New Roman"/>
                <w:iCs/>
                <w:sz w:val="17"/>
                <w:szCs w:val="17"/>
                <w:lang w:val="en-US"/>
              </w:rPr>
              <w:t>p</w:t>
            </w:r>
            <w:r w:rsidRPr="00A16798">
              <w:rPr>
                <w:rFonts w:ascii="Times New Roman" w:hAnsi="Times New Roman" w:cs="Times New Roman"/>
                <w:iCs/>
                <w:sz w:val="17"/>
                <w:szCs w:val="17"/>
                <w:lang w:val="en-US"/>
              </w:rPr>
              <w:t>artnerships:</w:t>
            </w:r>
          </w:p>
          <w:p w14:paraId="1A6ACD83" w14:textId="77777777" w:rsidR="00B548DD" w:rsidRPr="00A16798" w:rsidRDefault="00B548DD" w:rsidP="00FD6992">
            <w:pPr>
              <w:pStyle w:val="Default"/>
              <w:rPr>
                <w:rFonts w:ascii="Times New Roman" w:hAnsi="Times New Roman" w:cs="Times New Roman"/>
                <w:iCs/>
                <w:sz w:val="17"/>
                <w:szCs w:val="17"/>
                <w:lang w:val="en-US"/>
              </w:rPr>
            </w:pPr>
            <w:r w:rsidRPr="00A16798">
              <w:rPr>
                <w:rFonts w:ascii="Times New Roman" w:hAnsi="Times New Roman" w:cs="Times New Roman"/>
                <w:iCs/>
                <w:sz w:val="17"/>
                <w:szCs w:val="17"/>
                <w:lang w:val="en-US"/>
              </w:rPr>
              <w:t>WHO</w:t>
            </w:r>
          </w:p>
          <w:p w14:paraId="0E5ADCC1" w14:textId="77777777" w:rsidR="00B548DD" w:rsidRPr="00A16798" w:rsidRDefault="00B548DD" w:rsidP="00FD6992">
            <w:pPr>
              <w:pStyle w:val="Default"/>
              <w:rPr>
                <w:rFonts w:ascii="Times New Roman" w:hAnsi="Times New Roman" w:cs="Times New Roman"/>
                <w:iCs/>
                <w:sz w:val="17"/>
                <w:szCs w:val="17"/>
                <w:lang w:val="en-US"/>
              </w:rPr>
            </w:pPr>
            <w:r w:rsidRPr="00A16798">
              <w:rPr>
                <w:rFonts w:ascii="Times New Roman" w:hAnsi="Times New Roman" w:cs="Times New Roman"/>
                <w:iCs/>
                <w:sz w:val="17"/>
                <w:szCs w:val="17"/>
                <w:lang w:val="en-US"/>
              </w:rPr>
              <w:t>UNFPA</w:t>
            </w:r>
          </w:p>
          <w:p w14:paraId="4ED39A80" w14:textId="77777777" w:rsidR="00B548DD" w:rsidRPr="00A16798" w:rsidRDefault="00B548DD" w:rsidP="00FD6992">
            <w:pPr>
              <w:pStyle w:val="Default"/>
              <w:rPr>
                <w:rFonts w:ascii="Times New Roman" w:hAnsi="Times New Roman" w:cs="Times New Roman"/>
                <w:iCs/>
                <w:sz w:val="17"/>
                <w:szCs w:val="17"/>
                <w:lang w:val="en-US"/>
              </w:rPr>
            </w:pPr>
            <w:r w:rsidRPr="00A16798">
              <w:rPr>
                <w:rFonts w:ascii="Times New Roman" w:hAnsi="Times New Roman" w:cs="Times New Roman"/>
                <w:iCs/>
                <w:sz w:val="17"/>
                <w:szCs w:val="17"/>
                <w:lang w:val="en-US"/>
              </w:rPr>
              <w:t>UNICEF</w:t>
            </w:r>
          </w:p>
          <w:p w14:paraId="26DAF7CB" w14:textId="77777777" w:rsidR="00B548DD" w:rsidRPr="00A16798" w:rsidRDefault="00B548DD" w:rsidP="00FD6992">
            <w:pPr>
              <w:pStyle w:val="Default"/>
              <w:rPr>
                <w:rFonts w:ascii="Times New Roman" w:hAnsi="Times New Roman" w:cs="Times New Roman"/>
                <w:iCs/>
                <w:sz w:val="17"/>
                <w:szCs w:val="17"/>
                <w:lang w:val="en-US"/>
              </w:rPr>
            </w:pPr>
            <w:r w:rsidRPr="00A16798">
              <w:rPr>
                <w:rFonts w:ascii="Times New Roman" w:hAnsi="Times New Roman" w:cs="Times New Roman"/>
                <w:iCs/>
                <w:sz w:val="17"/>
                <w:szCs w:val="17"/>
                <w:lang w:val="en-US"/>
              </w:rPr>
              <w:t xml:space="preserve">Portugal </w:t>
            </w:r>
          </w:p>
          <w:p w14:paraId="3960F1AD" w14:textId="77777777" w:rsidR="007547EF" w:rsidRPr="00A16798" w:rsidRDefault="007547EF" w:rsidP="00FD6992">
            <w:pPr>
              <w:pStyle w:val="Default"/>
              <w:rPr>
                <w:rFonts w:ascii="Times New Roman" w:hAnsi="Times New Roman" w:cs="Times New Roman"/>
                <w:iCs/>
                <w:sz w:val="17"/>
                <w:szCs w:val="17"/>
                <w:lang w:val="en-US"/>
              </w:rPr>
            </w:pPr>
          </w:p>
          <w:p w14:paraId="572445E6" w14:textId="77777777" w:rsidR="007547EF" w:rsidRPr="00A16798" w:rsidRDefault="00270F54" w:rsidP="00FD6992">
            <w:pPr>
              <w:pStyle w:val="Default"/>
              <w:rPr>
                <w:rFonts w:ascii="Times New Roman" w:hAnsi="Times New Roman" w:cs="Times New Roman"/>
                <w:iCs/>
                <w:sz w:val="17"/>
                <w:szCs w:val="17"/>
                <w:lang w:val="en-US"/>
              </w:rPr>
            </w:pPr>
            <w:r w:rsidRPr="00A16798">
              <w:rPr>
                <w:rFonts w:ascii="Times New Roman" w:hAnsi="Times New Roman" w:cs="Times New Roman"/>
                <w:iCs/>
                <w:sz w:val="17"/>
                <w:szCs w:val="17"/>
                <w:lang w:val="en-US"/>
              </w:rPr>
              <w:t xml:space="preserve">South-South </w:t>
            </w:r>
            <w:r w:rsidR="00D42BEA">
              <w:rPr>
                <w:rFonts w:ascii="Times New Roman" w:hAnsi="Times New Roman" w:cs="Times New Roman"/>
                <w:iCs/>
                <w:sz w:val="17"/>
                <w:szCs w:val="17"/>
                <w:lang w:val="en-US"/>
              </w:rPr>
              <w:t>p</w:t>
            </w:r>
            <w:r w:rsidRPr="00A16798">
              <w:rPr>
                <w:rFonts w:ascii="Times New Roman" w:hAnsi="Times New Roman" w:cs="Times New Roman"/>
                <w:iCs/>
                <w:sz w:val="17"/>
                <w:szCs w:val="17"/>
                <w:lang w:val="en-US"/>
              </w:rPr>
              <w:t xml:space="preserve">artnerships </w:t>
            </w:r>
          </w:p>
          <w:p w14:paraId="259A7068" w14:textId="77777777" w:rsidR="00B548DD" w:rsidRPr="00F91EDF" w:rsidRDefault="00B548DD" w:rsidP="00FD6992">
            <w:pPr>
              <w:pStyle w:val="Default"/>
              <w:rPr>
                <w:rFonts w:ascii="Times New Roman" w:hAnsi="Times New Roman" w:cs="Times New Roman"/>
                <w:iCs/>
                <w:sz w:val="17"/>
                <w:szCs w:val="17"/>
                <w:lang w:val="en-US"/>
              </w:rPr>
            </w:pPr>
            <w:r w:rsidRPr="00F91EDF">
              <w:rPr>
                <w:rFonts w:ascii="Times New Roman" w:hAnsi="Times New Roman" w:cs="Times New Roman"/>
                <w:iCs/>
                <w:sz w:val="17"/>
                <w:szCs w:val="17"/>
                <w:lang w:val="en-US"/>
              </w:rPr>
              <w:t>Brazil</w:t>
            </w:r>
          </w:p>
          <w:p w14:paraId="30D7162E" w14:textId="77777777" w:rsidR="00B548DD" w:rsidRPr="00A16798" w:rsidRDefault="00B548DD" w:rsidP="00FD6992">
            <w:pPr>
              <w:pStyle w:val="Default"/>
              <w:rPr>
                <w:rFonts w:ascii="Times New Roman" w:hAnsi="Times New Roman" w:cs="Times New Roman"/>
                <w:iCs/>
                <w:sz w:val="17"/>
                <w:szCs w:val="17"/>
                <w:lang w:val="en-US"/>
              </w:rPr>
            </w:pPr>
            <w:r w:rsidRPr="00F91EDF">
              <w:rPr>
                <w:rFonts w:ascii="Times New Roman" w:hAnsi="Times New Roman" w:cs="Times New Roman"/>
                <w:iCs/>
                <w:sz w:val="17"/>
                <w:szCs w:val="17"/>
                <w:lang w:val="en-US"/>
              </w:rPr>
              <w:t>Angola</w:t>
            </w:r>
          </w:p>
        </w:tc>
        <w:tc>
          <w:tcPr>
            <w:tcW w:w="564" w:type="pct"/>
            <w:tcBorders>
              <w:left w:val="single" w:sz="4" w:space="0" w:color="auto"/>
              <w:bottom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67AB8BB" w14:textId="77777777" w:rsidR="00B548DD" w:rsidRPr="00A16798" w:rsidRDefault="00B548DD" w:rsidP="00FD6992">
            <w:pPr>
              <w:rPr>
                <w:b/>
                <w:color w:val="000000"/>
                <w:sz w:val="17"/>
                <w:szCs w:val="17"/>
              </w:rPr>
            </w:pPr>
            <w:r w:rsidRPr="00A16798">
              <w:rPr>
                <w:b/>
                <w:color w:val="000000"/>
                <w:sz w:val="17"/>
                <w:szCs w:val="17"/>
              </w:rPr>
              <w:t>Regular</w:t>
            </w:r>
            <w:r w:rsidR="00512B8F" w:rsidRPr="00A16798">
              <w:rPr>
                <w:b/>
                <w:color w:val="000000"/>
                <w:sz w:val="17"/>
                <w:szCs w:val="17"/>
              </w:rPr>
              <w:t>:</w:t>
            </w:r>
            <w:r w:rsidRPr="00A16798">
              <w:rPr>
                <w:b/>
                <w:color w:val="000000"/>
                <w:sz w:val="17"/>
                <w:szCs w:val="17"/>
              </w:rPr>
              <w:t xml:space="preserve"> </w:t>
            </w:r>
            <w:r w:rsidR="00052E2A" w:rsidRPr="00A16798">
              <w:rPr>
                <w:b/>
                <w:color w:val="000000"/>
                <w:sz w:val="17"/>
                <w:szCs w:val="17"/>
              </w:rPr>
              <w:t>250,000</w:t>
            </w:r>
          </w:p>
          <w:p w14:paraId="6D0DA57D" w14:textId="77777777" w:rsidR="00826491" w:rsidRPr="00A16798" w:rsidRDefault="00826491" w:rsidP="00FD6992">
            <w:pPr>
              <w:rPr>
                <w:b/>
                <w:color w:val="000000"/>
                <w:sz w:val="17"/>
                <w:szCs w:val="17"/>
              </w:rPr>
            </w:pPr>
          </w:p>
          <w:p w14:paraId="3F929828" w14:textId="2428BFB2" w:rsidR="00B548DD" w:rsidRPr="00A16798" w:rsidRDefault="00B548DD" w:rsidP="00FD6992">
            <w:pPr>
              <w:rPr>
                <w:b/>
                <w:color w:val="000000"/>
                <w:sz w:val="17"/>
                <w:szCs w:val="17"/>
              </w:rPr>
            </w:pPr>
            <w:r w:rsidRPr="00A16798">
              <w:rPr>
                <w:b/>
                <w:color w:val="000000"/>
                <w:sz w:val="17"/>
                <w:szCs w:val="17"/>
              </w:rPr>
              <w:t>Other</w:t>
            </w:r>
            <w:r w:rsidR="00512B8F" w:rsidRPr="00A16798">
              <w:rPr>
                <w:b/>
                <w:color w:val="000000"/>
                <w:sz w:val="17"/>
                <w:szCs w:val="17"/>
              </w:rPr>
              <w:t>:</w:t>
            </w:r>
            <w:r w:rsidR="00826491" w:rsidRPr="00A16798">
              <w:rPr>
                <w:b/>
                <w:color w:val="000000"/>
                <w:sz w:val="17"/>
                <w:szCs w:val="17"/>
              </w:rPr>
              <w:t xml:space="preserve"> </w:t>
            </w:r>
            <w:r w:rsidR="00CD7271">
              <w:rPr>
                <w:b/>
                <w:color w:val="000000"/>
                <w:sz w:val="17"/>
                <w:szCs w:val="17"/>
              </w:rPr>
              <w:t>3,644,000</w:t>
            </w:r>
          </w:p>
          <w:p w14:paraId="75E41829" w14:textId="77777777" w:rsidR="00B548DD" w:rsidRPr="00A16798" w:rsidRDefault="00B548DD" w:rsidP="00FD6992">
            <w:pPr>
              <w:rPr>
                <w:b/>
                <w:color w:val="000000"/>
                <w:sz w:val="17"/>
                <w:szCs w:val="17"/>
              </w:rPr>
            </w:pPr>
          </w:p>
        </w:tc>
      </w:tr>
    </w:tbl>
    <w:p w14:paraId="7B8FE2BB" w14:textId="77777777" w:rsidR="00FC386D" w:rsidRDefault="00FC386D">
      <w:r>
        <w:br w:type="page"/>
      </w:r>
    </w:p>
    <w:tbl>
      <w:tblPr>
        <w:tblW w:w="56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1794"/>
        <w:gridCol w:w="2789"/>
        <w:gridCol w:w="6662"/>
        <w:gridCol w:w="2336"/>
        <w:gridCol w:w="6"/>
        <w:gridCol w:w="1721"/>
      </w:tblGrid>
      <w:tr w:rsidR="00B548DD" w:rsidRPr="00A16798" w14:paraId="19BF1A4A" w14:textId="77777777" w:rsidTr="00322FDC">
        <w:trPr>
          <w:jc w:val="center"/>
        </w:trPr>
        <w:tc>
          <w:tcPr>
            <w:tcW w:w="5000" w:type="pct"/>
            <w:gridSpan w:val="6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778F3F" w14:textId="732207BD" w:rsidR="00B548DD" w:rsidRPr="00A16798" w:rsidRDefault="00B548DD" w:rsidP="00FD6992">
            <w:pPr>
              <w:rPr>
                <w:b/>
                <w:color w:val="000000"/>
                <w:sz w:val="17"/>
                <w:szCs w:val="17"/>
              </w:rPr>
            </w:pPr>
            <w:r w:rsidRPr="00A16798">
              <w:rPr>
                <w:b/>
                <w:bCs/>
                <w:color w:val="000000"/>
                <w:sz w:val="17"/>
                <w:szCs w:val="17"/>
              </w:rPr>
              <w:lastRenderedPageBreak/>
              <w:t xml:space="preserve">NATIONAL PRIORITY OR GOAL: </w:t>
            </w:r>
            <w:r w:rsidR="002E5472" w:rsidRPr="00A16798">
              <w:rPr>
                <w:b/>
                <w:bCs/>
                <w:sz w:val="17"/>
                <w:szCs w:val="17"/>
              </w:rPr>
              <w:t>Strengthen social cohesion</w:t>
            </w:r>
            <w:r w:rsidRPr="00A16798">
              <w:rPr>
                <w:b/>
                <w:bCs/>
                <w:sz w:val="17"/>
                <w:szCs w:val="17"/>
              </w:rPr>
              <w:t xml:space="preserve"> and the internal and external credibility of the country</w:t>
            </w:r>
          </w:p>
        </w:tc>
      </w:tr>
      <w:tr w:rsidR="00B548DD" w:rsidRPr="00A16798" w14:paraId="2D3AAFA1" w14:textId="77777777" w:rsidTr="00322FDC">
        <w:trPr>
          <w:jc w:val="center"/>
        </w:trPr>
        <w:tc>
          <w:tcPr>
            <w:tcW w:w="5000" w:type="pct"/>
            <w:gridSpan w:val="6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360376A" w14:textId="77777777" w:rsidR="00B548DD" w:rsidRPr="00A16798" w:rsidRDefault="00B548DD" w:rsidP="00D97453">
            <w:pPr>
              <w:autoSpaceDE w:val="0"/>
              <w:autoSpaceDN w:val="0"/>
              <w:adjustRightInd w:val="0"/>
              <w:rPr>
                <w:b/>
                <w:sz w:val="17"/>
                <w:szCs w:val="17"/>
              </w:rPr>
            </w:pPr>
            <w:r w:rsidRPr="00A16798">
              <w:rPr>
                <w:b/>
                <w:bCs/>
                <w:color w:val="000000"/>
                <w:sz w:val="17"/>
                <w:szCs w:val="17"/>
              </w:rPr>
              <w:t xml:space="preserve">UNDAF </w:t>
            </w:r>
            <w:r w:rsidR="00552489" w:rsidRPr="00A16798">
              <w:rPr>
                <w:b/>
                <w:bCs/>
                <w:color w:val="000000"/>
                <w:sz w:val="17"/>
                <w:szCs w:val="17"/>
              </w:rPr>
              <w:t>OUTCOME</w:t>
            </w:r>
            <w:r w:rsidRPr="00A16798">
              <w:rPr>
                <w:b/>
                <w:bCs/>
                <w:color w:val="000000"/>
                <w:sz w:val="17"/>
                <w:szCs w:val="17"/>
              </w:rPr>
              <w:t xml:space="preserve">: </w:t>
            </w:r>
            <w:r w:rsidRPr="00A16798">
              <w:rPr>
                <w:b/>
                <w:sz w:val="17"/>
                <w:szCs w:val="17"/>
              </w:rPr>
              <w:t>The central, local and public administration and the control institutions are more effective, with a guaranteed citizen participation, in particular among youth and women</w:t>
            </w:r>
          </w:p>
        </w:tc>
      </w:tr>
      <w:tr w:rsidR="00552489" w:rsidRPr="00A16798" w14:paraId="5C5D9C03" w14:textId="77777777" w:rsidTr="00322FDC">
        <w:trPr>
          <w:jc w:val="center"/>
        </w:trPr>
        <w:tc>
          <w:tcPr>
            <w:tcW w:w="5000" w:type="pct"/>
            <w:gridSpan w:val="6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709053" w14:textId="77777777" w:rsidR="00552489" w:rsidRPr="00A16798" w:rsidRDefault="00552489" w:rsidP="00D42BE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7"/>
                <w:szCs w:val="17"/>
              </w:rPr>
            </w:pPr>
            <w:r w:rsidRPr="00A16798">
              <w:rPr>
                <w:b/>
                <w:bCs/>
                <w:color w:val="000000"/>
                <w:sz w:val="17"/>
                <w:szCs w:val="17"/>
              </w:rPr>
              <w:t xml:space="preserve">RELATED STRATEGIC PLAN OUTCOME 2: </w:t>
            </w:r>
            <w:r w:rsidRPr="00A16798">
              <w:rPr>
                <w:b/>
                <w:sz w:val="17"/>
                <w:szCs w:val="17"/>
              </w:rPr>
              <w:t xml:space="preserve">Citizen expectations for </w:t>
            </w:r>
            <w:r w:rsidR="002E5472" w:rsidRPr="00A16798">
              <w:rPr>
                <w:b/>
                <w:sz w:val="17"/>
                <w:szCs w:val="17"/>
              </w:rPr>
              <w:t xml:space="preserve">a </w:t>
            </w:r>
            <w:r w:rsidRPr="00A16798">
              <w:rPr>
                <w:b/>
                <w:sz w:val="17"/>
                <w:szCs w:val="17"/>
              </w:rPr>
              <w:t>voice, development, the rule of law and accountability are met by stronger systems of democratic governance</w:t>
            </w:r>
          </w:p>
        </w:tc>
      </w:tr>
      <w:tr w:rsidR="00B548DD" w:rsidRPr="00A16798" w14:paraId="14FFA1CE" w14:textId="77777777" w:rsidTr="00322FDC">
        <w:trPr>
          <w:jc w:val="center"/>
        </w:trPr>
        <w:tc>
          <w:tcPr>
            <w:tcW w:w="586" w:type="pct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E371375" w14:textId="77777777" w:rsidR="00B548DD" w:rsidRPr="009B2E26" w:rsidRDefault="00B548DD" w:rsidP="00FD6992">
            <w:pPr>
              <w:rPr>
                <w:b/>
                <w:i/>
                <w:sz w:val="17"/>
                <w:szCs w:val="17"/>
              </w:rPr>
            </w:pPr>
            <w:r w:rsidRPr="009B2E26">
              <w:rPr>
                <w:b/>
                <w:bCs/>
                <w:i/>
                <w:color w:val="000000"/>
                <w:sz w:val="17"/>
                <w:szCs w:val="17"/>
              </w:rPr>
              <w:t xml:space="preserve">Indicator: </w:t>
            </w:r>
          </w:p>
          <w:p w14:paraId="71F22659" w14:textId="77777777" w:rsidR="00B548DD" w:rsidRPr="00A16798" w:rsidRDefault="007A1298" w:rsidP="00FD6992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7"/>
                <w:szCs w:val="17"/>
                <w:lang w:val="en-US"/>
              </w:rPr>
              <w:t>Per cent</w:t>
            </w:r>
            <w:r w:rsidR="00B548DD" w:rsidRPr="00A16798">
              <w:rPr>
                <w:rFonts w:ascii="Times New Roman" w:hAnsi="Times New Roman" w:cs="Times New Roman"/>
                <w:color w:val="auto"/>
                <w:sz w:val="17"/>
                <w:szCs w:val="17"/>
                <w:lang w:val="en-US"/>
              </w:rPr>
              <w:t xml:space="preserve"> of Universal Period</w:t>
            </w:r>
            <w:r>
              <w:rPr>
                <w:rFonts w:ascii="Times New Roman" w:hAnsi="Times New Roman" w:cs="Times New Roman"/>
                <w:color w:val="auto"/>
                <w:sz w:val="17"/>
                <w:szCs w:val="17"/>
                <w:lang w:val="en-US"/>
              </w:rPr>
              <w:t>ic</w:t>
            </w:r>
            <w:r w:rsidR="00B548DD" w:rsidRPr="00A16798">
              <w:rPr>
                <w:rFonts w:ascii="Times New Roman" w:hAnsi="Times New Roman" w:cs="Times New Roman"/>
                <w:color w:val="auto"/>
                <w:sz w:val="17"/>
                <w:szCs w:val="17"/>
                <w:lang w:val="en-US"/>
              </w:rPr>
              <w:t xml:space="preserve"> Review recommendations accepted and implemented</w:t>
            </w:r>
          </w:p>
          <w:p w14:paraId="71B62308" w14:textId="77777777" w:rsidR="00B548DD" w:rsidRPr="00A16798" w:rsidRDefault="00B548DD" w:rsidP="00FD6992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  <w:lang w:val="en-US"/>
              </w:rPr>
            </w:pPr>
            <w:r w:rsidRPr="00A16798">
              <w:rPr>
                <w:rFonts w:ascii="Times New Roman" w:hAnsi="Times New Roman" w:cs="Times New Roman"/>
                <w:color w:val="auto"/>
                <w:sz w:val="17"/>
                <w:szCs w:val="17"/>
                <w:lang w:val="en-US"/>
              </w:rPr>
              <w:t>Baseline</w:t>
            </w:r>
            <w:r w:rsidR="007A1298">
              <w:rPr>
                <w:rFonts w:ascii="Times New Roman" w:hAnsi="Times New Roman" w:cs="Times New Roman"/>
                <w:color w:val="auto"/>
                <w:sz w:val="17"/>
                <w:szCs w:val="17"/>
                <w:lang w:val="en-US"/>
              </w:rPr>
              <w:t xml:space="preserve"> (2015)</w:t>
            </w:r>
            <w:r w:rsidRPr="00A16798">
              <w:rPr>
                <w:rFonts w:ascii="Times New Roman" w:hAnsi="Times New Roman" w:cs="Times New Roman"/>
                <w:color w:val="auto"/>
                <w:sz w:val="17"/>
                <w:szCs w:val="17"/>
                <w:lang w:val="en-US"/>
              </w:rPr>
              <w:t>:</w:t>
            </w:r>
            <w:r w:rsidR="007A1298">
              <w:rPr>
                <w:rFonts w:ascii="Times New Roman" w:hAnsi="Times New Roman" w:cs="Times New Roman"/>
                <w:color w:val="auto"/>
                <w:sz w:val="17"/>
                <w:szCs w:val="17"/>
                <w:lang w:val="en-US"/>
              </w:rPr>
              <w:t xml:space="preserve"> </w:t>
            </w:r>
            <w:r w:rsidRPr="00A16798">
              <w:rPr>
                <w:rFonts w:ascii="Times New Roman" w:hAnsi="Times New Roman" w:cs="Times New Roman"/>
                <w:color w:val="auto"/>
                <w:sz w:val="17"/>
                <w:szCs w:val="17"/>
                <w:lang w:val="en-US"/>
              </w:rPr>
              <w:t xml:space="preserve">0% </w:t>
            </w:r>
          </w:p>
          <w:p w14:paraId="736AF01A" w14:textId="77777777" w:rsidR="00B548DD" w:rsidRPr="00A16798" w:rsidRDefault="00B548DD" w:rsidP="00FD6992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  <w:lang w:val="en-US"/>
              </w:rPr>
            </w:pPr>
            <w:r w:rsidRPr="00A16798">
              <w:rPr>
                <w:rFonts w:ascii="Times New Roman" w:hAnsi="Times New Roman" w:cs="Times New Roman"/>
                <w:color w:val="auto"/>
                <w:sz w:val="17"/>
                <w:szCs w:val="17"/>
                <w:lang w:val="en-US"/>
              </w:rPr>
              <w:t>Target</w:t>
            </w:r>
            <w:r w:rsidR="007A1298">
              <w:rPr>
                <w:rFonts w:ascii="Times New Roman" w:hAnsi="Times New Roman" w:cs="Times New Roman"/>
                <w:color w:val="auto"/>
                <w:sz w:val="17"/>
                <w:szCs w:val="17"/>
                <w:lang w:val="en-US"/>
              </w:rPr>
              <w:t xml:space="preserve"> (2021)</w:t>
            </w:r>
            <w:r w:rsidRPr="00A16798">
              <w:rPr>
                <w:rFonts w:ascii="Times New Roman" w:hAnsi="Times New Roman" w:cs="Times New Roman"/>
                <w:color w:val="auto"/>
                <w:sz w:val="17"/>
                <w:szCs w:val="17"/>
                <w:lang w:val="en-US"/>
              </w:rPr>
              <w:t xml:space="preserve">: 50% </w:t>
            </w:r>
          </w:p>
          <w:p w14:paraId="6889FB92" w14:textId="77777777" w:rsidR="00B548DD" w:rsidRPr="00A16798" w:rsidRDefault="00B548DD" w:rsidP="00FD6992">
            <w:pPr>
              <w:pStyle w:val="Default"/>
              <w:rPr>
                <w:rFonts w:ascii="Times New Roman" w:hAnsi="Times New Roman" w:cs="Times New Roman"/>
                <w:color w:val="auto"/>
                <w:sz w:val="17"/>
                <w:szCs w:val="17"/>
                <w:lang w:val="en-US"/>
              </w:rPr>
            </w:pPr>
          </w:p>
          <w:p w14:paraId="1085000F" w14:textId="77777777" w:rsidR="00B548DD" w:rsidRPr="00A16798" w:rsidRDefault="00B548DD" w:rsidP="00FD6992">
            <w:pPr>
              <w:rPr>
                <w:bCs/>
                <w:sz w:val="17"/>
                <w:szCs w:val="17"/>
              </w:rPr>
            </w:pPr>
            <w:r w:rsidRPr="009B2E26">
              <w:rPr>
                <w:b/>
                <w:bCs/>
                <w:i/>
                <w:sz w:val="17"/>
                <w:szCs w:val="17"/>
              </w:rPr>
              <w:t>Indicator:</w:t>
            </w:r>
            <w:r w:rsidRPr="00A16798">
              <w:rPr>
                <w:bCs/>
                <w:sz w:val="17"/>
                <w:szCs w:val="17"/>
              </w:rPr>
              <w:t xml:space="preserve"> Rate of electoral participation</w:t>
            </w:r>
          </w:p>
          <w:p w14:paraId="59600821" w14:textId="77777777" w:rsidR="00B548DD" w:rsidRPr="00A16798" w:rsidRDefault="00B548DD" w:rsidP="00FD6992">
            <w:pPr>
              <w:rPr>
                <w:bCs/>
                <w:sz w:val="17"/>
                <w:szCs w:val="17"/>
              </w:rPr>
            </w:pPr>
            <w:r w:rsidRPr="00A16798">
              <w:rPr>
                <w:bCs/>
                <w:sz w:val="17"/>
                <w:szCs w:val="17"/>
              </w:rPr>
              <w:t>Baseline</w:t>
            </w:r>
            <w:r w:rsidR="007A1298">
              <w:rPr>
                <w:bCs/>
                <w:sz w:val="17"/>
                <w:szCs w:val="17"/>
              </w:rPr>
              <w:t xml:space="preserve"> (2014)</w:t>
            </w:r>
            <w:r w:rsidRPr="00A16798">
              <w:rPr>
                <w:bCs/>
                <w:sz w:val="17"/>
                <w:szCs w:val="17"/>
              </w:rPr>
              <w:t>:</w:t>
            </w:r>
            <w:r w:rsidR="00EC6750" w:rsidRPr="00A16798">
              <w:rPr>
                <w:bCs/>
                <w:sz w:val="17"/>
                <w:szCs w:val="17"/>
              </w:rPr>
              <w:t xml:space="preserve"> 70%</w:t>
            </w:r>
          </w:p>
          <w:p w14:paraId="5424BB2B" w14:textId="77777777" w:rsidR="00B548DD" w:rsidRPr="00A16798" w:rsidRDefault="00B548DD" w:rsidP="00FD6992">
            <w:pPr>
              <w:rPr>
                <w:bCs/>
                <w:sz w:val="17"/>
                <w:szCs w:val="17"/>
              </w:rPr>
            </w:pPr>
            <w:r w:rsidRPr="00A16798">
              <w:rPr>
                <w:bCs/>
                <w:sz w:val="17"/>
                <w:szCs w:val="17"/>
              </w:rPr>
              <w:t>Target</w:t>
            </w:r>
            <w:r w:rsidR="007A1298">
              <w:rPr>
                <w:bCs/>
                <w:sz w:val="17"/>
                <w:szCs w:val="17"/>
              </w:rPr>
              <w:t xml:space="preserve"> (2021)</w:t>
            </w:r>
            <w:r w:rsidRPr="00A16798">
              <w:rPr>
                <w:bCs/>
                <w:sz w:val="17"/>
                <w:szCs w:val="17"/>
              </w:rPr>
              <w:t>:</w:t>
            </w:r>
            <w:r w:rsidR="00EC6750" w:rsidRPr="00A16798">
              <w:rPr>
                <w:bCs/>
                <w:sz w:val="17"/>
                <w:szCs w:val="17"/>
              </w:rPr>
              <w:t xml:space="preserve"> 90%</w:t>
            </w:r>
          </w:p>
          <w:p w14:paraId="202D5104" w14:textId="77777777" w:rsidR="007A41FB" w:rsidRPr="00A16798" w:rsidRDefault="007A41FB" w:rsidP="00FD6992">
            <w:pPr>
              <w:rPr>
                <w:bCs/>
                <w:color w:val="000000"/>
                <w:sz w:val="17"/>
                <w:szCs w:val="17"/>
                <w:u w:val="single"/>
              </w:rPr>
            </w:pPr>
          </w:p>
          <w:p w14:paraId="0589CB9E" w14:textId="77777777" w:rsidR="00250B59" w:rsidRPr="00A16798" w:rsidRDefault="00250B59" w:rsidP="00FD6992">
            <w:pPr>
              <w:rPr>
                <w:bCs/>
                <w:color w:val="000000"/>
                <w:sz w:val="17"/>
                <w:szCs w:val="17"/>
                <w:u w:val="single"/>
              </w:rPr>
            </w:pPr>
          </w:p>
          <w:p w14:paraId="1255129D" w14:textId="77777777" w:rsidR="00B548DD" w:rsidRPr="009B2E26" w:rsidRDefault="00B548DD" w:rsidP="00FD6992">
            <w:pPr>
              <w:rPr>
                <w:b/>
                <w:bCs/>
                <w:i/>
                <w:color w:val="000000"/>
                <w:sz w:val="17"/>
                <w:szCs w:val="17"/>
              </w:rPr>
            </w:pPr>
            <w:r w:rsidRPr="009B2E26">
              <w:rPr>
                <w:b/>
                <w:bCs/>
                <w:i/>
                <w:color w:val="000000"/>
                <w:sz w:val="17"/>
                <w:szCs w:val="17"/>
              </w:rPr>
              <w:t>Indicator:</w:t>
            </w:r>
          </w:p>
          <w:p w14:paraId="64B7DCF0" w14:textId="77777777" w:rsidR="00B548DD" w:rsidRPr="00A16798" w:rsidRDefault="00B548DD" w:rsidP="00FD6992">
            <w:pPr>
              <w:rPr>
                <w:bCs/>
                <w:color w:val="000000"/>
                <w:sz w:val="17"/>
                <w:szCs w:val="17"/>
              </w:rPr>
            </w:pPr>
            <w:r w:rsidRPr="00A16798">
              <w:rPr>
                <w:bCs/>
                <w:color w:val="000000"/>
                <w:sz w:val="17"/>
                <w:szCs w:val="17"/>
              </w:rPr>
              <w:t>General crime rate:</w:t>
            </w:r>
          </w:p>
          <w:p w14:paraId="7CA3BD19" w14:textId="77777777" w:rsidR="00B548DD" w:rsidRPr="00A16798" w:rsidRDefault="00B548DD" w:rsidP="00FD6992">
            <w:pPr>
              <w:rPr>
                <w:bCs/>
                <w:color w:val="000000"/>
                <w:sz w:val="17"/>
                <w:szCs w:val="17"/>
              </w:rPr>
            </w:pPr>
            <w:r w:rsidRPr="00A16798">
              <w:rPr>
                <w:bCs/>
                <w:color w:val="000000"/>
                <w:sz w:val="17"/>
                <w:szCs w:val="17"/>
              </w:rPr>
              <w:t>Baseline</w:t>
            </w:r>
            <w:r w:rsidR="007A1298">
              <w:rPr>
                <w:bCs/>
                <w:color w:val="000000"/>
                <w:sz w:val="17"/>
                <w:szCs w:val="17"/>
              </w:rPr>
              <w:t xml:space="preserve"> (2014)</w:t>
            </w:r>
            <w:r w:rsidRPr="00A16798">
              <w:rPr>
                <w:bCs/>
                <w:color w:val="000000"/>
                <w:sz w:val="17"/>
                <w:szCs w:val="17"/>
              </w:rPr>
              <w:t xml:space="preserve">: 3.8 </w:t>
            </w:r>
            <w:r w:rsidR="00EC6750" w:rsidRPr="00A16798">
              <w:rPr>
                <w:bCs/>
                <w:color w:val="000000"/>
                <w:sz w:val="17"/>
                <w:szCs w:val="17"/>
              </w:rPr>
              <w:t>per</w:t>
            </w:r>
            <w:r w:rsidRPr="00A16798">
              <w:rPr>
                <w:bCs/>
                <w:color w:val="000000"/>
                <w:sz w:val="17"/>
                <w:szCs w:val="17"/>
              </w:rPr>
              <w:t xml:space="preserve"> 100,000</w:t>
            </w:r>
            <w:r w:rsidR="0023092C" w:rsidRPr="00A16798">
              <w:rPr>
                <w:bCs/>
                <w:color w:val="000000"/>
                <w:sz w:val="17"/>
                <w:szCs w:val="17"/>
              </w:rPr>
              <w:t xml:space="preserve"> </w:t>
            </w:r>
          </w:p>
          <w:p w14:paraId="309A6716" w14:textId="77777777" w:rsidR="00B548DD" w:rsidRPr="00A16798" w:rsidRDefault="00B548DD" w:rsidP="00FD6992">
            <w:pPr>
              <w:rPr>
                <w:bCs/>
                <w:color w:val="000000"/>
                <w:sz w:val="17"/>
                <w:szCs w:val="17"/>
              </w:rPr>
            </w:pPr>
            <w:r w:rsidRPr="00A16798">
              <w:rPr>
                <w:bCs/>
                <w:color w:val="000000"/>
                <w:sz w:val="17"/>
                <w:szCs w:val="17"/>
              </w:rPr>
              <w:t>Target</w:t>
            </w:r>
            <w:r w:rsidR="007A1298">
              <w:rPr>
                <w:bCs/>
                <w:color w:val="000000"/>
                <w:sz w:val="17"/>
                <w:szCs w:val="17"/>
              </w:rPr>
              <w:t xml:space="preserve"> (2021)</w:t>
            </w:r>
            <w:r w:rsidRPr="00A16798">
              <w:rPr>
                <w:bCs/>
                <w:color w:val="000000"/>
                <w:sz w:val="17"/>
                <w:szCs w:val="17"/>
              </w:rPr>
              <w:t xml:space="preserve">: </w:t>
            </w:r>
            <w:r w:rsidR="003D265A" w:rsidRPr="00A16798">
              <w:rPr>
                <w:bCs/>
                <w:color w:val="000000"/>
                <w:sz w:val="17"/>
                <w:szCs w:val="17"/>
              </w:rPr>
              <w:t>1</w:t>
            </w:r>
            <w:r w:rsidR="00E15DA7" w:rsidRPr="00A16798">
              <w:rPr>
                <w:bCs/>
                <w:color w:val="000000"/>
                <w:sz w:val="17"/>
                <w:szCs w:val="17"/>
              </w:rPr>
              <w:t>.5</w:t>
            </w:r>
            <w:r w:rsidRPr="00A16798">
              <w:rPr>
                <w:bCs/>
                <w:color w:val="000000"/>
                <w:sz w:val="17"/>
                <w:szCs w:val="17"/>
              </w:rPr>
              <w:t xml:space="preserve"> </w:t>
            </w:r>
            <w:r w:rsidR="00EC6750" w:rsidRPr="00A16798">
              <w:rPr>
                <w:bCs/>
                <w:color w:val="000000"/>
                <w:sz w:val="17"/>
                <w:szCs w:val="17"/>
              </w:rPr>
              <w:t>per</w:t>
            </w:r>
            <w:r w:rsidRPr="00A16798">
              <w:rPr>
                <w:bCs/>
                <w:color w:val="000000"/>
                <w:sz w:val="17"/>
                <w:szCs w:val="17"/>
              </w:rPr>
              <w:t xml:space="preserve"> 100,000 </w:t>
            </w:r>
          </w:p>
        </w:tc>
        <w:tc>
          <w:tcPr>
            <w:tcW w:w="911" w:type="pct"/>
            <w:vMerge w:val="restart"/>
          </w:tcPr>
          <w:p w14:paraId="2E718C56" w14:textId="77777777" w:rsidR="00B548DD" w:rsidRPr="00A16798" w:rsidRDefault="00B548DD" w:rsidP="00C67F29">
            <w:pPr>
              <w:spacing w:after="120"/>
              <w:rPr>
                <w:color w:val="000000"/>
                <w:sz w:val="17"/>
                <w:szCs w:val="17"/>
              </w:rPr>
            </w:pPr>
            <w:r w:rsidRPr="00A16798">
              <w:rPr>
                <w:color w:val="000000"/>
                <w:sz w:val="17"/>
                <w:szCs w:val="17"/>
              </w:rPr>
              <w:t>Report of Ministry of Justice;</w:t>
            </w:r>
          </w:p>
          <w:p w14:paraId="552194CF" w14:textId="77777777" w:rsidR="00D97453" w:rsidRPr="00A16798" w:rsidRDefault="00D97453" w:rsidP="00C67F29">
            <w:pPr>
              <w:spacing w:after="120"/>
              <w:rPr>
                <w:color w:val="000000"/>
                <w:sz w:val="17"/>
                <w:szCs w:val="17"/>
              </w:rPr>
            </w:pPr>
            <w:r w:rsidRPr="00A16798">
              <w:rPr>
                <w:color w:val="000000"/>
                <w:sz w:val="17"/>
                <w:szCs w:val="17"/>
              </w:rPr>
              <w:t>Frequency: Annual</w:t>
            </w:r>
          </w:p>
          <w:p w14:paraId="0456B3AD" w14:textId="77777777" w:rsidR="00B548DD" w:rsidRPr="00A16798" w:rsidRDefault="00B548DD" w:rsidP="00C67F29">
            <w:pPr>
              <w:spacing w:after="120"/>
              <w:rPr>
                <w:color w:val="000000"/>
                <w:sz w:val="17"/>
                <w:szCs w:val="17"/>
              </w:rPr>
            </w:pPr>
            <w:r w:rsidRPr="00A16798">
              <w:rPr>
                <w:color w:val="000000"/>
                <w:sz w:val="17"/>
                <w:szCs w:val="17"/>
              </w:rPr>
              <w:t xml:space="preserve">Report on progress of implementation of the </w:t>
            </w:r>
            <w:r w:rsidR="00E178B9" w:rsidRPr="00A16798">
              <w:rPr>
                <w:sz w:val="17"/>
                <w:szCs w:val="17"/>
              </w:rPr>
              <w:t>Universal Period</w:t>
            </w:r>
            <w:r w:rsidR="00E178B9">
              <w:rPr>
                <w:sz w:val="17"/>
                <w:szCs w:val="17"/>
              </w:rPr>
              <w:t>ic</w:t>
            </w:r>
            <w:r w:rsidR="00E178B9" w:rsidRPr="00A16798">
              <w:rPr>
                <w:sz w:val="17"/>
                <w:szCs w:val="17"/>
              </w:rPr>
              <w:t xml:space="preserve"> Review</w:t>
            </w:r>
          </w:p>
          <w:p w14:paraId="0D37AB99" w14:textId="77777777" w:rsidR="00D97453" w:rsidRPr="00A16798" w:rsidRDefault="00D97453" w:rsidP="00C67F29">
            <w:pPr>
              <w:spacing w:after="120"/>
              <w:rPr>
                <w:color w:val="000000"/>
                <w:sz w:val="17"/>
                <w:szCs w:val="17"/>
              </w:rPr>
            </w:pPr>
            <w:r w:rsidRPr="00A16798">
              <w:rPr>
                <w:color w:val="000000"/>
                <w:sz w:val="17"/>
                <w:szCs w:val="17"/>
              </w:rPr>
              <w:t>Frequency: Annual</w:t>
            </w:r>
          </w:p>
          <w:p w14:paraId="2BBEC574" w14:textId="77777777" w:rsidR="007A41FB" w:rsidRPr="00A16798" w:rsidRDefault="007A41FB" w:rsidP="00FD6992">
            <w:pPr>
              <w:spacing w:after="120"/>
              <w:ind w:left="360"/>
              <w:rPr>
                <w:color w:val="000000"/>
                <w:sz w:val="17"/>
                <w:szCs w:val="17"/>
              </w:rPr>
            </w:pPr>
          </w:p>
          <w:p w14:paraId="50A9C7CF" w14:textId="77777777" w:rsidR="007A41FB" w:rsidRPr="00A16798" w:rsidRDefault="007A41FB" w:rsidP="00FD6992">
            <w:pPr>
              <w:spacing w:after="120"/>
              <w:ind w:left="360"/>
              <w:rPr>
                <w:color w:val="000000"/>
                <w:sz w:val="17"/>
                <w:szCs w:val="17"/>
              </w:rPr>
            </w:pPr>
          </w:p>
          <w:p w14:paraId="1C6333C8" w14:textId="77777777" w:rsidR="00B548DD" w:rsidRPr="00A16798" w:rsidRDefault="00B548DD" w:rsidP="00C67F29">
            <w:pPr>
              <w:spacing w:after="120"/>
              <w:rPr>
                <w:color w:val="000000"/>
                <w:sz w:val="17"/>
                <w:szCs w:val="17"/>
              </w:rPr>
            </w:pPr>
            <w:r w:rsidRPr="00A16798">
              <w:rPr>
                <w:color w:val="000000"/>
                <w:sz w:val="17"/>
                <w:szCs w:val="17"/>
              </w:rPr>
              <w:t xml:space="preserve">Report of </w:t>
            </w:r>
            <w:r w:rsidR="007A41FB" w:rsidRPr="00A16798">
              <w:rPr>
                <w:color w:val="000000"/>
                <w:sz w:val="17"/>
                <w:szCs w:val="17"/>
              </w:rPr>
              <w:t>Electoral Commission</w:t>
            </w:r>
          </w:p>
          <w:p w14:paraId="24C6427F" w14:textId="77777777" w:rsidR="00250B59" w:rsidRPr="00A16798" w:rsidRDefault="00D97453" w:rsidP="00C67F29">
            <w:pPr>
              <w:spacing w:after="120"/>
              <w:rPr>
                <w:color w:val="000000"/>
                <w:sz w:val="17"/>
                <w:szCs w:val="17"/>
              </w:rPr>
            </w:pPr>
            <w:r w:rsidRPr="00A16798">
              <w:rPr>
                <w:color w:val="000000"/>
                <w:sz w:val="17"/>
                <w:szCs w:val="17"/>
              </w:rPr>
              <w:t>Frequency: Annual</w:t>
            </w:r>
          </w:p>
          <w:p w14:paraId="64F1B682" w14:textId="77777777" w:rsidR="00B548DD" w:rsidRPr="00A16798" w:rsidRDefault="00B548DD" w:rsidP="00C67F29">
            <w:pPr>
              <w:spacing w:after="120"/>
              <w:rPr>
                <w:color w:val="000000"/>
                <w:sz w:val="17"/>
                <w:szCs w:val="17"/>
              </w:rPr>
            </w:pPr>
            <w:r w:rsidRPr="00A16798">
              <w:rPr>
                <w:color w:val="000000"/>
                <w:sz w:val="17"/>
                <w:szCs w:val="17"/>
              </w:rPr>
              <w:t xml:space="preserve">Report of Institute of Gender </w:t>
            </w:r>
          </w:p>
          <w:p w14:paraId="27F39828" w14:textId="77777777" w:rsidR="00C67F29" w:rsidRPr="00A16798" w:rsidRDefault="00D97453" w:rsidP="00C67F29">
            <w:pPr>
              <w:spacing w:after="120"/>
              <w:rPr>
                <w:color w:val="000000"/>
                <w:sz w:val="17"/>
                <w:szCs w:val="17"/>
              </w:rPr>
            </w:pPr>
            <w:r w:rsidRPr="00A16798">
              <w:rPr>
                <w:color w:val="000000"/>
                <w:sz w:val="17"/>
                <w:szCs w:val="17"/>
              </w:rPr>
              <w:t>Frequency: Annual</w:t>
            </w:r>
          </w:p>
          <w:p w14:paraId="472104D5" w14:textId="77777777" w:rsidR="00B548DD" w:rsidRPr="00A16798" w:rsidRDefault="00B548DD" w:rsidP="00C67F29">
            <w:pPr>
              <w:spacing w:after="120"/>
              <w:rPr>
                <w:color w:val="000000"/>
                <w:sz w:val="17"/>
                <w:szCs w:val="17"/>
              </w:rPr>
            </w:pPr>
            <w:r w:rsidRPr="00A16798">
              <w:rPr>
                <w:color w:val="000000"/>
                <w:sz w:val="17"/>
                <w:szCs w:val="17"/>
              </w:rPr>
              <w:t>Report of Courts</w:t>
            </w:r>
          </w:p>
          <w:p w14:paraId="58C33219" w14:textId="77777777" w:rsidR="00D97453" w:rsidRPr="00A16798" w:rsidRDefault="009D2F2D" w:rsidP="00C67F29">
            <w:pPr>
              <w:spacing w:after="120"/>
              <w:rPr>
                <w:i/>
                <w:color w:val="000000"/>
                <w:sz w:val="17"/>
                <w:szCs w:val="17"/>
              </w:rPr>
            </w:pPr>
            <w:r w:rsidRPr="00A16798">
              <w:rPr>
                <w:color w:val="000000"/>
                <w:sz w:val="17"/>
                <w:szCs w:val="17"/>
              </w:rPr>
              <w:t>Frequency</w:t>
            </w:r>
            <w:r w:rsidR="00D97453" w:rsidRPr="00A16798">
              <w:rPr>
                <w:color w:val="000000"/>
                <w:sz w:val="17"/>
                <w:szCs w:val="17"/>
              </w:rPr>
              <w:t>: Annual</w:t>
            </w:r>
          </w:p>
        </w:tc>
        <w:tc>
          <w:tcPr>
            <w:tcW w:w="2176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365D74D" w14:textId="77777777" w:rsidR="0082775F" w:rsidRPr="00A16798" w:rsidRDefault="0082775F" w:rsidP="0082775F">
            <w:pPr>
              <w:rPr>
                <w:sz w:val="17"/>
                <w:szCs w:val="17"/>
              </w:rPr>
            </w:pPr>
            <w:r w:rsidRPr="00A16798">
              <w:rPr>
                <w:b/>
                <w:bCs/>
                <w:sz w:val="17"/>
                <w:szCs w:val="17"/>
                <w:lang w:eastAsia="fr-FR"/>
              </w:rPr>
              <w:t xml:space="preserve">Output 2.1: </w:t>
            </w:r>
            <w:r w:rsidR="00764E4B" w:rsidRPr="00A16798">
              <w:rPr>
                <w:sz w:val="17"/>
                <w:szCs w:val="17"/>
              </w:rPr>
              <w:t xml:space="preserve">The capacities of national institutions at central, regional and local levels are strengthened in terms of control, transparency and mutual </w:t>
            </w:r>
            <w:r w:rsidR="009812C4" w:rsidRPr="00A16798">
              <w:rPr>
                <w:sz w:val="17"/>
                <w:szCs w:val="17"/>
              </w:rPr>
              <w:t>accountability.</w:t>
            </w:r>
          </w:p>
          <w:p w14:paraId="0501863C" w14:textId="77777777" w:rsidR="0082775F" w:rsidRPr="00A16798" w:rsidRDefault="0082775F" w:rsidP="0082775F">
            <w:pPr>
              <w:rPr>
                <w:sz w:val="17"/>
                <w:szCs w:val="17"/>
              </w:rPr>
            </w:pPr>
          </w:p>
          <w:p w14:paraId="2687566F" w14:textId="77777777" w:rsidR="0082775F" w:rsidRPr="00A16798" w:rsidRDefault="0082775F" w:rsidP="0082775F">
            <w:pPr>
              <w:rPr>
                <w:sz w:val="17"/>
                <w:szCs w:val="17"/>
              </w:rPr>
            </w:pPr>
            <w:r w:rsidRPr="009B2E26">
              <w:rPr>
                <w:b/>
                <w:i/>
                <w:iCs/>
                <w:sz w:val="17"/>
                <w:szCs w:val="17"/>
                <w:lang w:eastAsia="fr-FR"/>
              </w:rPr>
              <w:t>Indicator</w:t>
            </w:r>
            <w:r w:rsidRPr="00A16798">
              <w:rPr>
                <w:i/>
                <w:iCs/>
                <w:sz w:val="17"/>
                <w:szCs w:val="17"/>
                <w:lang w:eastAsia="fr-FR"/>
              </w:rPr>
              <w:t xml:space="preserve">: </w:t>
            </w:r>
            <w:r w:rsidR="002F27D3" w:rsidRPr="00A16798">
              <w:rPr>
                <w:iCs/>
                <w:sz w:val="17"/>
                <w:szCs w:val="17"/>
                <w:lang w:eastAsia="fr-FR"/>
              </w:rPr>
              <w:t>Number</w:t>
            </w:r>
            <w:r w:rsidR="009418E9" w:rsidRPr="00A16798">
              <w:rPr>
                <w:i/>
                <w:iCs/>
                <w:sz w:val="17"/>
                <w:szCs w:val="17"/>
                <w:lang w:eastAsia="fr-FR"/>
              </w:rPr>
              <w:t xml:space="preserve"> </w:t>
            </w:r>
            <w:r w:rsidRPr="00A16798">
              <w:rPr>
                <w:sz w:val="17"/>
                <w:szCs w:val="17"/>
              </w:rPr>
              <w:t xml:space="preserve">of </w:t>
            </w:r>
            <w:r w:rsidR="00D42BEA">
              <w:rPr>
                <w:sz w:val="17"/>
                <w:szCs w:val="17"/>
              </w:rPr>
              <w:t>i</w:t>
            </w:r>
            <w:r w:rsidRPr="00A16798">
              <w:rPr>
                <w:sz w:val="17"/>
                <w:szCs w:val="17"/>
              </w:rPr>
              <w:t>ns</w:t>
            </w:r>
            <w:r w:rsidR="007C3923" w:rsidRPr="00A16798">
              <w:rPr>
                <w:sz w:val="17"/>
                <w:szCs w:val="17"/>
              </w:rPr>
              <w:t xml:space="preserve">titutions (Parliament, </w:t>
            </w:r>
            <w:r w:rsidR="00D42BEA">
              <w:rPr>
                <w:sz w:val="17"/>
                <w:szCs w:val="17"/>
              </w:rPr>
              <w:t>c</w:t>
            </w:r>
            <w:r w:rsidR="007C3923" w:rsidRPr="00A16798">
              <w:rPr>
                <w:sz w:val="17"/>
                <w:szCs w:val="17"/>
              </w:rPr>
              <w:t>ourts, E</w:t>
            </w:r>
            <w:r w:rsidRPr="00A16798">
              <w:rPr>
                <w:sz w:val="17"/>
                <w:szCs w:val="17"/>
              </w:rPr>
              <w:t xml:space="preserve">lectoral </w:t>
            </w:r>
            <w:r w:rsidR="007C3923" w:rsidRPr="00A16798">
              <w:rPr>
                <w:sz w:val="17"/>
                <w:szCs w:val="17"/>
              </w:rPr>
              <w:t>C</w:t>
            </w:r>
            <w:r w:rsidR="00F766DD" w:rsidRPr="00A16798">
              <w:rPr>
                <w:sz w:val="17"/>
                <w:szCs w:val="17"/>
              </w:rPr>
              <w:t xml:space="preserve">ommission </w:t>
            </w:r>
            <w:r w:rsidRPr="00A16798">
              <w:rPr>
                <w:sz w:val="17"/>
                <w:szCs w:val="17"/>
              </w:rPr>
              <w:t xml:space="preserve">and </w:t>
            </w:r>
            <w:r w:rsidR="00D42BEA">
              <w:rPr>
                <w:sz w:val="17"/>
                <w:szCs w:val="17"/>
              </w:rPr>
              <w:t>m</w:t>
            </w:r>
            <w:r w:rsidR="009D2F2D" w:rsidRPr="00A16798">
              <w:rPr>
                <w:sz w:val="17"/>
                <w:szCs w:val="17"/>
              </w:rPr>
              <w:t>inistries</w:t>
            </w:r>
            <w:r w:rsidRPr="00A16798">
              <w:rPr>
                <w:sz w:val="17"/>
                <w:szCs w:val="17"/>
              </w:rPr>
              <w:t>)</w:t>
            </w:r>
            <w:r w:rsidR="002F27D3" w:rsidRPr="00A16798">
              <w:rPr>
                <w:sz w:val="17"/>
                <w:szCs w:val="17"/>
              </w:rPr>
              <w:t xml:space="preserve"> strengthened </w:t>
            </w:r>
            <w:r w:rsidR="00D42BEA">
              <w:rPr>
                <w:sz w:val="17"/>
                <w:szCs w:val="17"/>
              </w:rPr>
              <w:t>in terms of</w:t>
            </w:r>
            <w:r w:rsidRPr="00A16798">
              <w:rPr>
                <w:sz w:val="17"/>
                <w:szCs w:val="17"/>
              </w:rPr>
              <w:t xml:space="preserve"> control, transparency and accountability </w:t>
            </w:r>
          </w:p>
          <w:p w14:paraId="310BA15D" w14:textId="77777777" w:rsidR="0082775F" w:rsidRPr="00BF1EB3" w:rsidRDefault="0082775F" w:rsidP="00BF1EB3">
            <w:pPr>
              <w:pStyle w:val="ListParagraph"/>
              <w:numPr>
                <w:ilvl w:val="0"/>
                <w:numId w:val="21"/>
              </w:numPr>
              <w:ind w:left="366" w:hanging="180"/>
              <w:rPr>
                <w:sz w:val="17"/>
                <w:szCs w:val="17"/>
                <w:lang w:eastAsia="fr-FR"/>
              </w:rPr>
            </w:pPr>
            <w:r w:rsidRPr="009B2E26">
              <w:rPr>
                <w:sz w:val="17"/>
                <w:szCs w:val="17"/>
                <w:lang w:eastAsia="fr-FR"/>
              </w:rPr>
              <w:t>Baseline</w:t>
            </w:r>
            <w:r w:rsidR="007A1298">
              <w:rPr>
                <w:sz w:val="17"/>
                <w:szCs w:val="17"/>
                <w:lang w:eastAsia="fr-FR"/>
              </w:rPr>
              <w:t xml:space="preserve"> (2015)</w:t>
            </w:r>
            <w:r w:rsidRPr="00BF1EB3">
              <w:rPr>
                <w:sz w:val="17"/>
                <w:szCs w:val="17"/>
                <w:lang w:eastAsia="fr-FR"/>
              </w:rPr>
              <w:t xml:space="preserve">: </w:t>
            </w:r>
            <w:r w:rsidR="002F27D3" w:rsidRPr="00BF1EB3">
              <w:rPr>
                <w:sz w:val="17"/>
                <w:szCs w:val="17"/>
                <w:lang w:eastAsia="fr-FR"/>
              </w:rPr>
              <w:t>1</w:t>
            </w:r>
            <w:r w:rsidRPr="00BF1EB3">
              <w:rPr>
                <w:sz w:val="17"/>
                <w:szCs w:val="17"/>
                <w:lang w:eastAsia="fr-FR"/>
              </w:rPr>
              <w:t xml:space="preserve"> </w:t>
            </w:r>
          </w:p>
          <w:p w14:paraId="263A39BD" w14:textId="77777777" w:rsidR="0082775F" w:rsidRPr="00BF1EB3" w:rsidRDefault="0082775F" w:rsidP="00BF1EB3">
            <w:pPr>
              <w:pStyle w:val="ListParagraph"/>
              <w:numPr>
                <w:ilvl w:val="0"/>
                <w:numId w:val="21"/>
              </w:numPr>
              <w:ind w:left="366" w:hanging="180"/>
              <w:rPr>
                <w:sz w:val="17"/>
                <w:szCs w:val="17"/>
                <w:lang w:eastAsia="fr-FR"/>
              </w:rPr>
            </w:pPr>
            <w:r w:rsidRPr="009B2E26">
              <w:rPr>
                <w:iCs/>
                <w:sz w:val="17"/>
                <w:szCs w:val="17"/>
                <w:lang w:eastAsia="fr-FR"/>
              </w:rPr>
              <w:t>Target</w:t>
            </w:r>
            <w:r w:rsidR="007A1298">
              <w:rPr>
                <w:iCs/>
                <w:sz w:val="17"/>
                <w:szCs w:val="17"/>
                <w:lang w:eastAsia="fr-FR"/>
              </w:rPr>
              <w:t xml:space="preserve"> (2021)</w:t>
            </w:r>
            <w:r w:rsidRPr="009B2E26">
              <w:rPr>
                <w:iCs/>
                <w:sz w:val="17"/>
                <w:szCs w:val="17"/>
                <w:lang w:eastAsia="fr-FR"/>
              </w:rPr>
              <w:t xml:space="preserve">: </w:t>
            </w:r>
            <w:r w:rsidR="002F27D3" w:rsidRPr="00BF1EB3">
              <w:rPr>
                <w:iCs/>
                <w:sz w:val="17"/>
                <w:szCs w:val="17"/>
                <w:lang w:eastAsia="fr-FR"/>
              </w:rPr>
              <w:t>4</w:t>
            </w:r>
            <w:r w:rsidRPr="00BF1EB3">
              <w:rPr>
                <w:iCs/>
                <w:sz w:val="17"/>
                <w:szCs w:val="17"/>
                <w:lang w:eastAsia="fr-FR"/>
              </w:rPr>
              <w:t xml:space="preserve"> </w:t>
            </w:r>
          </w:p>
          <w:p w14:paraId="22C5D00B" w14:textId="77777777" w:rsidR="0082775F" w:rsidRPr="00BF1EB3" w:rsidRDefault="0082775F" w:rsidP="00BF1EB3">
            <w:pPr>
              <w:pStyle w:val="ListParagraph"/>
              <w:numPr>
                <w:ilvl w:val="0"/>
                <w:numId w:val="21"/>
              </w:numPr>
              <w:ind w:left="366" w:hanging="180"/>
              <w:rPr>
                <w:sz w:val="17"/>
                <w:szCs w:val="17"/>
                <w:lang w:eastAsia="fr-FR"/>
              </w:rPr>
            </w:pPr>
            <w:r w:rsidRPr="009B2E26">
              <w:rPr>
                <w:iCs/>
                <w:sz w:val="17"/>
                <w:szCs w:val="17"/>
                <w:lang w:eastAsia="fr-FR"/>
              </w:rPr>
              <w:t>Sources</w:t>
            </w:r>
            <w:r w:rsidRPr="00BF1EB3">
              <w:rPr>
                <w:sz w:val="17"/>
                <w:szCs w:val="17"/>
                <w:lang w:eastAsia="fr-FR"/>
              </w:rPr>
              <w:t>: Ministries, Parliament and</w:t>
            </w:r>
            <w:r w:rsidR="00D42BEA" w:rsidRPr="00BF1EB3">
              <w:rPr>
                <w:sz w:val="17"/>
                <w:szCs w:val="17"/>
                <w:lang w:eastAsia="fr-FR"/>
              </w:rPr>
              <w:t xml:space="preserve"> c</w:t>
            </w:r>
            <w:r w:rsidRPr="00BF1EB3">
              <w:rPr>
                <w:sz w:val="17"/>
                <w:szCs w:val="17"/>
                <w:lang w:eastAsia="fr-FR"/>
              </w:rPr>
              <w:t xml:space="preserve">ourt reports </w:t>
            </w:r>
          </w:p>
          <w:p w14:paraId="19CAFB4F" w14:textId="77777777" w:rsidR="002F27D3" w:rsidRPr="00BF1EB3" w:rsidRDefault="002F27D3" w:rsidP="00BF1EB3">
            <w:pPr>
              <w:pStyle w:val="ListParagraph"/>
              <w:numPr>
                <w:ilvl w:val="0"/>
                <w:numId w:val="21"/>
              </w:numPr>
              <w:ind w:left="366" w:hanging="180"/>
              <w:rPr>
                <w:sz w:val="17"/>
                <w:szCs w:val="17"/>
                <w:lang w:eastAsia="fr-FR"/>
              </w:rPr>
            </w:pPr>
            <w:r w:rsidRPr="009B2E26">
              <w:rPr>
                <w:iCs/>
                <w:sz w:val="17"/>
                <w:szCs w:val="17"/>
                <w:lang w:eastAsia="fr-FR"/>
              </w:rPr>
              <w:t>Frequency</w:t>
            </w:r>
            <w:r w:rsidRPr="00BF1EB3">
              <w:rPr>
                <w:sz w:val="17"/>
                <w:szCs w:val="17"/>
                <w:lang w:eastAsia="fr-FR"/>
              </w:rPr>
              <w:t>: Annual</w:t>
            </w:r>
          </w:p>
          <w:p w14:paraId="1B17B9DA" w14:textId="77777777" w:rsidR="0082775F" w:rsidRPr="00186B0F" w:rsidRDefault="0082775F" w:rsidP="00BF1EB3">
            <w:pPr>
              <w:ind w:left="366" w:hanging="180"/>
              <w:rPr>
                <w:sz w:val="17"/>
                <w:szCs w:val="17"/>
                <w:lang w:eastAsia="fr-FR"/>
              </w:rPr>
            </w:pPr>
          </w:p>
          <w:p w14:paraId="7841A3DA" w14:textId="77777777" w:rsidR="002C4C14" w:rsidRPr="00A16798" w:rsidRDefault="0082775F" w:rsidP="00913E55">
            <w:pPr>
              <w:rPr>
                <w:iCs/>
                <w:sz w:val="17"/>
                <w:szCs w:val="17"/>
                <w:lang w:eastAsia="fr-FR"/>
              </w:rPr>
            </w:pPr>
            <w:r w:rsidRPr="009B2E26">
              <w:rPr>
                <w:b/>
                <w:i/>
                <w:iCs/>
                <w:sz w:val="17"/>
                <w:szCs w:val="17"/>
                <w:lang w:eastAsia="fr-FR"/>
              </w:rPr>
              <w:t>Indicator</w:t>
            </w:r>
            <w:r w:rsidRPr="009B2E26">
              <w:rPr>
                <w:i/>
                <w:iCs/>
                <w:sz w:val="17"/>
                <w:szCs w:val="17"/>
                <w:lang w:eastAsia="fr-FR"/>
              </w:rPr>
              <w:t>:</w:t>
            </w:r>
            <w:r w:rsidRPr="00A16798">
              <w:rPr>
                <w:iCs/>
                <w:sz w:val="17"/>
                <w:szCs w:val="17"/>
                <w:lang w:eastAsia="fr-FR"/>
              </w:rPr>
              <w:t xml:space="preserve"> </w:t>
            </w:r>
            <w:r w:rsidR="00BC4B18" w:rsidRPr="00A16798">
              <w:rPr>
                <w:iCs/>
                <w:sz w:val="17"/>
                <w:szCs w:val="17"/>
                <w:lang w:eastAsia="fr-FR"/>
              </w:rPr>
              <w:t>P</w:t>
            </w:r>
            <w:r w:rsidRPr="00A16798">
              <w:rPr>
                <w:iCs/>
                <w:sz w:val="17"/>
                <w:szCs w:val="17"/>
                <w:lang w:eastAsia="fr-FR"/>
              </w:rPr>
              <w:t xml:space="preserve">roportion of women to men in </w:t>
            </w:r>
            <w:r w:rsidR="00687AE7" w:rsidRPr="00A16798">
              <w:rPr>
                <w:iCs/>
                <w:sz w:val="17"/>
                <w:szCs w:val="17"/>
                <w:lang w:eastAsia="fr-FR"/>
              </w:rPr>
              <w:t>decision</w:t>
            </w:r>
            <w:r w:rsidR="00D42BEA">
              <w:rPr>
                <w:iCs/>
                <w:sz w:val="17"/>
                <w:szCs w:val="17"/>
                <w:lang w:eastAsia="fr-FR"/>
              </w:rPr>
              <w:t>-</w:t>
            </w:r>
            <w:r w:rsidR="00687AE7" w:rsidRPr="00A16798">
              <w:rPr>
                <w:iCs/>
                <w:sz w:val="17"/>
                <w:szCs w:val="17"/>
                <w:lang w:eastAsia="fr-FR"/>
              </w:rPr>
              <w:t>making body</w:t>
            </w:r>
          </w:p>
          <w:p w14:paraId="0937E33A" w14:textId="77777777" w:rsidR="0082775F" w:rsidRPr="009B2E26" w:rsidRDefault="0082775F" w:rsidP="00BF1EB3">
            <w:pPr>
              <w:pStyle w:val="ListParagraph"/>
              <w:numPr>
                <w:ilvl w:val="0"/>
                <w:numId w:val="31"/>
              </w:numPr>
              <w:ind w:left="366" w:hanging="180"/>
              <w:rPr>
                <w:iCs/>
                <w:color w:val="000000"/>
                <w:sz w:val="17"/>
                <w:szCs w:val="17"/>
              </w:rPr>
            </w:pPr>
            <w:r w:rsidRPr="009B2E26">
              <w:rPr>
                <w:iCs/>
                <w:color w:val="000000"/>
                <w:sz w:val="17"/>
                <w:szCs w:val="17"/>
              </w:rPr>
              <w:t>Baseline</w:t>
            </w:r>
            <w:r w:rsidR="007A1298">
              <w:rPr>
                <w:iCs/>
                <w:color w:val="000000"/>
                <w:sz w:val="17"/>
                <w:szCs w:val="17"/>
              </w:rPr>
              <w:t xml:space="preserve"> (2015)</w:t>
            </w:r>
            <w:r w:rsidRPr="009B2E26">
              <w:rPr>
                <w:iCs/>
                <w:color w:val="000000"/>
                <w:sz w:val="17"/>
                <w:szCs w:val="17"/>
              </w:rPr>
              <w:t xml:space="preserve">: </w:t>
            </w:r>
            <w:r w:rsidRPr="00BF1EB3">
              <w:rPr>
                <w:iCs/>
                <w:color w:val="000000"/>
                <w:sz w:val="17"/>
                <w:szCs w:val="17"/>
              </w:rPr>
              <w:t xml:space="preserve">18% </w:t>
            </w:r>
          </w:p>
          <w:p w14:paraId="4014D374" w14:textId="77777777" w:rsidR="0082775F" w:rsidRPr="009B2E26" w:rsidRDefault="0082775F" w:rsidP="00BF1EB3">
            <w:pPr>
              <w:pStyle w:val="ListParagraph"/>
              <w:numPr>
                <w:ilvl w:val="0"/>
                <w:numId w:val="22"/>
              </w:numPr>
              <w:ind w:left="366" w:hanging="180"/>
              <w:rPr>
                <w:iCs/>
                <w:color w:val="000000"/>
                <w:sz w:val="17"/>
                <w:szCs w:val="17"/>
              </w:rPr>
            </w:pPr>
            <w:r w:rsidRPr="009B2E26">
              <w:rPr>
                <w:iCs/>
                <w:color w:val="000000"/>
                <w:sz w:val="17"/>
                <w:szCs w:val="17"/>
              </w:rPr>
              <w:t>Target</w:t>
            </w:r>
            <w:r w:rsidR="007A1298">
              <w:rPr>
                <w:iCs/>
                <w:color w:val="000000"/>
                <w:sz w:val="17"/>
                <w:szCs w:val="17"/>
              </w:rPr>
              <w:t xml:space="preserve"> </w:t>
            </w:r>
            <w:r w:rsidR="007A1298" w:rsidRPr="00BF1EB3">
              <w:rPr>
                <w:iCs/>
                <w:color w:val="000000"/>
                <w:sz w:val="17"/>
                <w:szCs w:val="17"/>
              </w:rPr>
              <w:t>(2021)</w:t>
            </w:r>
            <w:r w:rsidRPr="009B2E26">
              <w:rPr>
                <w:iCs/>
                <w:color w:val="000000"/>
                <w:sz w:val="17"/>
                <w:szCs w:val="17"/>
              </w:rPr>
              <w:t xml:space="preserve">: </w:t>
            </w:r>
            <w:r w:rsidRPr="00BF1EB3">
              <w:rPr>
                <w:iCs/>
                <w:color w:val="000000"/>
                <w:sz w:val="17"/>
                <w:szCs w:val="17"/>
              </w:rPr>
              <w:t xml:space="preserve">30% </w:t>
            </w:r>
          </w:p>
          <w:p w14:paraId="7A00E97F" w14:textId="56FEA66B" w:rsidR="00B548DD" w:rsidRPr="009B2E26" w:rsidRDefault="007C3923" w:rsidP="00BF1EB3">
            <w:pPr>
              <w:pStyle w:val="ListParagraph"/>
              <w:numPr>
                <w:ilvl w:val="0"/>
                <w:numId w:val="22"/>
              </w:numPr>
              <w:ind w:left="366" w:hanging="180"/>
              <w:rPr>
                <w:iCs/>
                <w:color w:val="000000"/>
                <w:sz w:val="17"/>
                <w:szCs w:val="17"/>
              </w:rPr>
            </w:pPr>
            <w:r w:rsidRPr="009B2E26">
              <w:rPr>
                <w:iCs/>
                <w:color w:val="000000"/>
                <w:sz w:val="17"/>
                <w:szCs w:val="17"/>
              </w:rPr>
              <w:t xml:space="preserve">Sources: </w:t>
            </w:r>
            <w:r w:rsidRPr="00BF1EB3">
              <w:rPr>
                <w:iCs/>
                <w:color w:val="000000"/>
                <w:sz w:val="17"/>
                <w:szCs w:val="17"/>
              </w:rPr>
              <w:t xml:space="preserve">Electoral </w:t>
            </w:r>
            <w:r w:rsidR="00761595">
              <w:rPr>
                <w:iCs/>
                <w:color w:val="000000"/>
                <w:sz w:val="17"/>
                <w:szCs w:val="17"/>
              </w:rPr>
              <w:t>Commission</w:t>
            </w:r>
            <w:r w:rsidR="00761595" w:rsidRPr="00BF1EB3">
              <w:rPr>
                <w:iCs/>
                <w:color w:val="000000"/>
                <w:sz w:val="17"/>
                <w:szCs w:val="17"/>
              </w:rPr>
              <w:t xml:space="preserve"> </w:t>
            </w:r>
            <w:r w:rsidR="0082775F" w:rsidRPr="00BF1EB3">
              <w:rPr>
                <w:iCs/>
                <w:color w:val="000000"/>
                <w:sz w:val="17"/>
                <w:szCs w:val="17"/>
              </w:rPr>
              <w:t xml:space="preserve">and Parliament </w:t>
            </w:r>
            <w:r w:rsidR="00D42BEA" w:rsidRPr="00BF1EB3">
              <w:rPr>
                <w:iCs/>
                <w:color w:val="000000"/>
                <w:sz w:val="17"/>
                <w:szCs w:val="17"/>
              </w:rPr>
              <w:t>r</w:t>
            </w:r>
            <w:r w:rsidR="0082775F" w:rsidRPr="00BF1EB3">
              <w:rPr>
                <w:iCs/>
                <w:color w:val="000000"/>
                <w:sz w:val="17"/>
                <w:szCs w:val="17"/>
              </w:rPr>
              <w:t>eports</w:t>
            </w:r>
          </w:p>
          <w:p w14:paraId="100A9D9B" w14:textId="77777777" w:rsidR="002F27D3" w:rsidRPr="00A16798" w:rsidRDefault="002F27D3" w:rsidP="00BF1EB3">
            <w:pPr>
              <w:pStyle w:val="ListParagraph"/>
              <w:numPr>
                <w:ilvl w:val="0"/>
                <w:numId w:val="22"/>
              </w:numPr>
              <w:ind w:left="366" w:hanging="180"/>
              <w:rPr>
                <w:i/>
                <w:iCs/>
                <w:color w:val="000000"/>
                <w:sz w:val="17"/>
                <w:szCs w:val="17"/>
              </w:rPr>
            </w:pPr>
            <w:r w:rsidRPr="009B2E26">
              <w:rPr>
                <w:iCs/>
                <w:color w:val="000000"/>
                <w:sz w:val="17"/>
                <w:szCs w:val="17"/>
              </w:rPr>
              <w:t xml:space="preserve">Frequency: </w:t>
            </w:r>
            <w:r w:rsidRPr="00BF1EB3">
              <w:rPr>
                <w:iCs/>
                <w:color w:val="000000"/>
                <w:sz w:val="17"/>
                <w:szCs w:val="17"/>
              </w:rPr>
              <w:t>Annual</w:t>
            </w:r>
          </w:p>
        </w:tc>
        <w:tc>
          <w:tcPr>
            <w:tcW w:w="765" w:type="pct"/>
            <w:gridSpan w:val="2"/>
          </w:tcPr>
          <w:p w14:paraId="024D0F84" w14:textId="77777777" w:rsidR="00B548DD" w:rsidRPr="00A16798" w:rsidRDefault="00B548DD" w:rsidP="00FD6992">
            <w:pPr>
              <w:jc w:val="center"/>
              <w:rPr>
                <w:iCs/>
                <w:color w:val="000000"/>
                <w:sz w:val="17"/>
                <w:szCs w:val="17"/>
              </w:rPr>
            </w:pPr>
          </w:p>
          <w:p w14:paraId="6158E403" w14:textId="77777777" w:rsidR="00B548DD" w:rsidRPr="00A16798" w:rsidRDefault="00A457CA" w:rsidP="00A457CA">
            <w:pPr>
              <w:rPr>
                <w:iCs/>
                <w:color w:val="000000"/>
                <w:sz w:val="17"/>
                <w:szCs w:val="17"/>
              </w:rPr>
            </w:pPr>
            <w:r w:rsidRPr="00A16798">
              <w:rPr>
                <w:iCs/>
                <w:color w:val="000000"/>
                <w:sz w:val="17"/>
                <w:szCs w:val="17"/>
              </w:rPr>
              <w:t>Partners / Partnerships:</w:t>
            </w:r>
          </w:p>
          <w:p w14:paraId="2A30359D" w14:textId="77777777" w:rsidR="00B548DD" w:rsidRPr="00A16798" w:rsidRDefault="00B548DD" w:rsidP="00E64B84">
            <w:pPr>
              <w:rPr>
                <w:iCs/>
                <w:color w:val="000000"/>
                <w:sz w:val="17"/>
                <w:szCs w:val="17"/>
              </w:rPr>
            </w:pPr>
            <w:r w:rsidRPr="00A16798">
              <w:rPr>
                <w:iCs/>
                <w:color w:val="000000"/>
                <w:sz w:val="17"/>
                <w:szCs w:val="17"/>
              </w:rPr>
              <w:t>Ministry of Justice</w:t>
            </w:r>
            <w:r w:rsidR="00E64B84">
              <w:rPr>
                <w:iCs/>
                <w:color w:val="000000"/>
                <w:sz w:val="17"/>
                <w:szCs w:val="17"/>
              </w:rPr>
              <w:t>,</w:t>
            </w:r>
            <w:r w:rsidRPr="00A16798">
              <w:rPr>
                <w:iCs/>
                <w:color w:val="000000"/>
                <w:sz w:val="17"/>
                <w:szCs w:val="17"/>
              </w:rPr>
              <w:t xml:space="preserve"> Police Crime Investigation</w:t>
            </w:r>
            <w:r w:rsidR="00E178B9">
              <w:rPr>
                <w:iCs/>
                <w:color w:val="000000"/>
                <w:sz w:val="17"/>
                <w:szCs w:val="17"/>
              </w:rPr>
              <w:t xml:space="preserve"> unit</w:t>
            </w:r>
            <w:r w:rsidRPr="00A16798">
              <w:rPr>
                <w:iCs/>
                <w:color w:val="000000"/>
                <w:sz w:val="17"/>
                <w:szCs w:val="17"/>
              </w:rPr>
              <w:t xml:space="preserve">, </w:t>
            </w:r>
            <w:r w:rsidR="00E64B84">
              <w:rPr>
                <w:iCs/>
                <w:color w:val="000000"/>
                <w:sz w:val="17"/>
                <w:szCs w:val="17"/>
              </w:rPr>
              <w:t>c</w:t>
            </w:r>
            <w:r w:rsidRPr="00A16798">
              <w:rPr>
                <w:iCs/>
                <w:color w:val="000000"/>
                <w:sz w:val="17"/>
                <w:szCs w:val="17"/>
              </w:rPr>
              <w:t>ourts, National Assembly</w:t>
            </w:r>
            <w:r w:rsidR="005826B7" w:rsidRPr="00A16798">
              <w:rPr>
                <w:iCs/>
                <w:color w:val="000000"/>
                <w:sz w:val="17"/>
                <w:szCs w:val="17"/>
              </w:rPr>
              <w:t xml:space="preserve">; South-South </w:t>
            </w:r>
            <w:r w:rsidR="00E64B84">
              <w:rPr>
                <w:iCs/>
                <w:color w:val="000000"/>
                <w:sz w:val="17"/>
                <w:szCs w:val="17"/>
              </w:rPr>
              <w:t>p</w:t>
            </w:r>
            <w:r w:rsidR="005826B7" w:rsidRPr="00A16798">
              <w:rPr>
                <w:iCs/>
                <w:color w:val="000000"/>
                <w:sz w:val="17"/>
                <w:szCs w:val="17"/>
              </w:rPr>
              <w:t>artnerships</w:t>
            </w:r>
            <w:r w:rsidR="00E64B84">
              <w:rPr>
                <w:iCs/>
                <w:color w:val="000000"/>
                <w:sz w:val="17"/>
                <w:szCs w:val="17"/>
              </w:rPr>
              <w:t xml:space="preserve"> </w:t>
            </w:r>
            <w:r w:rsidR="00E64B84" w:rsidRPr="00F91EDF">
              <w:rPr>
                <w:iCs/>
                <w:color w:val="000000"/>
                <w:sz w:val="17"/>
                <w:szCs w:val="17"/>
              </w:rPr>
              <w:t>with</w:t>
            </w:r>
            <w:r w:rsidRPr="00F91EDF">
              <w:rPr>
                <w:iCs/>
                <w:color w:val="000000"/>
                <w:sz w:val="17"/>
                <w:szCs w:val="17"/>
              </w:rPr>
              <w:t xml:space="preserve"> Brazil</w:t>
            </w:r>
            <w:r w:rsidR="00E64B84" w:rsidRPr="00F91EDF">
              <w:rPr>
                <w:iCs/>
                <w:color w:val="000000"/>
                <w:sz w:val="17"/>
                <w:szCs w:val="17"/>
              </w:rPr>
              <w:t xml:space="preserve"> and</w:t>
            </w:r>
            <w:r w:rsidRPr="00F91EDF">
              <w:rPr>
                <w:iCs/>
                <w:color w:val="000000"/>
                <w:sz w:val="17"/>
                <w:szCs w:val="17"/>
              </w:rPr>
              <w:t xml:space="preserve"> Timor-Leste</w:t>
            </w:r>
            <w:r w:rsidR="005826B7" w:rsidRPr="00F91EDF">
              <w:rPr>
                <w:iCs/>
                <w:color w:val="000000"/>
                <w:sz w:val="17"/>
                <w:szCs w:val="17"/>
              </w:rPr>
              <w:t>;</w:t>
            </w:r>
            <w:r w:rsidRPr="00F91EDF">
              <w:rPr>
                <w:iCs/>
                <w:color w:val="000000"/>
                <w:sz w:val="17"/>
                <w:szCs w:val="17"/>
              </w:rPr>
              <w:t xml:space="preserve"> Uni</w:t>
            </w:r>
            <w:r w:rsidRPr="00A16798">
              <w:rPr>
                <w:iCs/>
                <w:color w:val="000000"/>
                <w:sz w:val="17"/>
                <w:szCs w:val="17"/>
              </w:rPr>
              <w:t xml:space="preserve">ted Nations </w:t>
            </w:r>
            <w:r w:rsidR="00E64B84">
              <w:rPr>
                <w:iCs/>
                <w:color w:val="000000"/>
                <w:sz w:val="17"/>
                <w:szCs w:val="17"/>
              </w:rPr>
              <w:t>system</w:t>
            </w:r>
          </w:p>
        </w:tc>
        <w:tc>
          <w:tcPr>
            <w:tcW w:w="562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6858F72" w14:textId="77777777" w:rsidR="00B548DD" w:rsidRPr="00A16798" w:rsidRDefault="00B548DD" w:rsidP="00FD6992">
            <w:pPr>
              <w:rPr>
                <w:b/>
                <w:color w:val="000000"/>
                <w:sz w:val="17"/>
                <w:szCs w:val="17"/>
              </w:rPr>
            </w:pPr>
            <w:r w:rsidRPr="00A16798">
              <w:rPr>
                <w:b/>
                <w:color w:val="000000"/>
                <w:sz w:val="17"/>
                <w:szCs w:val="17"/>
              </w:rPr>
              <w:t>Regular</w:t>
            </w:r>
            <w:r w:rsidR="00826491" w:rsidRPr="00A16798">
              <w:rPr>
                <w:b/>
                <w:color w:val="000000"/>
                <w:sz w:val="17"/>
                <w:szCs w:val="17"/>
              </w:rPr>
              <w:t>:</w:t>
            </w:r>
            <w:r w:rsidRPr="00A16798">
              <w:rPr>
                <w:b/>
                <w:color w:val="000000"/>
                <w:sz w:val="17"/>
                <w:szCs w:val="17"/>
              </w:rPr>
              <w:t xml:space="preserve"> </w:t>
            </w:r>
            <w:r w:rsidR="00C37CC7" w:rsidRPr="00A16798">
              <w:rPr>
                <w:b/>
                <w:color w:val="000000"/>
                <w:sz w:val="17"/>
                <w:szCs w:val="17"/>
              </w:rPr>
              <w:t>2,256,000</w:t>
            </w:r>
          </w:p>
          <w:p w14:paraId="1CDCBFDD" w14:textId="77777777" w:rsidR="00826491" w:rsidRPr="00A16798" w:rsidRDefault="00826491" w:rsidP="00FD6992">
            <w:pPr>
              <w:rPr>
                <w:b/>
                <w:color w:val="000000"/>
                <w:sz w:val="17"/>
                <w:szCs w:val="17"/>
              </w:rPr>
            </w:pPr>
          </w:p>
          <w:p w14:paraId="5BB944A5" w14:textId="0C7A4A0A" w:rsidR="00B548DD" w:rsidRPr="00A16798" w:rsidRDefault="00B548DD" w:rsidP="00FD6992">
            <w:pPr>
              <w:rPr>
                <w:b/>
                <w:color w:val="000000"/>
                <w:sz w:val="17"/>
                <w:szCs w:val="17"/>
              </w:rPr>
            </w:pPr>
            <w:r w:rsidRPr="00A16798">
              <w:rPr>
                <w:b/>
                <w:color w:val="000000"/>
                <w:sz w:val="17"/>
                <w:szCs w:val="17"/>
              </w:rPr>
              <w:t>Other</w:t>
            </w:r>
            <w:r w:rsidR="00826491" w:rsidRPr="00A16798">
              <w:rPr>
                <w:b/>
                <w:color w:val="000000"/>
                <w:sz w:val="17"/>
                <w:szCs w:val="17"/>
              </w:rPr>
              <w:t xml:space="preserve">: </w:t>
            </w:r>
            <w:r w:rsidR="00CD7271">
              <w:rPr>
                <w:b/>
                <w:color w:val="000000"/>
                <w:sz w:val="17"/>
                <w:szCs w:val="17"/>
              </w:rPr>
              <w:t>750</w:t>
            </w:r>
            <w:r w:rsidR="00FE16F1">
              <w:rPr>
                <w:b/>
                <w:color w:val="000000"/>
                <w:sz w:val="17"/>
                <w:szCs w:val="17"/>
              </w:rPr>
              <w:t>,000</w:t>
            </w:r>
          </w:p>
          <w:p w14:paraId="6D8B5318" w14:textId="77777777" w:rsidR="00B548DD" w:rsidRPr="00A16798" w:rsidRDefault="00B548DD" w:rsidP="00512B8F">
            <w:pPr>
              <w:rPr>
                <w:b/>
                <w:color w:val="000000"/>
                <w:sz w:val="17"/>
                <w:szCs w:val="17"/>
              </w:rPr>
            </w:pPr>
          </w:p>
        </w:tc>
      </w:tr>
      <w:tr w:rsidR="00B548DD" w:rsidRPr="00A16798" w14:paraId="7B58D354" w14:textId="77777777" w:rsidTr="00322FDC">
        <w:trPr>
          <w:jc w:val="center"/>
        </w:trPr>
        <w:tc>
          <w:tcPr>
            <w:tcW w:w="586" w:type="pct"/>
            <w:vMerge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EF0679" w14:textId="77777777" w:rsidR="00B548DD" w:rsidRPr="00A16798" w:rsidRDefault="00B548DD" w:rsidP="00FD6992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11" w:type="pct"/>
            <w:vMerge/>
          </w:tcPr>
          <w:p w14:paraId="45D810FF" w14:textId="77777777" w:rsidR="00B548DD" w:rsidRPr="00A16798" w:rsidRDefault="00B548DD" w:rsidP="00FD6992">
            <w:pPr>
              <w:numPr>
                <w:ilvl w:val="0"/>
                <w:numId w:val="1"/>
              </w:numPr>
              <w:spacing w:after="120"/>
              <w:ind w:left="197" w:hanging="142"/>
              <w:rPr>
                <w:i/>
                <w:color w:val="000000"/>
                <w:sz w:val="17"/>
                <w:szCs w:val="17"/>
              </w:rPr>
            </w:pPr>
          </w:p>
        </w:tc>
        <w:tc>
          <w:tcPr>
            <w:tcW w:w="2176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10D397" w14:textId="77777777" w:rsidR="002F27D3" w:rsidRPr="00A16798" w:rsidRDefault="009418E9" w:rsidP="002F27D3">
            <w:pPr>
              <w:jc w:val="both"/>
              <w:rPr>
                <w:i/>
                <w:sz w:val="17"/>
                <w:szCs w:val="17"/>
              </w:rPr>
            </w:pPr>
            <w:r w:rsidRPr="00A16798">
              <w:rPr>
                <w:b/>
                <w:bCs/>
                <w:sz w:val="17"/>
                <w:szCs w:val="17"/>
              </w:rPr>
              <w:t xml:space="preserve">Output 2.2: </w:t>
            </w:r>
            <w:r w:rsidR="002F27D3" w:rsidRPr="009B2E26">
              <w:rPr>
                <w:sz w:val="17"/>
                <w:szCs w:val="17"/>
              </w:rPr>
              <w:t>Capacity of justice and human rights institutions enabled and/or expanded to provide quality services and uphold the rule of law and redress</w:t>
            </w:r>
          </w:p>
          <w:p w14:paraId="5992103C" w14:textId="77777777" w:rsidR="009418E9" w:rsidRPr="00A16798" w:rsidRDefault="009418E9" w:rsidP="009418E9">
            <w:pPr>
              <w:rPr>
                <w:sz w:val="17"/>
                <w:szCs w:val="17"/>
              </w:rPr>
            </w:pPr>
          </w:p>
          <w:p w14:paraId="5385B978" w14:textId="77777777" w:rsidR="009418E9" w:rsidRPr="00A16798" w:rsidRDefault="009418E9" w:rsidP="009418E9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B2E26">
              <w:rPr>
                <w:b/>
                <w:bCs/>
                <w:i/>
                <w:sz w:val="17"/>
                <w:szCs w:val="17"/>
              </w:rPr>
              <w:t>Indicator:</w:t>
            </w:r>
            <w:r w:rsidRPr="00A16798">
              <w:rPr>
                <w:bCs/>
                <w:i/>
                <w:sz w:val="17"/>
                <w:szCs w:val="17"/>
              </w:rPr>
              <w:t xml:space="preserve">  </w:t>
            </w:r>
            <w:r w:rsidRPr="00A16798">
              <w:rPr>
                <w:sz w:val="17"/>
                <w:szCs w:val="17"/>
              </w:rPr>
              <w:t xml:space="preserve">Number of alternative </w:t>
            </w:r>
            <w:r w:rsidR="00EC6750" w:rsidRPr="00A16798">
              <w:rPr>
                <w:sz w:val="17"/>
                <w:szCs w:val="17"/>
              </w:rPr>
              <w:t xml:space="preserve">conflict resolution and legal information </w:t>
            </w:r>
            <w:r w:rsidRPr="00A16798">
              <w:rPr>
                <w:sz w:val="17"/>
                <w:szCs w:val="17"/>
              </w:rPr>
              <w:t>mechanisms created at local level</w:t>
            </w:r>
          </w:p>
          <w:p w14:paraId="4C290B1B" w14:textId="77777777" w:rsidR="009418E9" w:rsidRPr="009B2E26" w:rsidRDefault="009418E9" w:rsidP="007A1298">
            <w:pPr>
              <w:pStyle w:val="ListParagraph"/>
              <w:numPr>
                <w:ilvl w:val="0"/>
                <w:numId w:val="23"/>
              </w:numPr>
              <w:ind w:left="366" w:hanging="180"/>
              <w:rPr>
                <w:iCs/>
                <w:color w:val="000000"/>
                <w:sz w:val="17"/>
                <w:szCs w:val="17"/>
              </w:rPr>
            </w:pPr>
            <w:r w:rsidRPr="009B2E26">
              <w:rPr>
                <w:iCs/>
                <w:color w:val="000000"/>
                <w:sz w:val="17"/>
                <w:szCs w:val="17"/>
              </w:rPr>
              <w:t>Baseline</w:t>
            </w:r>
            <w:r w:rsidR="007A1298" w:rsidRPr="007A1298">
              <w:rPr>
                <w:iCs/>
                <w:color w:val="000000"/>
                <w:sz w:val="17"/>
                <w:szCs w:val="17"/>
              </w:rPr>
              <w:t xml:space="preserve"> (2015)</w:t>
            </w:r>
            <w:r w:rsidRPr="009B2E26">
              <w:rPr>
                <w:iCs/>
                <w:color w:val="000000"/>
                <w:sz w:val="17"/>
                <w:szCs w:val="17"/>
              </w:rPr>
              <w:t xml:space="preserve">: </w:t>
            </w:r>
            <w:r w:rsidRPr="007A1298">
              <w:rPr>
                <w:iCs/>
                <w:color w:val="000000"/>
                <w:sz w:val="17"/>
                <w:szCs w:val="17"/>
              </w:rPr>
              <w:t xml:space="preserve">0 </w:t>
            </w:r>
          </w:p>
          <w:p w14:paraId="5D9BF4D5" w14:textId="77777777" w:rsidR="009418E9" w:rsidRPr="009B2E26" w:rsidRDefault="009418E9" w:rsidP="00BF1EB3">
            <w:pPr>
              <w:pStyle w:val="ListParagraph"/>
              <w:numPr>
                <w:ilvl w:val="0"/>
                <w:numId w:val="23"/>
              </w:numPr>
              <w:ind w:left="366" w:hanging="180"/>
              <w:rPr>
                <w:iCs/>
                <w:color w:val="000000"/>
                <w:sz w:val="17"/>
                <w:szCs w:val="17"/>
              </w:rPr>
            </w:pPr>
            <w:r w:rsidRPr="009B2E26">
              <w:rPr>
                <w:iCs/>
                <w:color w:val="000000"/>
                <w:sz w:val="17"/>
                <w:szCs w:val="17"/>
              </w:rPr>
              <w:t>Target</w:t>
            </w:r>
            <w:r w:rsidR="007A1298">
              <w:rPr>
                <w:iCs/>
                <w:color w:val="000000"/>
                <w:sz w:val="17"/>
                <w:szCs w:val="17"/>
              </w:rPr>
              <w:t xml:space="preserve"> </w:t>
            </w:r>
            <w:r w:rsidR="007A1298" w:rsidRPr="007A1298">
              <w:rPr>
                <w:iCs/>
                <w:color w:val="000000"/>
                <w:sz w:val="17"/>
                <w:szCs w:val="17"/>
              </w:rPr>
              <w:t>(2021)</w:t>
            </w:r>
            <w:r w:rsidRPr="009B2E26">
              <w:rPr>
                <w:iCs/>
                <w:color w:val="000000"/>
                <w:sz w:val="17"/>
                <w:szCs w:val="17"/>
              </w:rPr>
              <w:t xml:space="preserve">: </w:t>
            </w:r>
            <w:r w:rsidRPr="007A1298">
              <w:rPr>
                <w:iCs/>
                <w:color w:val="000000"/>
                <w:sz w:val="17"/>
                <w:szCs w:val="17"/>
              </w:rPr>
              <w:t xml:space="preserve">7 </w:t>
            </w:r>
          </w:p>
          <w:p w14:paraId="430C6A0B" w14:textId="77777777" w:rsidR="009418E9" w:rsidRPr="009B2E26" w:rsidRDefault="009418E9" w:rsidP="00BF1EB3">
            <w:pPr>
              <w:pStyle w:val="ListParagraph"/>
              <w:numPr>
                <w:ilvl w:val="0"/>
                <w:numId w:val="23"/>
              </w:numPr>
              <w:ind w:left="366" w:hanging="180"/>
              <w:rPr>
                <w:iCs/>
                <w:color w:val="000000"/>
                <w:sz w:val="17"/>
                <w:szCs w:val="17"/>
              </w:rPr>
            </w:pPr>
            <w:r w:rsidRPr="009B2E26">
              <w:rPr>
                <w:iCs/>
                <w:color w:val="000000"/>
                <w:sz w:val="17"/>
                <w:szCs w:val="17"/>
              </w:rPr>
              <w:t xml:space="preserve">Data source: </w:t>
            </w:r>
            <w:r w:rsidRPr="007A1298">
              <w:rPr>
                <w:iCs/>
                <w:color w:val="000000"/>
                <w:sz w:val="17"/>
                <w:szCs w:val="17"/>
              </w:rPr>
              <w:t>Ministry of Justice</w:t>
            </w:r>
          </w:p>
          <w:p w14:paraId="4E4CF998" w14:textId="77777777" w:rsidR="00A66E26" w:rsidRPr="009B2E26" w:rsidRDefault="00A66E26" w:rsidP="00BF1EB3">
            <w:pPr>
              <w:pStyle w:val="ListParagraph"/>
              <w:numPr>
                <w:ilvl w:val="0"/>
                <w:numId w:val="23"/>
              </w:numPr>
              <w:ind w:left="366" w:hanging="180"/>
              <w:rPr>
                <w:iCs/>
                <w:color w:val="000000"/>
                <w:sz w:val="17"/>
                <w:szCs w:val="17"/>
              </w:rPr>
            </w:pPr>
            <w:r w:rsidRPr="009B2E26">
              <w:rPr>
                <w:iCs/>
                <w:color w:val="000000"/>
                <w:sz w:val="17"/>
                <w:szCs w:val="17"/>
              </w:rPr>
              <w:t xml:space="preserve">Frequency: </w:t>
            </w:r>
            <w:r w:rsidRPr="007A1298">
              <w:rPr>
                <w:iCs/>
                <w:color w:val="000000"/>
                <w:sz w:val="17"/>
                <w:szCs w:val="17"/>
              </w:rPr>
              <w:t>Annual</w:t>
            </w:r>
          </w:p>
          <w:p w14:paraId="7A100EA3" w14:textId="77777777" w:rsidR="009418E9" w:rsidRPr="00A16798" w:rsidRDefault="009418E9" w:rsidP="009418E9">
            <w:pPr>
              <w:autoSpaceDE w:val="0"/>
              <w:autoSpaceDN w:val="0"/>
              <w:adjustRightInd w:val="0"/>
              <w:rPr>
                <w:bCs/>
                <w:sz w:val="17"/>
                <w:szCs w:val="17"/>
              </w:rPr>
            </w:pPr>
          </w:p>
          <w:p w14:paraId="550E7BEC" w14:textId="77777777" w:rsidR="009418E9" w:rsidRPr="00A16798" w:rsidRDefault="009418E9" w:rsidP="009418E9">
            <w:pPr>
              <w:rPr>
                <w:sz w:val="17"/>
                <w:szCs w:val="17"/>
              </w:rPr>
            </w:pPr>
            <w:r w:rsidRPr="009B2E26">
              <w:rPr>
                <w:b/>
                <w:bCs/>
                <w:i/>
                <w:sz w:val="17"/>
                <w:szCs w:val="17"/>
              </w:rPr>
              <w:t>Indicator:</w:t>
            </w:r>
            <w:r w:rsidRPr="00A16798">
              <w:rPr>
                <w:bCs/>
                <w:i/>
                <w:sz w:val="17"/>
                <w:szCs w:val="17"/>
              </w:rPr>
              <w:t xml:space="preserve"> </w:t>
            </w:r>
            <w:r w:rsidRPr="00A16798">
              <w:rPr>
                <w:sz w:val="17"/>
                <w:szCs w:val="17"/>
              </w:rPr>
              <w:t>Number of disputes settled through alternative mechanisms</w:t>
            </w:r>
          </w:p>
          <w:p w14:paraId="27B4FE8D" w14:textId="77777777" w:rsidR="009418E9" w:rsidRPr="009B2E26" w:rsidRDefault="009418E9" w:rsidP="00BF1EB3">
            <w:pPr>
              <w:pStyle w:val="ListParagraph"/>
              <w:numPr>
                <w:ilvl w:val="0"/>
                <w:numId w:val="24"/>
              </w:numPr>
              <w:ind w:left="366" w:hanging="180"/>
              <w:rPr>
                <w:iCs/>
                <w:color w:val="000000"/>
                <w:sz w:val="17"/>
                <w:szCs w:val="17"/>
              </w:rPr>
            </w:pPr>
            <w:r w:rsidRPr="009B2E26">
              <w:rPr>
                <w:iCs/>
                <w:color w:val="000000"/>
                <w:sz w:val="17"/>
                <w:szCs w:val="17"/>
              </w:rPr>
              <w:t>Baseline</w:t>
            </w:r>
            <w:r w:rsidR="007A1298">
              <w:rPr>
                <w:iCs/>
                <w:color w:val="000000"/>
                <w:sz w:val="17"/>
                <w:szCs w:val="17"/>
              </w:rPr>
              <w:t xml:space="preserve"> </w:t>
            </w:r>
            <w:r w:rsidR="007A1298" w:rsidRPr="00BF1EB3">
              <w:rPr>
                <w:iCs/>
                <w:color w:val="000000"/>
                <w:sz w:val="17"/>
                <w:szCs w:val="17"/>
              </w:rPr>
              <w:t>(2015)</w:t>
            </w:r>
            <w:r w:rsidRPr="009B2E26">
              <w:rPr>
                <w:iCs/>
                <w:color w:val="000000"/>
                <w:sz w:val="17"/>
                <w:szCs w:val="17"/>
              </w:rPr>
              <w:t xml:space="preserve">: </w:t>
            </w:r>
            <w:r w:rsidR="002F27D3" w:rsidRPr="00BF1EB3">
              <w:rPr>
                <w:iCs/>
                <w:color w:val="000000"/>
                <w:sz w:val="17"/>
                <w:szCs w:val="17"/>
              </w:rPr>
              <w:t>1</w:t>
            </w:r>
            <w:r w:rsidRPr="00BF1EB3">
              <w:rPr>
                <w:iCs/>
                <w:color w:val="000000"/>
                <w:sz w:val="17"/>
                <w:szCs w:val="17"/>
              </w:rPr>
              <w:t xml:space="preserve"> </w:t>
            </w:r>
          </w:p>
          <w:p w14:paraId="65963DB0" w14:textId="77777777" w:rsidR="009418E9" w:rsidRPr="009B2E26" w:rsidRDefault="009418E9" w:rsidP="00BF1EB3">
            <w:pPr>
              <w:pStyle w:val="ListParagraph"/>
              <w:numPr>
                <w:ilvl w:val="0"/>
                <w:numId w:val="24"/>
              </w:numPr>
              <w:ind w:left="366" w:hanging="180"/>
              <w:rPr>
                <w:iCs/>
                <w:color w:val="000000"/>
                <w:sz w:val="17"/>
                <w:szCs w:val="17"/>
              </w:rPr>
            </w:pPr>
            <w:r w:rsidRPr="009B2E26">
              <w:rPr>
                <w:iCs/>
                <w:color w:val="000000"/>
                <w:sz w:val="17"/>
                <w:szCs w:val="17"/>
              </w:rPr>
              <w:t>Target</w:t>
            </w:r>
            <w:r w:rsidR="007A1298">
              <w:rPr>
                <w:iCs/>
                <w:color w:val="000000"/>
                <w:sz w:val="17"/>
                <w:szCs w:val="17"/>
              </w:rPr>
              <w:t xml:space="preserve"> </w:t>
            </w:r>
            <w:r w:rsidR="007A1298" w:rsidRPr="00BF1EB3">
              <w:rPr>
                <w:iCs/>
                <w:color w:val="000000"/>
                <w:sz w:val="17"/>
                <w:szCs w:val="17"/>
              </w:rPr>
              <w:t>(2021)</w:t>
            </w:r>
            <w:r w:rsidRPr="009B2E26">
              <w:rPr>
                <w:iCs/>
                <w:color w:val="000000"/>
                <w:sz w:val="17"/>
                <w:szCs w:val="17"/>
              </w:rPr>
              <w:t xml:space="preserve">: </w:t>
            </w:r>
            <w:r w:rsidR="003C5115" w:rsidRPr="00BF1EB3">
              <w:rPr>
                <w:iCs/>
                <w:color w:val="000000"/>
                <w:sz w:val="17"/>
                <w:szCs w:val="17"/>
              </w:rPr>
              <w:t>10 additional disputes</w:t>
            </w:r>
            <w:r w:rsidRPr="00BF1EB3">
              <w:rPr>
                <w:iCs/>
                <w:color w:val="000000"/>
                <w:sz w:val="17"/>
                <w:szCs w:val="17"/>
              </w:rPr>
              <w:t xml:space="preserve"> </w:t>
            </w:r>
          </w:p>
          <w:p w14:paraId="4FC97A4E" w14:textId="77777777" w:rsidR="009418E9" w:rsidRPr="009B2E26" w:rsidRDefault="009418E9" w:rsidP="00BF1EB3">
            <w:pPr>
              <w:pStyle w:val="ListParagraph"/>
              <w:numPr>
                <w:ilvl w:val="0"/>
                <w:numId w:val="24"/>
              </w:numPr>
              <w:ind w:left="366" w:hanging="180"/>
              <w:rPr>
                <w:iCs/>
                <w:color w:val="000000"/>
                <w:sz w:val="17"/>
                <w:szCs w:val="17"/>
              </w:rPr>
            </w:pPr>
            <w:r w:rsidRPr="009B2E26">
              <w:rPr>
                <w:iCs/>
                <w:color w:val="000000"/>
                <w:sz w:val="17"/>
                <w:szCs w:val="17"/>
              </w:rPr>
              <w:t xml:space="preserve">Data </w:t>
            </w:r>
            <w:r w:rsidR="00283B30" w:rsidRPr="009B2E26">
              <w:rPr>
                <w:iCs/>
                <w:color w:val="000000"/>
                <w:sz w:val="17"/>
                <w:szCs w:val="17"/>
              </w:rPr>
              <w:t xml:space="preserve">source: </w:t>
            </w:r>
            <w:r w:rsidR="00283B30" w:rsidRPr="00BF1EB3">
              <w:rPr>
                <w:iCs/>
                <w:color w:val="000000"/>
                <w:sz w:val="17"/>
                <w:szCs w:val="17"/>
              </w:rPr>
              <w:t>Ministry</w:t>
            </w:r>
            <w:r w:rsidRPr="00BF1EB3">
              <w:rPr>
                <w:iCs/>
                <w:color w:val="000000"/>
                <w:sz w:val="17"/>
                <w:szCs w:val="17"/>
              </w:rPr>
              <w:t xml:space="preserve"> of Justice</w:t>
            </w:r>
          </w:p>
          <w:p w14:paraId="7F65D55A" w14:textId="77777777" w:rsidR="00A66E26" w:rsidRPr="009B2E26" w:rsidRDefault="00A66E26" w:rsidP="00BF1EB3">
            <w:pPr>
              <w:pStyle w:val="ListParagraph"/>
              <w:numPr>
                <w:ilvl w:val="0"/>
                <w:numId w:val="24"/>
              </w:numPr>
              <w:ind w:left="366" w:hanging="180"/>
              <w:rPr>
                <w:iCs/>
                <w:color w:val="000000"/>
                <w:sz w:val="17"/>
                <w:szCs w:val="17"/>
              </w:rPr>
            </w:pPr>
            <w:r w:rsidRPr="009B2E26">
              <w:rPr>
                <w:iCs/>
                <w:color w:val="000000"/>
                <w:sz w:val="17"/>
                <w:szCs w:val="17"/>
              </w:rPr>
              <w:t xml:space="preserve">Frequency: </w:t>
            </w:r>
            <w:r w:rsidRPr="00BF1EB3">
              <w:rPr>
                <w:iCs/>
                <w:color w:val="000000"/>
                <w:sz w:val="17"/>
                <w:szCs w:val="17"/>
              </w:rPr>
              <w:t>Annual</w:t>
            </w:r>
          </w:p>
          <w:p w14:paraId="00B6E7CB" w14:textId="77777777" w:rsidR="009418E9" w:rsidRPr="00A16798" w:rsidRDefault="009418E9" w:rsidP="009418E9">
            <w:pPr>
              <w:rPr>
                <w:bCs/>
                <w:i/>
                <w:sz w:val="17"/>
                <w:szCs w:val="17"/>
              </w:rPr>
            </w:pPr>
          </w:p>
          <w:p w14:paraId="03E7013C" w14:textId="77777777" w:rsidR="009418E9" w:rsidRPr="00A16798" w:rsidRDefault="009418E9" w:rsidP="009418E9">
            <w:pPr>
              <w:rPr>
                <w:bCs/>
                <w:i/>
                <w:sz w:val="17"/>
                <w:szCs w:val="17"/>
                <w:u w:val="single"/>
              </w:rPr>
            </w:pPr>
            <w:r w:rsidRPr="009B2E26">
              <w:rPr>
                <w:b/>
                <w:bCs/>
                <w:i/>
                <w:sz w:val="17"/>
                <w:szCs w:val="17"/>
              </w:rPr>
              <w:t>Indicator:</w:t>
            </w:r>
            <w:r w:rsidRPr="00A16798">
              <w:rPr>
                <w:bCs/>
                <w:i/>
                <w:sz w:val="17"/>
                <w:szCs w:val="17"/>
              </w:rPr>
              <w:t xml:space="preserve"> </w:t>
            </w:r>
            <w:r w:rsidRPr="00A16798">
              <w:rPr>
                <w:bCs/>
                <w:sz w:val="17"/>
                <w:szCs w:val="17"/>
              </w:rPr>
              <w:t xml:space="preserve">Number of updated </w:t>
            </w:r>
            <w:r w:rsidR="00675AEE" w:rsidRPr="00A16798">
              <w:rPr>
                <w:bCs/>
                <w:sz w:val="17"/>
                <w:szCs w:val="17"/>
              </w:rPr>
              <w:t>alternative justice mechanisms (</w:t>
            </w:r>
            <w:r w:rsidR="00EC6750" w:rsidRPr="00A16798">
              <w:rPr>
                <w:bCs/>
                <w:sz w:val="17"/>
                <w:szCs w:val="17"/>
              </w:rPr>
              <w:t>laws and</w:t>
            </w:r>
            <w:r w:rsidRPr="00A16798">
              <w:rPr>
                <w:bCs/>
                <w:sz w:val="17"/>
                <w:szCs w:val="17"/>
              </w:rPr>
              <w:t xml:space="preserve"> annual regulations</w:t>
            </w:r>
            <w:r w:rsidR="00675AEE" w:rsidRPr="00A16798">
              <w:rPr>
                <w:bCs/>
                <w:sz w:val="17"/>
                <w:szCs w:val="17"/>
              </w:rPr>
              <w:t>)</w:t>
            </w:r>
          </w:p>
          <w:p w14:paraId="50270DE6" w14:textId="77777777" w:rsidR="009418E9" w:rsidRPr="009B2E26" w:rsidRDefault="009418E9" w:rsidP="00BF1EB3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66" w:hanging="180"/>
              <w:rPr>
                <w:bCs/>
                <w:sz w:val="17"/>
                <w:szCs w:val="17"/>
              </w:rPr>
            </w:pPr>
            <w:r w:rsidRPr="009B2E26">
              <w:rPr>
                <w:bCs/>
                <w:sz w:val="17"/>
                <w:szCs w:val="17"/>
              </w:rPr>
              <w:t>Baseline</w:t>
            </w:r>
            <w:r w:rsidR="007A1298">
              <w:rPr>
                <w:bCs/>
                <w:sz w:val="17"/>
                <w:szCs w:val="17"/>
              </w:rPr>
              <w:t xml:space="preserve"> </w:t>
            </w:r>
            <w:r w:rsidR="007A1298" w:rsidRPr="00BF1EB3">
              <w:rPr>
                <w:bCs/>
                <w:sz w:val="17"/>
                <w:szCs w:val="17"/>
              </w:rPr>
              <w:t>(2015)</w:t>
            </w:r>
            <w:r w:rsidRPr="009B2E26">
              <w:rPr>
                <w:bCs/>
                <w:sz w:val="17"/>
                <w:szCs w:val="17"/>
              </w:rPr>
              <w:t xml:space="preserve">: </w:t>
            </w:r>
            <w:r w:rsidRPr="00BF1EB3">
              <w:rPr>
                <w:bCs/>
                <w:sz w:val="17"/>
                <w:szCs w:val="17"/>
              </w:rPr>
              <w:t>4</w:t>
            </w:r>
            <w:r w:rsidR="00EC6750" w:rsidRPr="00BF1EB3">
              <w:rPr>
                <w:bCs/>
                <w:sz w:val="17"/>
                <w:szCs w:val="17"/>
              </w:rPr>
              <w:t xml:space="preserve"> </w:t>
            </w:r>
          </w:p>
          <w:p w14:paraId="054D1140" w14:textId="77777777" w:rsidR="009418E9" w:rsidRPr="009B2E26" w:rsidRDefault="00A563AC" w:rsidP="00BF1EB3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66" w:hanging="180"/>
              <w:rPr>
                <w:bCs/>
                <w:sz w:val="17"/>
                <w:szCs w:val="17"/>
              </w:rPr>
            </w:pPr>
            <w:r w:rsidRPr="009B2E26">
              <w:rPr>
                <w:bCs/>
                <w:sz w:val="17"/>
                <w:szCs w:val="17"/>
              </w:rPr>
              <w:t>Target</w:t>
            </w:r>
            <w:r w:rsidR="007A1298">
              <w:rPr>
                <w:bCs/>
                <w:sz w:val="17"/>
                <w:szCs w:val="17"/>
              </w:rPr>
              <w:t xml:space="preserve"> </w:t>
            </w:r>
            <w:r w:rsidR="007A1298" w:rsidRPr="00BF1EB3">
              <w:rPr>
                <w:bCs/>
                <w:sz w:val="17"/>
                <w:szCs w:val="17"/>
              </w:rPr>
              <w:t>(2021)</w:t>
            </w:r>
            <w:r w:rsidRPr="009B2E26">
              <w:rPr>
                <w:bCs/>
                <w:sz w:val="17"/>
                <w:szCs w:val="17"/>
              </w:rPr>
              <w:t>:</w:t>
            </w:r>
            <w:r w:rsidR="009418E9" w:rsidRPr="009B2E26">
              <w:rPr>
                <w:bCs/>
                <w:sz w:val="17"/>
                <w:szCs w:val="17"/>
              </w:rPr>
              <w:t xml:space="preserve"> </w:t>
            </w:r>
            <w:r w:rsidR="009418E9" w:rsidRPr="00BF1EB3">
              <w:rPr>
                <w:bCs/>
                <w:sz w:val="17"/>
                <w:szCs w:val="17"/>
              </w:rPr>
              <w:t xml:space="preserve">8 </w:t>
            </w:r>
          </w:p>
          <w:p w14:paraId="789B6C8F" w14:textId="77777777" w:rsidR="009418E9" w:rsidRPr="009B2E26" w:rsidRDefault="009418E9" w:rsidP="00BF1EB3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66" w:hanging="180"/>
              <w:rPr>
                <w:bCs/>
                <w:sz w:val="17"/>
                <w:szCs w:val="17"/>
              </w:rPr>
            </w:pPr>
            <w:r w:rsidRPr="009B2E26">
              <w:rPr>
                <w:bCs/>
                <w:sz w:val="17"/>
                <w:szCs w:val="17"/>
              </w:rPr>
              <w:t xml:space="preserve">Data </w:t>
            </w:r>
            <w:r w:rsidR="00283B30" w:rsidRPr="009B2E26">
              <w:rPr>
                <w:bCs/>
                <w:sz w:val="17"/>
                <w:szCs w:val="17"/>
              </w:rPr>
              <w:t xml:space="preserve">source: </w:t>
            </w:r>
            <w:r w:rsidR="00A562A3">
              <w:rPr>
                <w:bCs/>
                <w:sz w:val="17"/>
                <w:szCs w:val="17"/>
              </w:rPr>
              <w:t>United Nations Office on Drugs and Crime</w:t>
            </w:r>
            <w:r w:rsidRPr="00BF1EB3">
              <w:rPr>
                <w:bCs/>
                <w:sz w:val="17"/>
                <w:szCs w:val="17"/>
              </w:rPr>
              <w:t>, Ministry of Justice</w:t>
            </w:r>
          </w:p>
          <w:p w14:paraId="7DA09F82" w14:textId="77777777" w:rsidR="00B548DD" w:rsidRPr="00A16798" w:rsidRDefault="00A66E26" w:rsidP="00BF1EB3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66" w:hanging="180"/>
              <w:rPr>
                <w:bCs/>
                <w:i/>
                <w:sz w:val="17"/>
                <w:szCs w:val="17"/>
              </w:rPr>
            </w:pPr>
            <w:r w:rsidRPr="009B2E26">
              <w:rPr>
                <w:bCs/>
                <w:sz w:val="17"/>
                <w:szCs w:val="17"/>
              </w:rPr>
              <w:t xml:space="preserve">Frequency: </w:t>
            </w:r>
            <w:r w:rsidRPr="00BF1EB3">
              <w:rPr>
                <w:bCs/>
                <w:sz w:val="17"/>
                <w:szCs w:val="17"/>
              </w:rPr>
              <w:t>Annua</w:t>
            </w:r>
            <w:r w:rsidR="00515315" w:rsidRPr="00BF1EB3">
              <w:rPr>
                <w:bCs/>
                <w:sz w:val="17"/>
                <w:szCs w:val="17"/>
              </w:rPr>
              <w:t>l</w:t>
            </w:r>
          </w:p>
        </w:tc>
        <w:tc>
          <w:tcPr>
            <w:tcW w:w="765" w:type="pct"/>
            <w:gridSpan w:val="2"/>
          </w:tcPr>
          <w:p w14:paraId="16143E48" w14:textId="77777777" w:rsidR="00B548DD" w:rsidRPr="00A16798" w:rsidRDefault="00B548DD" w:rsidP="00FD6992">
            <w:pPr>
              <w:jc w:val="center"/>
              <w:rPr>
                <w:iCs/>
                <w:color w:val="000000"/>
                <w:sz w:val="17"/>
                <w:szCs w:val="17"/>
              </w:rPr>
            </w:pPr>
          </w:p>
        </w:tc>
        <w:tc>
          <w:tcPr>
            <w:tcW w:w="562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1A613F8" w14:textId="77777777" w:rsidR="00B548DD" w:rsidRPr="00A16798" w:rsidRDefault="00B548DD" w:rsidP="00FD6992">
            <w:pPr>
              <w:rPr>
                <w:b/>
                <w:color w:val="000000"/>
                <w:sz w:val="17"/>
                <w:szCs w:val="17"/>
              </w:rPr>
            </w:pPr>
          </w:p>
        </w:tc>
      </w:tr>
      <w:tr w:rsidR="00B548DD" w:rsidRPr="00A16798" w14:paraId="7577964A" w14:textId="77777777" w:rsidTr="00322FDC">
        <w:trPr>
          <w:jc w:val="center"/>
        </w:trPr>
        <w:tc>
          <w:tcPr>
            <w:tcW w:w="586" w:type="pct"/>
            <w:vMerge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B02D3D" w14:textId="77777777" w:rsidR="00B548DD" w:rsidRPr="00A16798" w:rsidRDefault="00B548DD" w:rsidP="00FD6992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11" w:type="pct"/>
            <w:vMerge/>
          </w:tcPr>
          <w:p w14:paraId="16C42A0C" w14:textId="77777777" w:rsidR="00B548DD" w:rsidRPr="00A16798" w:rsidRDefault="00B548DD" w:rsidP="00FD6992">
            <w:pPr>
              <w:numPr>
                <w:ilvl w:val="0"/>
                <w:numId w:val="1"/>
              </w:numPr>
              <w:spacing w:after="120"/>
              <w:ind w:left="197" w:hanging="142"/>
              <w:rPr>
                <w:i/>
                <w:color w:val="000000"/>
                <w:sz w:val="17"/>
                <w:szCs w:val="17"/>
              </w:rPr>
            </w:pPr>
          </w:p>
        </w:tc>
        <w:tc>
          <w:tcPr>
            <w:tcW w:w="2176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8DBA44" w14:textId="77777777" w:rsidR="00675AEE" w:rsidRPr="00A16798" w:rsidRDefault="00675AEE" w:rsidP="00675AEE">
            <w:pPr>
              <w:pStyle w:val="ListParagraph"/>
              <w:spacing w:after="160" w:line="259" w:lineRule="auto"/>
              <w:ind w:left="0"/>
              <w:contextualSpacing/>
              <w:rPr>
                <w:bCs/>
                <w:sz w:val="17"/>
                <w:szCs w:val="17"/>
                <w:lang w:eastAsia="fr-FR"/>
              </w:rPr>
            </w:pPr>
            <w:r w:rsidRPr="00A16798">
              <w:rPr>
                <w:b/>
                <w:bCs/>
                <w:sz w:val="17"/>
                <w:szCs w:val="17"/>
              </w:rPr>
              <w:t>Output 2.3:</w:t>
            </w:r>
            <w:r w:rsidRPr="00A16798">
              <w:rPr>
                <w:b/>
                <w:bCs/>
                <w:sz w:val="17"/>
                <w:szCs w:val="17"/>
                <w:lang w:eastAsia="fr-FR"/>
              </w:rPr>
              <w:t xml:space="preserve"> </w:t>
            </w:r>
            <w:r w:rsidR="00112B0B">
              <w:rPr>
                <w:bCs/>
                <w:sz w:val="17"/>
                <w:szCs w:val="17"/>
                <w:lang w:eastAsia="fr-FR"/>
              </w:rPr>
              <w:t>P</w:t>
            </w:r>
            <w:r w:rsidRPr="00A16798">
              <w:rPr>
                <w:bCs/>
                <w:sz w:val="17"/>
                <w:szCs w:val="17"/>
                <w:lang w:eastAsia="fr-FR"/>
              </w:rPr>
              <w:t>ublic and private instit</w:t>
            </w:r>
            <w:r w:rsidR="002E5472" w:rsidRPr="00A16798">
              <w:rPr>
                <w:bCs/>
                <w:sz w:val="17"/>
                <w:szCs w:val="17"/>
                <w:lang w:eastAsia="fr-FR"/>
              </w:rPr>
              <w:t>utions are able</w:t>
            </w:r>
            <w:r w:rsidR="009153EE" w:rsidRPr="00A16798">
              <w:rPr>
                <w:bCs/>
                <w:sz w:val="17"/>
                <w:szCs w:val="17"/>
                <w:lang w:eastAsia="fr-FR"/>
              </w:rPr>
              <w:t xml:space="preserve"> to collect, compile and </w:t>
            </w:r>
            <w:r w:rsidR="00250B59" w:rsidRPr="00A16798">
              <w:rPr>
                <w:bCs/>
                <w:sz w:val="17"/>
                <w:szCs w:val="17"/>
                <w:lang w:eastAsia="fr-FR"/>
              </w:rPr>
              <w:t>analy</w:t>
            </w:r>
            <w:r w:rsidR="00112B0B">
              <w:rPr>
                <w:bCs/>
                <w:sz w:val="17"/>
                <w:szCs w:val="17"/>
                <w:lang w:eastAsia="fr-FR"/>
              </w:rPr>
              <w:t>s</w:t>
            </w:r>
            <w:r w:rsidR="00250B59" w:rsidRPr="00A16798">
              <w:rPr>
                <w:bCs/>
                <w:sz w:val="17"/>
                <w:szCs w:val="17"/>
                <w:lang w:eastAsia="fr-FR"/>
              </w:rPr>
              <w:t>e</w:t>
            </w:r>
            <w:r w:rsidR="009153EE" w:rsidRPr="00A16798">
              <w:rPr>
                <w:bCs/>
                <w:sz w:val="17"/>
                <w:szCs w:val="17"/>
                <w:lang w:eastAsia="fr-FR"/>
              </w:rPr>
              <w:t xml:space="preserve"> relevant data for </w:t>
            </w:r>
            <w:r w:rsidR="002E5472" w:rsidRPr="00A16798">
              <w:rPr>
                <w:bCs/>
                <w:sz w:val="17"/>
                <w:szCs w:val="17"/>
                <w:lang w:eastAsia="fr-FR"/>
              </w:rPr>
              <w:t>mainstream</w:t>
            </w:r>
            <w:r w:rsidR="009153EE" w:rsidRPr="00A16798">
              <w:rPr>
                <w:bCs/>
                <w:sz w:val="17"/>
                <w:szCs w:val="17"/>
                <w:lang w:eastAsia="fr-FR"/>
              </w:rPr>
              <w:t xml:space="preserve">ing </w:t>
            </w:r>
            <w:r w:rsidRPr="00A16798">
              <w:rPr>
                <w:bCs/>
                <w:sz w:val="17"/>
                <w:szCs w:val="17"/>
                <w:lang w:eastAsia="fr-FR"/>
              </w:rPr>
              <w:t>the SDGs into national plan</w:t>
            </w:r>
            <w:r w:rsidR="003C5115" w:rsidRPr="00A16798">
              <w:rPr>
                <w:bCs/>
                <w:sz w:val="17"/>
                <w:szCs w:val="17"/>
                <w:lang w:eastAsia="fr-FR"/>
              </w:rPr>
              <w:t>s, policies</w:t>
            </w:r>
            <w:r w:rsidRPr="00A16798">
              <w:rPr>
                <w:bCs/>
                <w:sz w:val="17"/>
                <w:szCs w:val="17"/>
                <w:lang w:eastAsia="fr-FR"/>
              </w:rPr>
              <w:t xml:space="preserve"> and strateg</w:t>
            </w:r>
            <w:r w:rsidR="003C5115" w:rsidRPr="00A16798">
              <w:rPr>
                <w:bCs/>
                <w:sz w:val="17"/>
                <w:szCs w:val="17"/>
                <w:lang w:eastAsia="fr-FR"/>
              </w:rPr>
              <w:t>ies</w:t>
            </w:r>
            <w:r w:rsidR="009153EE" w:rsidRPr="00A16798">
              <w:rPr>
                <w:bCs/>
                <w:sz w:val="17"/>
                <w:szCs w:val="17"/>
                <w:lang w:eastAsia="fr-FR"/>
              </w:rPr>
              <w:t xml:space="preserve"> and</w:t>
            </w:r>
            <w:r w:rsidR="005E22FF" w:rsidRPr="00A16798">
              <w:rPr>
                <w:bCs/>
                <w:sz w:val="17"/>
                <w:szCs w:val="17"/>
                <w:lang w:eastAsia="fr-FR"/>
              </w:rPr>
              <w:t xml:space="preserve"> </w:t>
            </w:r>
            <w:r w:rsidR="00A562A3">
              <w:rPr>
                <w:bCs/>
                <w:sz w:val="17"/>
                <w:szCs w:val="17"/>
                <w:lang w:eastAsia="fr-FR"/>
              </w:rPr>
              <w:t xml:space="preserve">for </w:t>
            </w:r>
            <w:r w:rsidRPr="00A16798">
              <w:rPr>
                <w:bCs/>
                <w:sz w:val="17"/>
                <w:szCs w:val="17"/>
                <w:lang w:eastAsia="fr-FR"/>
              </w:rPr>
              <w:t>coordination of aid</w:t>
            </w:r>
            <w:r w:rsidR="009153EE" w:rsidRPr="00A16798">
              <w:rPr>
                <w:bCs/>
                <w:sz w:val="17"/>
                <w:szCs w:val="17"/>
                <w:lang w:eastAsia="fr-FR"/>
              </w:rPr>
              <w:t xml:space="preserve"> for better</w:t>
            </w:r>
            <w:r w:rsidR="005E22FF" w:rsidRPr="00A16798">
              <w:rPr>
                <w:bCs/>
                <w:sz w:val="17"/>
                <w:szCs w:val="17"/>
                <w:lang w:eastAsia="fr-FR"/>
              </w:rPr>
              <w:t xml:space="preserve"> </w:t>
            </w:r>
            <w:r w:rsidR="00250B59" w:rsidRPr="00A16798">
              <w:rPr>
                <w:bCs/>
                <w:sz w:val="17"/>
                <w:szCs w:val="17"/>
                <w:lang w:eastAsia="fr-FR"/>
              </w:rPr>
              <w:t>implementation</w:t>
            </w:r>
            <w:r w:rsidRPr="00A16798">
              <w:rPr>
                <w:bCs/>
                <w:sz w:val="17"/>
                <w:szCs w:val="17"/>
                <w:lang w:eastAsia="fr-FR"/>
              </w:rPr>
              <w:t xml:space="preserve"> of the 2030 Transformation Agenda. </w:t>
            </w:r>
          </w:p>
          <w:p w14:paraId="1E2FAD7A" w14:textId="77777777" w:rsidR="00675AEE" w:rsidRPr="00A16798" w:rsidRDefault="00675AEE" w:rsidP="00675AEE">
            <w:pPr>
              <w:pStyle w:val="ListParagraph"/>
              <w:spacing w:after="160" w:line="259" w:lineRule="auto"/>
              <w:ind w:left="0"/>
              <w:contextualSpacing/>
              <w:rPr>
                <w:i/>
                <w:iCs/>
                <w:sz w:val="17"/>
                <w:szCs w:val="17"/>
                <w:lang w:eastAsia="fr-FR"/>
              </w:rPr>
            </w:pPr>
          </w:p>
          <w:p w14:paraId="261EF504" w14:textId="77777777" w:rsidR="00675AEE" w:rsidRPr="00A16798" w:rsidRDefault="00675AEE" w:rsidP="00675AEE">
            <w:pPr>
              <w:pStyle w:val="ListParagraph"/>
              <w:spacing w:after="160" w:line="259" w:lineRule="auto"/>
              <w:ind w:left="0"/>
              <w:contextualSpacing/>
              <w:rPr>
                <w:sz w:val="17"/>
                <w:szCs w:val="17"/>
                <w:lang w:eastAsia="fr-FR"/>
              </w:rPr>
            </w:pPr>
            <w:r w:rsidRPr="009B2E26">
              <w:rPr>
                <w:b/>
                <w:i/>
                <w:iCs/>
                <w:sz w:val="17"/>
                <w:szCs w:val="17"/>
                <w:lang w:eastAsia="fr-FR"/>
              </w:rPr>
              <w:t>Indicator</w:t>
            </w:r>
            <w:r w:rsidRPr="00A16798">
              <w:rPr>
                <w:i/>
                <w:iCs/>
                <w:sz w:val="17"/>
                <w:szCs w:val="17"/>
                <w:lang w:eastAsia="fr-FR"/>
              </w:rPr>
              <w:t>:</w:t>
            </w:r>
            <w:r w:rsidRPr="00A16798">
              <w:rPr>
                <w:sz w:val="17"/>
                <w:szCs w:val="17"/>
                <w:lang w:eastAsia="fr-FR"/>
              </w:rPr>
              <w:t xml:space="preserve"> Number of </w:t>
            </w:r>
            <w:r w:rsidR="003C5115" w:rsidRPr="00A16798">
              <w:rPr>
                <w:sz w:val="17"/>
                <w:szCs w:val="17"/>
                <w:lang w:eastAsia="fr-FR"/>
              </w:rPr>
              <w:t>plans, policies and s</w:t>
            </w:r>
            <w:r w:rsidRPr="00A16798">
              <w:rPr>
                <w:sz w:val="17"/>
                <w:szCs w:val="17"/>
                <w:lang w:eastAsia="fr-FR"/>
              </w:rPr>
              <w:t>trategies integrating SDG</w:t>
            </w:r>
            <w:r w:rsidR="00112B0B">
              <w:rPr>
                <w:sz w:val="17"/>
                <w:szCs w:val="17"/>
                <w:lang w:eastAsia="fr-FR"/>
              </w:rPr>
              <w:t>s</w:t>
            </w:r>
          </w:p>
          <w:p w14:paraId="0CAA702D" w14:textId="77777777" w:rsidR="00675AEE" w:rsidRPr="00BF1EB3" w:rsidRDefault="00675AEE" w:rsidP="00BF1EB3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ind w:left="366" w:hanging="180"/>
              <w:contextualSpacing/>
              <w:rPr>
                <w:sz w:val="17"/>
                <w:szCs w:val="17"/>
                <w:lang w:eastAsia="fr-FR"/>
              </w:rPr>
            </w:pPr>
            <w:r w:rsidRPr="009B2E26">
              <w:rPr>
                <w:sz w:val="17"/>
                <w:szCs w:val="17"/>
                <w:lang w:eastAsia="fr-FR"/>
              </w:rPr>
              <w:t>Baseline</w:t>
            </w:r>
            <w:r w:rsidR="007A1298">
              <w:rPr>
                <w:sz w:val="17"/>
                <w:szCs w:val="17"/>
                <w:lang w:eastAsia="fr-FR"/>
              </w:rPr>
              <w:t xml:space="preserve"> </w:t>
            </w:r>
            <w:r w:rsidR="007A1298" w:rsidRPr="00BF1EB3">
              <w:rPr>
                <w:sz w:val="17"/>
                <w:szCs w:val="17"/>
                <w:lang w:eastAsia="fr-FR"/>
              </w:rPr>
              <w:t>(2015)</w:t>
            </w:r>
            <w:r w:rsidRPr="00BF1EB3">
              <w:rPr>
                <w:sz w:val="17"/>
                <w:szCs w:val="17"/>
                <w:lang w:eastAsia="fr-FR"/>
              </w:rPr>
              <w:t xml:space="preserve">: 1 </w:t>
            </w:r>
          </w:p>
          <w:p w14:paraId="019E1A09" w14:textId="77777777" w:rsidR="00675AEE" w:rsidRPr="00BF1EB3" w:rsidRDefault="00675AEE" w:rsidP="00BF1EB3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ind w:left="366" w:hanging="180"/>
              <w:contextualSpacing/>
              <w:rPr>
                <w:sz w:val="17"/>
                <w:szCs w:val="17"/>
                <w:lang w:eastAsia="fr-FR"/>
              </w:rPr>
            </w:pPr>
            <w:r w:rsidRPr="009B2E26">
              <w:rPr>
                <w:sz w:val="17"/>
                <w:szCs w:val="17"/>
                <w:lang w:eastAsia="fr-FR"/>
              </w:rPr>
              <w:t>Target</w:t>
            </w:r>
            <w:r w:rsidR="007A1298">
              <w:rPr>
                <w:sz w:val="17"/>
                <w:szCs w:val="17"/>
                <w:lang w:eastAsia="fr-FR"/>
              </w:rPr>
              <w:t xml:space="preserve"> </w:t>
            </w:r>
            <w:r w:rsidR="007A1298" w:rsidRPr="00BF1EB3">
              <w:rPr>
                <w:sz w:val="17"/>
                <w:szCs w:val="17"/>
                <w:lang w:eastAsia="fr-FR"/>
              </w:rPr>
              <w:t>(2021)</w:t>
            </w:r>
            <w:r w:rsidRPr="00BF1EB3">
              <w:rPr>
                <w:sz w:val="17"/>
                <w:szCs w:val="17"/>
                <w:lang w:eastAsia="fr-FR"/>
              </w:rPr>
              <w:t xml:space="preserve">: 5 </w:t>
            </w:r>
          </w:p>
          <w:p w14:paraId="29597AC7" w14:textId="1D681C62" w:rsidR="00675AEE" w:rsidRPr="00BF1EB3" w:rsidRDefault="00675AEE" w:rsidP="00BF1EB3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ind w:left="366" w:hanging="180"/>
              <w:contextualSpacing/>
              <w:rPr>
                <w:sz w:val="17"/>
                <w:szCs w:val="17"/>
                <w:lang w:eastAsia="fr-FR"/>
              </w:rPr>
            </w:pPr>
            <w:r w:rsidRPr="009B2E26">
              <w:rPr>
                <w:sz w:val="17"/>
                <w:szCs w:val="17"/>
                <w:lang w:eastAsia="fr-FR"/>
              </w:rPr>
              <w:t>Source</w:t>
            </w:r>
            <w:r w:rsidRPr="00BF1EB3">
              <w:rPr>
                <w:sz w:val="17"/>
                <w:szCs w:val="17"/>
                <w:lang w:eastAsia="fr-FR"/>
              </w:rPr>
              <w:t>: INE, Ministry of Economy, Ministry of Finance and</w:t>
            </w:r>
            <w:r w:rsidR="00761595">
              <w:rPr>
                <w:sz w:val="17"/>
                <w:szCs w:val="17"/>
                <w:lang w:eastAsia="fr-FR"/>
              </w:rPr>
              <w:t xml:space="preserve"> U</w:t>
            </w:r>
            <w:r w:rsidR="00FE16F1">
              <w:rPr>
                <w:sz w:val="17"/>
                <w:szCs w:val="17"/>
                <w:lang w:eastAsia="fr-FR"/>
              </w:rPr>
              <w:t xml:space="preserve">nited Nations country team </w:t>
            </w:r>
            <w:r w:rsidR="00112B0B" w:rsidRPr="00BF1EB3">
              <w:rPr>
                <w:sz w:val="17"/>
                <w:szCs w:val="17"/>
                <w:lang w:eastAsia="fr-FR"/>
              </w:rPr>
              <w:t>r</w:t>
            </w:r>
            <w:r w:rsidRPr="00BF1EB3">
              <w:rPr>
                <w:sz w:val="17"/>
                <w:szCs w:val="17"/>
                <w:lang w:eastAsia="fr-FR"/>
              </w:rPr>
              <w:t>eports</w:t>
            </w:r>
          </w:p>
          <w:p w14:paraId="68C7DDE9" w14:textId="77777777" w:rsidR="002F27D3" w:rsidRPr="00BF1EB3" w:rsidRDefault="002F27D3" w:rsidP="00BF1EB3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ind w:left="366" w:hanging="180"/>
              <w:contextualSpacing/>
              <w:rPr>
                <w:sz w:val="17"/>
                <w:szCs w:val="17"/>
                <w:lang w:eastAsia="fr-FR"/>
              </w:rPr>
            </w:pPr>
            <w:r w:rsidRPr="009B2E26">
              <w:rPr>
                <w:sz w:val="17"/>
                <w:szCs w:val="17"/>
                <w:lang w:eastAsia="fr-FR"/>
              </w:rPr>
              <w:t>Frequency</w:t>
            </w:r>
            <w:r w:rsidRPr="00BF1EB3">
              <w:rPr>
                <w:sz w:val="17"/>
                <w:szCs w:val="17"/>
                <w:lang w:eastAsia="fr-FR"/>
              </w:rPr>
              <w:t>: Annual</w:t>
            </w:r>
          </w:p>
          <w:p w14:paraId="56993322" w14:textId="77777777" w:rsidR="00675AEE" w:rsidRPr="00A16798" w:rsidRDefault="00675AEE" w:rsidP="00675AEE">
            <w:pPr>
              <w:rPr>
                <w:sz w:val="17"/>
                <w:szCs w:val="17"/>
                <w:lang w:eastAsia="fr-FR"/>
              </w:rPr>
            </w:pPr>
            <w:r w:rsidRPr="009B2E26">
              <w:rPr>
                <w:b/>
                <w:i/>
                <w:sz w:val="17"/>
                <w:szCs w:val="17"/>
                <w:lang w:eastAsia="fr-FR"/>
              </w:rPr>
              <w:t>Indicator</w:t>
            </w:r>
            <w:r w:rsidRPr="00A16798">
              <w:rPr>
                <w:sz w:val="17"/>
                <w:szCs w:val="17"/>
                <w:lang w:eastAsia="fr-FR"/>
              </w:rPr>
              <w:t xml:space="preserve">: </w:t>
            </w:r>
            <w:r w:rsidR="00A66E26" w:rsidRPr="00A16798">
              <w:rPr>
                <w:sz w:val="17"/>
                <w:szCs w:val="17"/>
                <w:lang w:eastAsia="fr-FR"/>
              </w:rPr>
              <w:t xml:space="preserve">Number of public institutions strengthened for </w:t>
            </w:r>
            <w:r w:rsidR="00112B0B">
              <w:rPr>
                <w:sz w:val="17"/>
                <w:szCs w:val="17"/>
                <w:lang w:eastAsia="fr-FR"/>
              </w:rPr>
              <w:t>a</w:t>
            </w:r>
            <w:r w:rsidR="00A66E26" w:rsidRPr="00A16798">
              <w:rPr>
                <w:sz w:val="17"/>
                <w:szCs w:val="17"/>
                <w:lang w:eastAsia="fr-FR"/>
              </w:rPr>
              <w:t xml:space="preserve">id </w:t>
            </w:r>
            <w:r w:rsidR="00112B0B">
              <w:rPr>
                <w:sz w:val="17"/>
                <w:szCs w:val="17"/>
                <w:lang w:eastAsia="fr-FR"/>
              </w:rPr>
              <w:t>c</w:t>
            </w:r>
            <w:r w:rsidR="00A66E26" w:rsidRPr="00A16798">
              <w:rPr>
                <w:sz w:val="17"/>
                <w:szCs w:val="17"/>
                <w:lang w:eastAsia="fr-FR"/>
              </w:rPr>
              <w:t>oordination</w:t>
            </w:r>
          </w:p>
          <w:p w14:paraId="4E4B8EB2" w14:textId="77777777" w:rsidR="00675AEE" w:rsidRPr="009B2E26" w:rsidRDefault="00675AEE" w:rsidP="007A1298">
            <w:pPr>
              <w:pStyle w:val="ListParagraph"/>
              <w:numPr>
                <w:ilvl w:val="0"/>
                <w:numId w:val="27"/>
              </w:numPr>
              <w:ind w:left="366" w:hanging="180"/>
              <w:rPr>
                <w:sz w:val="17"/>
                <w:szCs w:val="17"/>
                <w:lang w:eastAsia="fr-FR"/>
              </w:rPr>
            </w:pPr>
            <w:r w:rsidRPr="009B2E26">
              <w:rPr>
                <w:sz w:val="17"/>
                <w:szCs w:val="17"/>
                <w:lang w:eastAsia="fr-FR"/>
              </w:rPr>
              <w:t>Baseline</w:t>
            </w:r>
            <w:r w:rsidR="007A1298" w:rsidRPr="007A1298">
              <w:rPr>
                <w:sz w:val="17"/>
                <w:szCs w:val="17"/>
                <w:lang w:eastAsia="fr-FR"/>
              </w:rPr>
              <w:t xml:space="preserve"> (2015)</w:t>
            </w:r>
            <w:r w:rsidRPr="009B2E26">
              <w:rPr>
                <w:sz w:val="17"/>
                <w:szCs w:val="17"/>
                <w:lang w:eastAsia="fr-FR"/>
              </w:rPr>
              <w:t xml:space="preserve">: </w:t>
            </w:r>
            <w:r w:rsidR="00A66E26" w:rsidRPr="007A1298">
              <w:rPr>
                <w:sz w:val="17"/>
                <w:szCs w:val="17"/>
                <w:lang w:eastAsia="fr-FR"/>
              </w:rPr>
              <w:t>1</w:t>
            </w:r>
            <w:r w:rsidRPr="007A1298">
              <w:rPr>
                <w:sz w:val="17"/>
                <w:szCs w:val="17"/>
                <w:lang w:eastAsia="fr-FR"/>
              </w:rPr>
              <w:t xml:space="preserve"> </w:t>
            </w:r>
          </w:p>
          <w:p w14:paraId="43AE195B" w14:textId="77777777" w:rsidR="00675AEE" w:rsidRPr="009B2E26" w:rsidRDefault="00675AEE" w:rsidP="00BF1EB3">
            <w:pPr>
              <w:pStyle w:val="ListParagraph"/>
              <w:numPr>
                <w:ilvl w:val="0"/>
                <w:numId w:val="27"/>
              </w:numPr>
              <w:ind w:left="366" w:hanging="180"/>
              <w:rPr>
                <w:sz w:val="17"/>
                <w:szCs w:val="17"/>
                <w:lang w:eastAsia="fr-FR"/>
              </w:rPr>
            </w:pPr>
            <w:r w:rsidRPr="009B2E26">
              <w:rPr>
                <w:sz w:val="17"/>
                <w:szCs w:val="17"/>
                <w:lang w:eastAsia="fr-FR"/>
              </w:rPr>
              <w:t>Target</w:t>
            </w:r>
            <w:r w:rsidR="007A1298">
              <w:rPr>
                <w:sz w:val="17"/>
                <w:szCs w:val="17"/>
                <w:lang w:eastAsia="fr-FR"/>
              </w:rPr>
              <w:t xml:space="preserve"> </w:t>
            </w:r>
            <w:r w:rsidR="007A1298" w:rsidRPr="00BF1EB3">
              <w:rPr>
                <w:sz w:val="17"/>
                <w:szCs w:val="17"/>
                <w:lang w:eastAsia="fr-FR"/>
              </w:rPr>
              <w:t>(2021)</w:t>
            </w:r>
            <w:r w:rsidRPr="009B2E26">
              <w:rPr>
                <w:sz w:val="17"/>
                <w:szCs w:val="17"/>
                <w:lang w:eastAsia="fr-FR"/>
              </w:rPr>
              <w:t xml:space="preserve">: </w:t>
            </w:r>
            <w:r w:rsidR="00A66E26" w:rsidRPr="00BF1EB3">
              <w:rPr>
                <w:sz w:val="17"/>
                <w:szCs w:val="17"/>
                <w:lang w:eastAsia="fr-FR"/>
              </w:rPr>
              <w:t>5</w:t>
            </w:r>
            <w:r w:rsidRPr="00BF1EB3">
              <w:rPr>
                <w:sz w:val="17"/>
                <w:szCs w:val="17"/>
                <w:lang w:eastAsia="fr-FR"/>
              </w:rPr>
              <w:t xml:space="preserve"> </w:t>
            </w:r>
          </w:p>
          <w:p w14:paraId="090F97F8" w14:textId="77777777" w:rsidR="00675AEE" w:rsidRPr="009B2E26" w:rsidRDefault="00675AEE" w:rsidP="00BF1EB3">
            <w:pPr>
              <w:pStyle w:val="ListParagraph"/>
              <w:numPr>
                <w:ilvl w:val="0"/>
                <w:numId w:val="27"/>
              </w:numPr>
              <w:ind w:left="366" w:hanging="180"/>
              <w:rPr>
                <w:iCs/>
                <w:sz w:val="17"/>
                <w:szCs w:val="17"/>
                <w:u w:val="single"/>
              </w:rPr>
            </w:pPr>
            <w:r w:rsidRPr="009B2E26">
              <w:rPr>
                <w:sz w:val="17"/>
                <w:szCs w:val="17"/>
                <w:lang w:eastAsia="fr-FR"/>
              </w:rPr>
              <w:t xml:space="preserve">Data source: </w:t>
            </w:r>
            <w:r w:rsidRPr="00BF1EB3">
              <w:rPr>
                <w:sz w:val="17"/>
                <w:szCs w:val="17"/>
                <w:lang w:eastAsia="fr-FR"/>
              </w:rPr>
              <w:t xml:space="preserve">International </w:t>
            </w:r>
            <w:r w:rsidR="00112B0B" w:rsidRPr="00BF1EB3">
              <w:rPr>
                <w:sz w:val="17"/>
                <w:szCs w:val="17"/>
                <w:lang w:eastAsia="fr-FR"/>
              </w:rPr>
              <w:t>c</w:t>
            </w:r>
            <w:r w:rsidRPr="00BF1EB3">
              <w:rPr>
                <w:sz w:val="17"/>
                <w:szCs w:val="17"/>
                <w:lang w:eastAsia="fr-FR"/>
              </w:rPr>
              <w:t xml:space="preserve">ooperation </w:t>
            </w:r>
            <w:r w:rsidR="00112B0B" w:rsidRPr="00BF1EB3">
              <w:rPr>
                <w:sz w:val="17"/>
                <w:szCs w:val="17"/>
                <w:lang w:eastAsia="fr-FR"/>
              </w:rPr>
              <w:t>r</w:t>
            </w:r>
            <w:r w:rsidRPr="00BF1EB3">
              <w:rPr>
                <w:sz w:val="17"/>
                <w:szCs w:val="17"/>
                <w:lang w:eastAsia="fr-FR"/>
              </w:rPr>
              <w:t xml:space="preserve">eports, </w:t>
            </w:r>
            <w:r w:rsidR="00112B0B" w:rsidRPr="00BF1EB3">
              <w:rPr>
                <w:sz w:val="17"/>
                <w:szCs w:val="17"/>
                <w:lang w:eastAsia="fr-FR"/>
              </w:rPr>
              <w:t>m</w:t>
            </w:r>
            <w:r w:rsidRPr="00186B0F">
              <w:rPr>
                <w:sz w:val="17"/>
                <w:szCs w:val="17"/>
                <w:lang w:eastAsia="fr-FR"/>
              </w:rPr>
              <w:t xml:space="preserve">inutes of </w:t>
            </w:r>
            <w:r w:rsidR="00112B0B" w:rsidRPr="007A1298">
              <w:rPr>
                <w:sz w:val="17"/>
                <w:szCs w:val="17"/>
                <w:lang w:eastAsia="fr-FR"/>
              </w:rPr>
              <w:t>a</w:t>
            </w:r>
            <w:r w:rsidRPr="007A1298">
              <w:rPr>
                <w:sz w:val="17"/>
                <w:szCs w:val="17"/>
                <w:lang w:eastAsia="fr-FR"/>
              </w:rPr>
              <w:t>id coordination</w:t>
            </w:r>
            <w:r w:rsidR="00112B0B" w:rsidRPr="007A1298">
              <w:rPr>
                <w:sz w:val="17"/>
                <w:szCs w:val="17"/>
                <w:lang w:eastAsia="fr-FR"/>
              </w:rPr>
              <w:t xml:space="preserve"> meetings</w:t>
            </w:r>
          </w:p>
          <w:p w14:paraId="3645CBC1" w14:textId="77777777" w:rsidR="00A66E26" w:rsidRPr="00BF1EB3" w:rsidRDefault="00A66E26" w:rsidP="00BF1EB3">
            <w:pPr>
              <w:pStyle w:val="ListParagraph"/>
              <w:numPr>
                <w:ilvl w:val="0"/>
                <w:numId w:val="27"/>
              </w:numPr>
              <w:ind w:left="366" w:hanging="180"/>
              <w:rPr>
                <w:iCs/>
                <w:sz w:val="17"/>
                <w:szCs w:val="17"/>
                <w:u w:val="single"/>
              </w:rPr>
            </w:pPr>
            <w:r w:rsidRPr="009B2E26">
              <w:rPr>
                <w:sz w:val="17"/>
                <w:szCs w:val="17"/>
                <w:lang w:eastAsia="fr-FR"/>
              </w:rPr>
              <w:t xml:space="preserve">Frequency: </w:t>
            </w:r>
            <w:r w:rsidRPr="00BF1EB3">
              <w:rPr>
                <w:sz w:val="17"/>
                <w:szCs w:val="17"/>
                <w:lang w:eastAsia="fr-FR"/>
              </w:rPr>
              <w:t>Annual</w:t>
            </w:r>
          </w:p>
          <w:p w14:paraId="2EA6699B" w14:textId="77777777" w:rsidR="002E5472" w:rsidRPr="00A16798" w:rsidRDefault="002E5472" w:rsidP="002E5472">
            <w:pPr>
              <w:pStyle w:val="ListParagraph"/>
              <w:rPr>
                <w:i/>
                <w:iCs/>
                <w:sz w:val="17"/>
                <w:szCs w:val="17"/>
                <w:u w:val="single"/>
              </w:rPr>
            </w:pPr>
          </w:p>
          <w:p w14:paraId="412E2584" w14:textId="77777777" w:rsidR="00764E4B" w:rsidRPr="00A16798" w:rsidRDefault="00764E4B" w:rsidP="00764E4B">
            <w:pPr>
              <w:rPr>
                <w:sz w:val="17"/>
                <w:szCs w:val="17"/>
                <w:lang w:eastAsia="fr-FR"/>
              </w:rPr>
            </w:pPr>
            <w:r w:rsidRPr="009B2E26">
              <w:rPr>
                <w:b/>
                <w:i/>
                <w:sz w:val="17"/>
                <w:szCs w:val="17"/>
                <w:lang w:eastAsia="fr-FR"/>
              </w:rPr>
              <w:t>Indicator</w:t>
            </w:r>
            <w:r w:rsidRPr="00A16798">
              <w:rPr>
                <w:sz w:val="17"/>
                <w:szCs w:val="17"/>
                <w:lang w:eastAsia="fr-FR"/>
              </w:rPr>
              <w:t>: Number of training</w:t>
            </w:r>
            <w:r w:rsidR="00A562A3">
              <w:rPr>
                <w:sz w:val="17"/>
                <w:szCs w:val="17"/>
                <w:lang w:eastAsia="fr-FR"/>
              </w:rPr>
              <w:t>s</w:t>
            </w:r>
            <w:r w:rsidRPr="00A16798">
              <w:rPr>
                <w:sz w:val="17"/>
                <w:szCs w:val="17"/>
                <w:lang w:eastAsia="fr-FR"/>
              </w:rPr>
              <w:t xml:space="preserve"> in data gathering and </w:t>
            </w:r>
            <w:r w:rsidR="009D2F2D" w:rsidRPr="00A16798">
              <w:rPr>
                <w:sz w:val="17"/>
                <w:szCs w:val="17"/>
                <w:lang w:eastAsia="fr-FR"/>
              </w:rPr>
              <w:t>analysis</w:t>
            </w:r>
            <w:r w:rsidR="00382E1A" w:rsidRPr="00A16798">
              <w:rPr>
                <w:sz w:val="17"/>
                <w:szCs w:val="17"/>
                <w:lang w:eastAsia="fr-FR"/>
              </w:rPr>
              <w:t xml:space="preserve"> for National </w:t>
            </w:r>
            <w:r w:rsidR="00250B59" w:rsidRPr="00A16798">
              <w:rPr>
                <w:sz w:val="17"/>
                <w:szCs w:val="17"/>
                <w:lang w:eastAsia="fr-FR"/>
              </w:rPr>
              <w:t>Institute</w:t>
            </w:r>
            <w:r w:rsidR="00A562A3">
              <w:rPr>
                <w:sz w:val="17"/>
                <w:szCs w:val="17"/>
                <w:lang w:eastAsia="fr-FR"/>
              </w:rPr>
              <w:t xml:space="preserve"> of Statistics</w:t>
            </w:r>
          </w:p>
          <w:p w14:paraId="22621A5D" w14:textId="77777777" w:rsidR="00764E4B" w:rsidRPr="009B2E26" w:rsidRDefault="00764E4B" w:rsidP="00BF1EB3">
            <w:pPr>
              <w:pStyle w:val="ListParagraph"/>
              <w:numPr>
                <w:ilvl w:val="0"/>
                <w:numId w:val="27"/>
              </w:numPr>
              <w:ind w:left="366" w:hanging="180"/>
              <w:rPr>
                <w:sz w:val="17"/>
                <w:szCs w:val="17"/>
                <w:lang w:eastAsia="fr-FR"/>
              </w:rPr>
            </w:pPr>
            <w:r w:rsidRPr="009B2E26">
              <w:rPr>
                <w:sz w:val="17"/>
                <w:szCs w:val="17"/>
                <w:lang w:eastAsia="fr-FR"/>
              </w:rPr>
              <w:t>Baseline</w:t>
            </w:r>
            <w:r w:rsidR="007A1298">
              <w:rPr>
                <w:sz w:val="17"/>
                <w:szCs w:val="17"/>
                <w:lang w:eastAsia="fr-FR"/>
              </w:rPr>
              <w:t xml:space="preserve"> </w:t>
            </w:r>
            <w:r w:rsidR="007A1298" w:rsidRPr="00BF1EB3">
              <w:rPr>
                <w:sz w:val="17"/>
                <w:szCs w:val="17"/>
                <w:lang w:eastAsia="fr-FR"/>
              </w:rPr>
              <w:t>(2015)</w:t>
            </w:r>
            <w:r w:rsidRPr="009B2E26">
              <w:rPr>
                <w:sz w:val="17"/>
                <w:szCs w:val="17"/>
                <w:lang w:eastAsia="fr-FR"/>
              </w:rPr>
              <w:t xml:space="preserve">: </w:t>
            </w:r>
            <w:r w:rsidRPr="00BF1EB3">
              <w:rPr>
                <w:sz w:val="17"/>
                <w:szCs w:val="17"/>
                <w:lang w:eastAsia="fr-FR"/>
              </w:rPr>
              <w:t xml:space="preserve">0 </w:t>
            </w:r>
          </w:p>
          <w:p w14:paraId="289A1A5C" w14:textId="77777777" w:rsidR="00764E4B" w:rsidRPr="009B2E26" w:rsidRDefault="00764E4B" w:rsidP="00BF1EB3">
            <w:pPr>
              <w:pStyle w:val="ListParagraph"/>
              <w:numPr>
                <w:ilvl w:val="0"/>
                <w:numId w:val="27"/>
              </w:numPr>
              <w:ind w:left="366" w:hanging="180"/>
              <w:rPr>
                <w:sz w:val="17"/>
                <w:szCs w:val="17"/>
                <w:lang w:eastAsia="fr-FR"/>
              </w:rPr>
            </w:pPr>
            <w:r w:rsidRPr="009B2E26">
              <w:rPr>
                <w:sz w:val="17"/>
                <w:szCs w:val="17"/>
                <w:lang w:eastAsia="fr-FR"/>
              </w:rPr>
              <w:t>Target</w:t>
            </w:r>
            <w:r w:rsidR="007A1298">
              <w:rPr>
                <w:sz w:val="17"/>
                <w:szCs w:val="17"/>
                <w:lang w:eastAsia="fr-FR"/>
              </w:rPr>
              <w:t xml:space="preserve"> </w:t>
            </w:r>
            <w:r w:rsidR="007A1298" w:rsidRPr="00BF1EB3">
              <w:rPr>
                <w:sz w:val="17"/>
                <w:szCs w:val="17"/>
                <w:lang w:eastAsia="fr-FR"/>
              </w:rPr>
              <w:t>(2021)</w:t>
            </w:r>
            <w:r w:rsidRPr="009B2E26">
              <w:rPr>
                <w:sz w:val="17"/>
                <w:szCs w:val="17"/>
                <w:lang w:eastAsia="fr-FR"/>
              </w:rPr>
              <w:t xml:space="preserve">: </w:t>
            </w:r>
            <w:r w:rsidRPr="00BF1EB3">
              <w:rPr>
                <w:sz w:val="17"/>
                <w:szCs w:val="17"/>
                <w:lang w:eastAsia="fr-FR"/>
              </w:rPr>
              <w:t xml:space="preserve">15 </w:t>
            </w:r>
          </w:p>
          <w:p w14:paraId="3AF1F438" w14:textId="77777777" w:rsidR="00764E4B" w:rsidRPr="009B2E26" w:rsidRDefault="00764E4B" w:rsidP="00BF1EB3">
            <w:pPr>
              <w:pStyle w:val="ListParagraph"/>
              <w:numPr>
                <w:ilvl w:val="0"/>
                <w:numId w:val="27"/>
              </w:numPr>
              <w:ind w:left="366" w:hanging="180"/>
              <w:rPr>
                <w:iCs/>
                <w:sz w:val="17"/>
                <w:szCs w:val="17"/>
                <w:u w:val="single"/>
              </w:rPr>
            </w:pPr>
            <w:r w:rsidRPr="009B2E26">
              <w:rPr>
                <w:sz w:val="17"/>
                <w:szCs w:val="17"/>
                <w:lang w:eastAsia="fr-FR"/>
              </w:rPr>
              <w:t xml:space="preserve">Data sources: </w:t>
            </w:r>
            <w:r w:rsidRPr="00BF1EB3">
              <w:rPr>
                <w:sz w:val="17"/>
                <w:szCs w:val="17"/>
                <w:lang w:eastAsia="fr-FR"/>
              </w:rPr>
              <w:t xml:space="preserve">International </w:t>
            </w:r>
            <w:r w:rsidR="00A562A3">
              <w:rPr>
                <w:sz w:val="17"/>
                <w:szCs w:val="17"/>
                <w:lang w:eastAsia="fr-FR"/>
              </w:rPr>
              <w:t>c</w:t>
            </w:r>
            <w:r w:rsidRPr="00BF1EB3">
              <w:rPr>
                <w:sz w:val="17"/>
                <w:szCs w:val="17"/>
                <w:lang w:eastAsia="fr-FR"/>
              </w:rPr>
              <w:t xml:space="preserve">ooperation </w:t>
            </w:r>
            <w:r w:rsidR="00A562A3">
              <w:rPr>
                <w:sz w:val="17"/>
                <w:szCs w:val="17"/>
                <w:lang w:eastAsia="fr-FR"/>
              </w:rPr>
              <w:t>r</w:t>
            </w:r>
            <w:r w:rsidRPr="00BF1EB3">
              <w:rPr>
                <w:sz w:val="17"/>
                <w:szCs w:val="17"/>
                <w:lang w:eastAsia="fr-FR"/>
              </w:rPr>
              <w:t xml:space="preserve">eports, </w:t>
            </w:r>
            <w:r w:rsidR="009812C4" w:rsidRPr="00BF1EB3">
              <w:rPr>
                <w:sz w:val="17"/>
                <w:szCs w:val="17"/>
                <w:lang w:eastAsia="fr-FR"/>
              </w:rPr>
              <w:t xml:space="preserve">National </w:t>
            </w:r>
            <w:r w:rsidR="008560A7" w:rsidRPr="00BF1EB3">
              <w:rPr>
                <w:sz w:val="17"/>
                <w:szCs w:val="17"/>
                <w:lang w:eastAsia="fr-FR"/>
              </w:rPr>
              <w:t>Institute of Statistics</w:t>
            </w:r>
          </w:p>
          <w:p w14:paraId="6F32D60B" w14:textId="77777777" w:rsidR="00764E4B" w:rsidRPr="009B2E26" w:rsidRDefault="00764E4B" w:rsidP="00BF1EB3">
            <w:pPr>
              <w:pStyle w:val="ListParagraph"/>
              <w:numPr>
                <w:ilvl w:val="0"/>
                <w:numId w:val="27"/>
              </w:numPr>
              <w:ind w:left="366" w:hanging="180"/>
              <w:rPr>
                <w:iCs/>
                <w:sz w:val="17"/>
                <w:szCs w:val="17"/>
                <w:u w:val="single"/>
              </w:rPr>
            </w:pPr>
            <w:r w:rsidRPr="009B2E26">
              <w:rPr>
                <w:sz w:val="17"/>
                <w:szCs w:val="17"/>
                <w:lang w:eastAsia="fr-FR"/>
              </w:rPr>
              <w:t>Frequency: Annual</w:t>
            </w:r>
          </w:p>
          <w:p w14:paraId="0C4A4BB3" w14:textId="77777777" w:rsidR="00B548DD" w:rsidRPr="00A16798" w:rsidRDefault="00B548DD" w:rsidP="00675AEE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65" w:type="pct"/>
            <w:gridSpan w:val="2"/>
          </w:tcPr>
          <w:p w14:paraId="1946D47E" w14:textId="77777777" w:rsidR="00B548DD" w:rsidRPr="00A16798" w:rsidRDefault="00B548DD" w:rsidP="00FD6992">
            <w:pPr>
              <w:jc w:val="center"/>
              <w:rPr>
                <w:iCs/>
                <w:color w:val="000000"/>
                <w:sz w:val="17"/>
                <w:szCs w:val="17"/>
              </w:rPr>
            </w:pPr>
          </w:p>
        </w:tc>
        <w:tc>
          <w:tcPr>
            <w:tcW w:w="562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D529DAB" w14:textId="77777777" w:rsidR="00B548DD" w:rsidRPr="00A16798" w:rsidRDefault="00B548DD" w:rsidP="00FD6992">
            <w:pPr>
              <w:rPr>
                <w:b/>
                <w:color w:val="000000"/>
                <w:sz w:val="17"/>
                <w:szCs w:val="17"/>
              </w:rPr>
            </w:pPr>
          </w:p>
        </w:tc>
      </w:tr>
      <w:tr w:rsidR="00B548DD" w:rsidRPr="00A16798" w14:paraId="72DAB5D0" w14:textId="77777777" w:rsidTr="00322FDC">
        <w:trPr>
          <w:jc w:val="center"/>
        </w:trPr>
        <w:tc>
          <w:tcPr>
            <w:tcW w:w="5000" w:type="pct"/>
            <w:gridSpan w:val="6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CD87AD" w14:textId="77777777" w:rsidR="00B548DD" w:rsidRPr="00A16798" w:rsidRDefault="00B548DD" w:rsidP="00FD6992">
            <w:pPr>
              <w:rPr>
                <w:color w:val="000000"/>
                <w:sz w:val="17"/>
                <w:szCs w:val="17"/>
              </w:rPr>
            </w:pPr>
            <w:r w:rsidRPr="00A16798">
              <w:rPr>
                <w:b/>
                <w:bCs/>
                <w:color w:val="000000"/>
                <w:sz w:val="17"/>
                <w:szCs w:val="17"/>
              </w:rPr>
              <w:t>NATIONAL PRIORITY OR GOAL:</w:t>
            </w:r>
            <w:r w:rsidRPr="00A16798">
              <w:rPr>
                <w:rFonts w:eastAsia="Calibri"/>
                <w:b/>
                <w:bCs/>
                <w:sz w:val="17"/>
                <w:szCs w:val="17"/>
              </w:rPr>
              <w:t xml:space="preserve"> Accelerate sustainable growth and job creation, reduce poverty and promote food security</w:t>
            </w:r>
            <w:r w:rsidR="00A562A3">
              <w:rPr>
                <w:rFonts w:eastAsia="Calibri"/>
                <w:b/>
                <w:bCs/>
                <w:sz w:val="17"/>
                <w:szCs w:val="17"/>
              </w:rPr>
              <w:t>.</w:t>
            </w:r>
          </w:p>
        </w:tc>
      </w:tr>
      <w:tr w:rsidR="00B548DD" w:rsidRPr="00A16798" w14:paraId="347040E3" w14:textId="77777777" w:rsidTr="00322FDC">
        <w:trPr>
          <w:jc w:val="center"/>
        </w:trPr>
        <w:tc>
          <w:tcPr>
            <w:tcW w:w="5000" w:type="pct"/>
            <w:gridSpan w:val="6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7DCEB8" w14:textId="77777777" w:rsidR="00B548DD" w:rsidRPr="00A16798" w:rsidRDefault="00B548DD" w:rsidP="00A562A3">
            <w:pPr>
              <w:rPr>
                <w:b/>
                <w:bCs/>
                <w:sz w:val="17"/>
                <w:szCs w:val="17"/>
                <w:lang w:eastAsia="fr-FR"/>
              </w:rPr>
            </w:pPr>
            <w:r w:rsidRPr="00A16798">
              <w:rPr>
                <w:b/>
                <w:bCs/>
                <w:sz w:val="17"/>
                <w:szCs w:val="17"/>
                <w:lang w:eastAsia="fr-FR"/>
              </w:rPr>
              <w:t xml:space="preserve">UNDAF </w:t>
            </w:r>
            <w:r w:rsidR="00512B8F" w:rsidRPr="00A16798">
              <w:rPr>
                <w:b/>
                <w:bCs/>
                <w:sz w:val="17"/>
                <w:szCs w:val="17"/>
                <w:lang w:eastAsia="fr-FR"/>
              </w:rPr>
              <w:t>OUTCOME</w:t>
            </w:r>
            <w:r w:rsidRPr="00A16798">
              <w:rPr>
                <w:b/>
                <w:bCs/>
                <w:i/>
                <w:iCs/>
                <w:sz w:val="17"/>
                <w:szCs w:val="17"/>
              </w:rPr>
              <w:t xml:space="preserve">: </w:t>
            </w:r>
            <w:r w:rsidRPr="00A16798">
              <w:rPr>
                <w:b/>
                <w:bCs/>
                <w:iCs/>
                <w:sz w:val="17"/>
                <w:szCs w:val="17"/>
              </w:rPr>
              <w:t>Employment and competiveness are assured by diversifying the economy and resilience</w:t>
            </w:r>
            <w:r w:rsidR="00CB6410" w:rsidRPr="00A16798">
              <w:rPr>
                <w:b/>
                <w:bCs/>
                <w:iCs/>
                <w:sz w:val="17"/>
                <w:szCs w:val="17"/>
              </w:rPr>
              <w:t xml:space="preserve"> to </w:t>
            </w:r>
            <w:r w:rsidR="00A562A3">
              <w:rPr>
                <w:b/>
                <w:bCs/>
                <w:iCs/>
                <w:sz w:val="17"/>
                <w:szCs w:val="17"/>
              </w:rPr>
              <w:t>c</w:t>
            </w:r>
            <w:r w:rsidR="00CB6410" w:rsidRPr="00A16798">
              <w:rPr>
                <w:b/>
                <w:bCs/>
                <w:iCs/>
                <w:sz w:val="17"/>
                <w:szCs w:val="17"/>
              </w:rPr>
              <w:t>limate Change</w:t>
            </w:r>
            <w:r w:rsidRPr="00A16798">
              <w:rPr>
                <w:b/>
                <w:bCs/>
                <w:iCs/>
                <w:sz w:val="17"/>
                <w:szCs w:val="17"/>
              </w:rPr>
              <w:t>, improv</w:t>
            </w:r>
            <w:r w:rsidR="00A562A3">
              <w:rPr>
                <w:b/>
                <w:bCs/>
                <w:iCs/>
                <w:sz w:val="17"/>
                <w:szCs w:val="17"/>
              </w:rPr>
              <w:t>ing</w:t>
            </w:r>
            <w:r w:rsidRPr="00A16798">
              <w:rPr>
                <w:b/>
                <w:bCs/>
                <w:iCs/>
                <w:sz w:val="17"/>
                <w:szCs w:val="17"/>
              </w:rPr>
              <w:t xml:space="preserve"> the quality of li</w:t>
            </w:r>
            <w:r w:rsidR="00A562A3">
              <w:rPr>
                <w:b/>
                <w:bCs/>
                <w:iCs/>
                <w:sz w:val="17"/>
                <w:szCs w:val="17"/>
              </w:rPr>
              <w:t>fe</w:t>
            </w:r>
            <w:r w:rsidRPr="00A16798">
              <w:rPr>
                <w:b/>
                <w:bCs/>
                <w:iCs/>
                <w:sz w:val="17"/>
                <w:szCs w:val="17"/>
              </w:rPr>
              <w:t xml:space="preserve"> of poor and vulnerable populations</w:t>
            </w:r>
            <w:r w:rsidR="00A562A3">
              <w:rPr>
                <w:b/>
                <w:bCs/>
                <w:iCs/>
                <w:sz w:val="17"/>
                <w:szCs w:val="17"/>
              </w:rPr>
              <w:t xml:space="preserve"> and</w:t>
            </w:r>
            <w:r w:rsidRPr="00A16798">
              <w:rPr>
                <w:b/>
                <w:bCs/>
                <w:iCs/>
                <w:sz w:val="17"/>
                <w:szCs w:val="17"/>
              </w:rPr>
              <w:t xml:space="preserve"> access to financial aid and markets </w:t>
            </w:r>
            <w:r w:rsidR="00A562A3">
              <w:rPr>
                <w:b/>
                <w:bCs/>
                <w:iCs/>
                <w:sz w:val="17"/>
                <w:szCs w:val="17"/>
              </w:rPr>
              <w:t>by</w:t>
            </w:r>
            <w:r w:rsidR="00A562A3" w:rsidRPr="00A16798">
              <w:rPr>
                <w:b/>
                <w:bCs/>
                <w:iCs/>
                <w:sz w:val="17"/>
                <w:szCs w:val="17"/>
              </w:rPr>
              <w:t xml:space="preserve"> </w:t>
            </w:r>
            <w:r w:rsidRPr="00A16798">
              <w:rPr>
                <w:b/>
                <w:bCs/>
                <w:iCs/>
                <w:sz w:val="17"/>
                <w:szCs w:val="17"/>
              </w:rPr>
              <w:t>youth and women.</w:t>
            </w:r>
          </w:p>
        </w:tc>
      </w:tr>
      <w:tr w:rsidR="00512B8F" w:rsidRPr="00A16798" w14:paraId="382B2DE7" w14:textId="77777777" w:rsidTr="00322FDC">
        <w:trPr>
          <w:jc w:val="center"/>
        </w:trPr>
        <w:tc>
          <w:tcPr>
            <w:tcW w:w="5000" w:type="pct"/>
            <w:gridSpan w:val="6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760859" w14:textId="77777777" w:rsidR="00512B8F" w:rsidRPr="00A16798" w:rsidRDefault="00512B8F" w:rsidP="00A562A3">
            <w:pPr>
              <w:rPr>
                <w:sz w:val="17"/>
                <w:szCs w:val="17"/>
              </w:rPr>
            </w:pPr>
            <w:r w:rsidRPr="00A16798">
              <w:rPr>
                <w:b/>
                <w:bCs/>
                <w:color w:val="000000"/>
                <w:sz w:val="17"/>
                <w:szCs w:val="17"/>
              </w:rPr>
              <w:t>RELATED STRATEGIC PLAN OUTCOME 1: Growth and development are inclusive and sustainable, incorporating productive capacities that create employment and livelihoods for poor and excluded</w:t>
            </w:r>
            <w:r w:rsidR="00A562A3">
              <w:rPr>
                <w:b/>
                <w:bCs/>
                <w:color w:val="000000"/>
                <w:sz w:val="17"/>
                <w:szCs w:val="17"/>
              </w:rPr>
              <w:t xml:space="preserve"> groups.</w:t>
            </w:r>
          </w:p>
        </w:tc>
      </w:tr>
      <w:tr w:rsidR="00B548DD" w:rsidRPr="00A16798" w14:paraId="4BA1C0F2" w14:textId="77777777" w:rsidTr="00322FDC">
        <w:trPr>
          <w:jc w:val="center"/>
        </w:trPr>
        <w:tc>
          <w:tcPr>
            <w:tcW w:w="586" w:type="pct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B8CBC26" w14:textId="77777777" w:rsidR="00B548DD" w:rsidRPr="009B2E26" w:rsidRDefault="00B548DD" w:rsidP="0084578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17"/>
                <w:szCs w:val="17"/>
              </w:rPr>
            </w:pPr>
            <w:r w:rsidRPr="009B2E26">
              <w:rPr>
                <w:b/>
                <w:bCs/>
                <w:i/>
                <w:color w:val="000000"/>
                <w:sz w:val="17"/>
                <w:szCs w:val="17"/>
              </w:rPr>
              <w:t>Indicator:</w:t>
            </w:r>
            <w:r w:rsidRPr="009B2E26">
              <w:rPr>
                <w:rFonts w:eastAsia="Calibri"/>
                <w:b/>
                <w:i/>
                <w:sz w:val="17"/>
                <w:szCs w:val="17"/>
              </w:rPr>
              <w:t xml:space="preserve"> </w:t>
            </w:r>
          </w:p>
          <w:p w14:paraId="111AF7B7" w14:textId="77777777" w:rsidR="00B548DD" w:rsidRPr="00A16798" w:rsidRDefault="00B548DD" w:rsidP="0084578B">
            <w:pPr>
              <w:autoSpaceDE w:val="0"/>
              <w:autoSpaceDN w:val="0"/>
              <w:adjustRightInd w:val="0"/>
              <w:rPr>
                <w:rFonts w:eastAsia="Calibri"/>
                <w:sz w:val="17"/>
                <w:szCs w:val="17"/>
              </w:rPr>
            </w:pPr>
            <w:r w:rsidRPr="00A16798">
              <w:rPr>
                <w:rFonts w:eastAsia="Calibri"/>
                <w:sz w:val="17"/>
                <w:szCs w:val="17"/>
              </w:rPr>
              <w:t xml:space="preserve">Unemployment rate among </w:t>
            </w:r>
            <w:r w:rsidR="00A562A3">
              <w:rPr>
                <w:rFonts w:eastAsia="Calibri"/>
                <w:sz w:val="17"/>
                <w:szCs w:val="17"/>
              </w:rPr>
              <w:t xml:space="preserve">those aged </w:t>
            </w:r>
            <w:r w:rsidRPr="00A16798">
              <w:rPr>
                <w:rFonts w:eastAsia="Calibri"/>
                <w:sz w:val="17"/>
                <w:szCs w:val="17"/>
              </w:rPr>
              <w:t xml:space="preserve">15 and </w:t>
            </w:r>
            <w:r w:rsidR="00A562A3">
              <w:rPr>
                <w:rFonts w:eastAsia="Calibri"/>
                <w:sz w:val="17"/>
                <w:szCs w:val="17"/>
              </w:rPr>
              <w:t>above</w:t>
            </w:r>
            <w:r w:rsidRPr="00A16798">
              <w:rPr>
                <w:rFonts w:eastAsia="Calibri"/>
                <w:sz w:val="17"/>
                <w:szCs w:val="17"/>
              </w:rPr>
              <w:t xml:space="preserve"> </w:t>
            </w:r>
          </w:p>
          <w:p w14:paraId="529DEF56" w14:textId="77777777" w:rsidR="00B548DD" w:rsidRPr="00A16798" w:rsidRDefault="00B548DD" w:rsidP="0084578B">
            <w:pPr>
              <w:autoSpaceDE w:val="0"/>
              <w:autoSpaceDN w:val="0"/>
              <w:adjustRightInd w:val="0"/>
              <w:rPr>
                <w:rFonts w:eastAsia="Calibri"/>
                <w:sz w:val="17"/>
                <w:szCs w:val="17"/>
              </w:rPr>
            </w:pPr>
            <w:r w:rsidRPr="00A16798">
              <w:rPr>
                <w:rFonts w:eastAsia="Calibri"/>
                <w:sz w:val="17"/>
                <w:szCs w:val="17"/>
              </w:rPr>
              <w:t>(disaggregated</w:t>
            </w:r>
            <w:r w:rsidRPr="00A16798">
              <w:rPr>
                <w:bCs/>
                <w:color w:val="000000"/>
                <w:sz w:val="17"/>
                <w:szCs w:val="17"/>
              </w:rPr>
              <w:t xml:space="preserve"> by sex</w:t>
            </w:r>
            <w:r w:rsidRPr="00A16798">
              <w:rPr>
                <w:bCs/>
                <w:color w:val="000000"/>
                <w:sz w:val="17"/>
                <w:szCs w:val="17"/>
                <w:u w:val="single"/>
              </w:rPr>
              <w:t>)</w:t>
            </w:r>
          </w:p>
          <w:p w14:paraId="0FF39781" w14:textId="77777777" w:rsidR="00B548DD" w:rsidRPr="00A16798" w:rsidRDefault="00B548DD" w:rsidP="00FD6992">
            <w:pPr>
              <w:rPr>
                <w:bCs/>
                <w:color w:val="000000"/>
                <w:sz w:val="17"/>
                <w:szCs w:val="17"/>
                <w:u w:val="single"/>
              </w:rPr>
            </w:pPr>
          </w:p>
          <w:p w14:paraId="0F07DA80" w14:textId="77777777" w:rsidR="00B548DD" w:rsidRPr="00A16798" w:rsidRDefault="00B548DD" w:rsidP="00FD6992">
            <w:pPr>
              <w:rPr>
                <w:bCs/>
                <w:color w:val="000000"/>
                <w:sz w:val="17"/>
                <w:szCs w:val="17"/>
              </w:rPr>
            </w:pPr>
          </w:p>
          <w:p w14:paraId="3B56218A" w14:textId="77777777" w:rsidR="00B548DD" w:rsidRPr="00A16798" w:rsidRDefault="00B548DD" w:rsidP="00FD6992">
            <w:pPr>
              <w:rPr>
                <w:bCs/>
                <w:color w:val="000000"/>
                <w:sz w:val="17"/>
                <w:szCs w:val="17"/>
              </w:rPr>
            </w:pPr>
            <w:r w:rsidRPr="00A16798">
              <w:rPr>
                <w:bCs/>
                <w:color w:val="000000"/>
                <w:sz w:val="17"/>
                <w:szCs w:val="17"/>
              </w:rPr>
              <w:t>Baseline</w:t>
            </w:r>
            <w:r w:rsidR="008447DD">
              <w:rPr>
                <w:bCs/>
                <w:color w:val="000000"/>
                <w:sz w:val="17"/>
                <w:szCs w:val="17"/>
              </w:rPr>
              <w:t xml:space="preserve"> (2015)</w:t>
            </w:r>
            <w:r w:rsidRPr="00A16798">
              <w:rPr>
                <w:bCs/>
                <w:color w:val="000000"/>
                <w:sz w:val="17"/>
                <w:szCs w:val="17"/>
              </w:rPr>
              <w:t>: 13.6%</w:t>
            </w:r>
            <w:r w:rsidR="00283B30" w:rsidRPr="00A16798">
              <w:rPr>
                <w:bCs/>
                <w:color w:val="000000"/>
                <w:sz w:val="17"/>
                <w:szCs w:val="17"/>
              </w:rPr>
              <w:t>;</w:t>
            </w:r>
            <w:r w:rsidRPr="00A16798">
              <w:rPr>
                <w:bCs/>
                <w:color w:val="000000"/>
                <w:sz w:val="17"/>
                <w:szCs w:val="17"/>
              </w:rPr>
              <w:t xml:space="preserve"> </w:t>
            </w:r>
            <w:r w:rsidR="008447DD">
              <w:rPr>
                <w:bCs/>
                <w:color w:val="000000"/>
                <w:sz w:val="17"/>
                <w:szCs w:val="17"/>
              </w:rPr>
              <w:t>male,</w:t>
            </w:r>
            <w:r w:rsidRPr="00A16798">
              <w:rPr>
                <w:bCs/>
                <w:color w:val="000000"/>
                <w:sz w:val="17"/>
                <w:szCs w:val="17"/>
              </w:rPr>
              <w:t xml:space="preserve"> 9.3%</w:t>
            </w:r>
            <w:r w:rsidR="008447DD">
              <w:rPr>
                <w:bCs/>
                <w:color w:val="000000"/>
                <w:sz w:val="17"/>
                <w:szCs w:val="17"/>
              </w:rPr>
              <w:t>;</w:t>
            </w:r>
            <w:r w:rsidRPr="00A16798">
              <w:rPr>
                <w:bCs/>
                <w:color w:val="000000"/>
                <w:sz w:val="17"/>
                <w:szCs w:val="17"/>
              </w:rPr>
              <w:t xml:space="preserve"> </w:t>
            </w:r>
            <w:r w:rsidR="008447DD">
              <w:rPr>
                <w:bCs/>
                <w:color w:val="000000"/>
                <w:sz w:val="17"/>
                <w:szCs w:val="17"/>
              </w:rPr>
              <w:t xml:space="preserve">female, </w:t>
            </w:r>
            <w:r w:rsidRPr="00A16798">
              <w:rPr>
                <w:bCs/>
                <w:color w:val="000000"/>
                <w:sz w:val="17"/>
                <w:szCs w:val="17"/>
              </w:rPr>
              <w:t xml:space="preserve">19.7% </w:t>
            </w:r>
          </w:p>
          <w:p w14:paraId="72517815" w14:textId="77777777" w:rsidR="00B548DD" w:rsidRPr="00A16798" w:rsidRDefault="00B548DD" w:rsidP="00FD6992">
            <w:pPr>
              <w:rPr>
                <w:bCs/>
                <w:color w:val="000000"/>
                <w:sz w:val="17"/>
                <w:szCs w:val="17"/>
              </w:rPr>
            </w:pPr>
            <w:r w:rsidRPr="00A16798">
              <w:rPr>
                <w:bCs/>
                <w:color w:val="000000"/>
                <w:sz w:val="17"/>
                <w:szCs w:val="17"/>
              </w:rPr>
              <w:lastRenderedPageBreak/>
              <w:t>Target</w:t>
            </w:r>
            <w:r w:rsidR="008447DD">
              <w:rPr>
                <w:bCs/>
                <w:color w:val="000000"/>
                <w:sz w:val="17"/>
                <w:szCs w:val="17"/>
              </w:rPr>
              <w:t xml:space="preserve"> (2021)</w:t>
            </w:r>
            <w:r w:rsidRPr="00A16798">
              <w:rPr>
                <w:bCs/>
                <w:color w:val="000000"/>
                <w:sz w:val="17"/>
                <w:szCs w:val="17"/>
              </w:rPr>
              <w:t>: 9%</w:t>
            </w:r>
            <w:r w:rsidR="00283B30" w:rsidRPr="00A16798">
              <w:rPr>
                <w:bCs/>
                <w:color w:val="000000"/>
                <w:sz w:val="17"/>
                <w:szCs w:val="17"/>
              </w:rPr>
              <w:t>;</w:t>
            </w:r>
            <w:r w:rsidRPr="00A16798">
              <w:rPr>
                <w:bCs/>
                <w:color w:val="000000"/>
                <w:sz w:val="17"/>
                <w:szCs w:val="17"/>
              </w:rPr>
              <w:t xml:space="preserve"> </w:t>
            </w:r>
            <w:r w:rsidR="008447DD">
              <w:rPr>
                <w:bCs/>
                <w:color w:val="000000"/>
                <w:sz w:val="17"/>
                <w:szCs w:val="17"/>
              </w:rPr>
              <w:t xml:space="preserve">male, </w:t>
            </w:r>
            <w:r w:rsidR="00E15DA7" w:rsidRPr="00A16798">
              <w:rPr>
                <w:bCs/>
                <w:color w:val="000000"/>
                <w:sz w:val="17"/>
                <w:szCs w:val="17"/>
              </w:rPr>
              <w:t>9</w:t>
            </w:r>
            <w:r w:rsidRPr="00A16798">
              <w:rPr>
                <w:bCs/>
                <w:color w:val="000000"/>
                <w:sz w:val="17"/>
                <w:szCs w:val="17"/>
              </w:rPr>
              <w:t>%</w:t>
            </w:r>
            <w:r w:rsidR="008447DD">
              <w:rPr>
                <w:bCs/>
                <w:color w:val="000000"/>
                <w:sz w:val="17"/>
                <w:szCs w:val="17"/>
              </w:rPr>
              <w:t>; female,</w:t>
            </w:r>
            <w:r w:rsidRPr="00A16798">
              <w:rPr>
                <w:bCs/>
                <w:color w:val="000000"/>
                <w:sz w:val="17"/>
                <w:szCs w:val="17"/>
              </w:rPr>
              <w:t xml:space="preserve"> </w:t>
            </w:r>
            <w:r w:rsidR="00E15DA7" w:rsidRPr="00A16798">
              <w:rPr>
                <w:bCs/>
                <w:color w:val="000000"/>
                <w:sz w:val="17"/>
                <w:szCs w:val="17"/>
              </w:rPr>
              <w:t>9</w:t>
            </w:r>
            <w:r w:rsidRPr="00A16798">
              <w:rPr>
                <w:bCs/>
                <w:color w:val="000000"/>
                <w:sz w:val="17"/>
                <w:szCs w:val="17"/>
              </w:rPr>
              <w:t>%</w:t>
            </w:r>
          </w:p>
          <w:p w14:paraId="3A78AC60" w14:textId="77777777" w:rsidR="00B548DD" w:rsidRPr="00A16798" w:rsidRDefault="00B548DD" w:rsidP="00FD6992">
            <w:pPr>
              <w:rPr>
                <w:bCs/>
                <w:color w:val="000000"/>
                <w:sz w:val="17"/>
                <w:szCs w:val="17"/>
              </w:rPr>
            </w:pPr>
          </w:p>
          <w:p w14:paraId="4279A455" w14:textId="77777777" w:rsidR="00B548DD" w:rsidRPr="00A16798" w:rsidRDefault="00B548DD" w:rsidP="00FD6992">
            <w:pPr>
              <w:rPr>
                <w:bCs/>
                <w:color w:val="000000"/>
                <w:sz w:val="17"/>
                <w:szCs w:val="17"/>
              </w:rPr>
            </w:pPr>
          </w:p>
          <w:p w14:paraId="4FA23954" w14:textId="77777777" w:rsidR="00B548DD" w:rsidRPr="00A16798" w:rsidRDefault="00B548DD" w:rsidP="00FD6992">
            <w:pPr>
              <w:rPr>
                <w:bCs/>
                <w:color w:val="000000"/>
                <w:sz w:val="17"/>
                <w:szCs w:val="17"/>
              </w:rPr>
            </w:pPr>
          </w:p>
          <w:p w14:paraId="1D7E2D4D" w14:textId="77777777" w:rsidR="00B548DD" w:rsidRPr="009B2E26" w:rsidRDefault="00B548DD" w:rsidP="00FD6992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sz w:val="17"/>
                <w:szCs w:val="17"/>
              </w:rPr>
            </w:pPr>
            <w:r w:rsidRPr="009B2E26">
              <w:rPr>
                <w:b/>
                <w:bCs/>
                <w:i/>
                <w:color w:val="000000"/>
                <w:sz w:val="17"/>
                <w:szCs w:val="17"/>
              </w:rPr>
              <w:t xml:space="preserve">Indicator: </w:t>
            </w:r>
          </w:p>
          <w:p w14:paraId="0C9C9806" w14:textId="77777777" w:rsidR="00B548DD" w:rsidRPr="00A16798" w:rsidRDefault="00932425" w:rsidP="00FD6992">
            <w:pPr>
              <w:autoSpaceDE w:val="0"/>
              <w:autoSpaceDN w:val="0"/>
              <w:adjustRightInd w:val="0"/>
              <w:rPr>
                <w:rFonts w:eastAsia="Calibri"/>
                <w:sz w:val="17"/>
                <w:szCs w:val="17"/>
              </w:rPr>
            </w:pPr>
            <w:r>
              <w:rPr>
                <w:rFonts w:eastAsia="Calibri"/>
                <w:sz w:val="17"/>
                <w:szCs w:val="17"/>
              </w:rPr>
              <w:t>Percentage</w:t>
            </w:r>
            <w:r w:rsidRPr="00A16798">
              <w:rPr>
                <w:rFonts w:eastAsia="Calibri"/>
                <w:sz w:val="17"/>
                <w:szCs w:val="17"/>
              </w:rPr>
              <w:t xml:space="preserve"> </w:t>
            </w:r>
            <w:r w:rsidR="00DB0939" w:rsidRPr="00A16798">
              <w:rPr>
                <w:rFonts w:eastAsia="Calibri"/>
                <w:sz w:val="17"/>
                <w:szCs w:val="17"/>
              </w:rPr>
              <w:t xml:space="preserve">of </w:t>
            </w:r>
            <w:r w:rsidR="00B548DD" w:rsidRPr="00A16798">
              <w:rPr>
                <w:rFonts w:eastAsia="Calibri"/>
                <w:sz w:val="17"/>
                <w:szCs w:val="17"/>
              </w:rPr>
              <w:t>members of vulnerable communities having access to at least one form of com</w:t>
            </w:r>
            <w:r w:rsidR="00A457CA" w:rsidRPr="00A16798">
              <w:rPr>
                <w:rFonts w:eastAsia="Calibri"/>
                <w:sz w:val="17"/>
                <w:szCs w:val="17"/>
              </w:rPr>
              <w:t>munication to receive early warn</w:t>
            </w:r>
            <w:r w:rsidR="00B548DD" w:rsidRPr="00A16798">
              <w:rPr>
                <w:rFonts w:eastAsia="Calibri"/>
                <w:sz w:val="17"/>
                <w:szCs w:val="17"/>
              </w:rPr>
              <w:t>ing</w:t>
            </w:r>
            <w:r w:rsidR="00A562A3">
              <w:rPr>
                <w:rFonts w:eastAsia="Calibri"/>
                <w:sz w:val="17"/>
                <w:szCs w:val="17"/>
              </w:rPr>
              <w:t>s</w:t>
            </w:r>
          </w:p>
          <w:p w14:paraId="6E80E8BB" w14:textId="77777777" w:rsidR="00B548DD" w:rsidRPr="00A16798" w:rsidRDefault="008560A7" w:rsidP="00FD6992">
            <w:pPr>
              <w:rPr>
                <w:bCs/>
                <w:color w:val="000000"/>
                <w:sz w:val="17"/>
                <w:szCs w:val="17"/>
              </w:rPr>
            </w:pPr>
            <w:r w:rsidRPr="00A16798">
              <w:rPr>
                <w:bCs/>
                <w:color w:val="000000"/>
                <w:sz w:val="17"/>
                <w:szCs w:val="17"/>
              </w:rPr>
              <w:t xml:space="preserve">Baseline </w:t>
            </w:r>
            <w:r w:rsidR="008447DD">
              <w:rPr>
                <w:bCs/>
                <w:color w:val="000000"/>
                <w:sz w:val="17"/>
                <w:szCs w:val="17"/>
              </w:rPr>
              <w:t>(2015)</w:t>
            </w:r>
            <w:r w:rsidR="00B548DD" w:rsidRPr="00A16798">
              <w:rPr>
                <w:bCs/>
                <w:color w:val="000000"/>
                <w:sz w:val="17"/>
                <w:szCs w:val="17"/>
              </w:rPr>
              <w:t>:</w:t>
            </w:r>
            <w:r w:rsidR="00A457CA" w:rsidRPr="00A16798">
              <w:rPr>
                <w:bCs/>
                <w:color w:val="000000"/>
                <w:sz w:val="17"/>
                <w:szCs w:val="17"/>
              </w:rPr>
              <w:t xml:space="preserve"> </w:t>
            </w:r>
            <w:r w:rsidR="00B548DD" w:rsidRPr="00A16798">
              <w:rPr>
                <w:bCs/>
                <w:color w:val="000000"/>
                <w:sz w:val="17"/>
                <w:szCs w:val="17"/>
              </w:rPr>
              <w:t xml:space="preserve">0% </w:t>
            </w:r>
          </w:p>
          <w:p w14:paraId="626D43DE" w14:textId="77777777" w:rsidR="00B548DD" w:rsidRDefault="00B548DD" w:rsidP="00FD6992">
            <w:pPr>
              <w:rPr>
                <w:bCs/>
                <w:color w:val="000000"/>
                <w:sz w:val="17"/>
                <w:szCs w:val="17"/>
                <w:u w:val="single"/>
              </w:rPr>
            </w:pPr>
            <w:r w:rsidRPr="00A16798">
              <w:rPr>
                <w:bCs/>
                <w:color w:val="000000"/>
                <w:sz w:val="17"/>
                <w:szCs w:val="17"/>
              </w:rPr>
              <w:t>Target</w:t>
            </w:r>
            <w:r w:rsidR="008447DD">
              <w:rPr>
                <w:bCs/>
                <w:color w:val="000000"/>
                <w:sz w:val="17"/>
                <w:szCs w:val="17"/>
              </w:rPr>
              <w:t xml:space="preserve"> (2021)</w:t>
            </w:r>
            <w:r w:rsidRPr="00A16798">
              <w:rPr>
                <w:bCs/>
                <w:color w:val="000000"/>
                <w:sz w:val="17"/>
                <w:szCs w:val="17"/>
              </w:rPr>
              <w:t>: 30%</w:t>
            </w:r>
          </w:p>
          <w:p w14:paraId="14D19842" w14:textId="77777777" w:rsidR="008447DD" w:rsidRPr="00A16798" w:rsidRDefault="008447DD" w:rsidP="00FD6992">
            <w:pPr>
              <w:rPr>
                <w:bCs/>
                <w:color w:val="000000"/>
                <w:sz w:val="17"/>
                <w:szCs w:val="17"/>
                <w:u w:val="single"/>
              </w:rPr>
            </w:pPr>
          </w:p>
          <w:p w14:paraId="47CAD213" w14:textId="77777777" w:rsidR="00B548DD" w:rsidRPr="00A16798" w:rsidRDefault="00B548DD" w:rsidP="00FD6992">
            <w:pPr>
              <w:autoSpaceDE w:val="0"/>
              <w:autoSpaceDN w:val="0"/>
              <w:adjustRightInd w:val="0"/>
              <w:rPr>
                <w:rFonts w:eastAsia="Calibri"/>
                <w:sz w:val="17"/>
                <w:szCs w:val="17"/>
              </w:rPr>
            </w:pPr>
            <w:r w:rsidRPr="009B2E26">
              <w:rPr>
                <w:b/>
                <w:bCs/>
                <w:i/>
                <w:color w:val="000000"/>
                <w:sz w:val="17"/>
                <w:szCs w:val="17"/>
              </w:rPr>
              <w:t>Indicator:</w:t>
            </w:r>
            <w:r w:rsidRPr="00A16798">
              <w:rPr>
                <w:bCs/>
                <w:color w:val="000000"/>
                <w:sz w:val="17"/>
                <w:szCs w:val="17"/>
              </w:rPr>
              <w:t xml:space="preserve"> </w:t>
            </w:r>
            <w:r w:rsidRPr="00A16798">
              <w:rPr>
                <w:rFonts w:eastAsia="Calibri"/>
                <w:sz w:val="17"/>
                <w:szCs w:val="17"/>
              </w:rPr>
              <w:t>Activity rate (disaggregated by sex)</w:t>
            </w:r>
          </w:p>
          <w:p w14:paraId="4AEA0249" w14:textId="77777777" w:rsidR="00B548DD" w:rsidRPr="00A16798" w:rsidRDefault="00A457CA" w:rsidP="00FD6992">
            <w:pPr>
              <w:rPr>
                <w:bCs/>
                <w:color w:val="000000"/>
                <w:sz w:val="17"/>
                <w:szCs w:val="17"/>
              </w:rPr>
            </w:pPr>
            <w:r w:rsidRPr="00A16798">
              <w:rPr>
                <w:bCs/>
                <w:color w:val="000000"/>
                <w:sz w:val="17"/>
                <w:szCs w:val="17"/>
              </w:rPr>
              <w:t>Baseline</w:t>
            </w:r>
            <w:r w:rsidR="008447DD">
              <w:rPr>
                <w:bCs/>
                <w:color w:val="000000"/>
                <w:sz w:val="17"/>
                <w:szCs w:val="17"/>
              </w:rPr>
              <w:t xml:space="preserve"> (2015)</w:t>
            </w:r>
            <w:r w:rsidRPr="00A16798">
              <w:rPr>
                <w:bCs/>
                <w:color w:val="000000"/>
                <w:sz w:val="17"/>
                <w:szCs w:val="17"/>
              </w:rPr>
              <w:t>: 62.6%</w:t>
            </w:r>
            <w:r w:rsidR="00B548DD" w:rsidRPr="00A16798">
              <w:rPr>
                <w:bCs/>
                <w:color w:val="000000"/>
                <w:sz w:val="17"/>
                <w:szCs w:val="17"/>
              </w:rPr>
              <w:t>;</w:t>
            </w:r>
            <w:r w:rsidR="008447DD">
              <w:rPr>
                <w:bCs/>
                <w:color w:val="000000"/>
                <w:sz w:val="17"/>
                <w:szCs w:val="17"/>
              </w:rPr>
              <w:t xml:space="preserve"> male, </w:t>
            </w:r>
            <w:r w:rsidR="00B548DD" w:rsidRPr="00A16798">
              <w:rPr>
                <w:bCs/>
                <w:color w:val="000000"/>
                <w:sz w:val="17"/>
                <w:szCs w:val="17"/>
              </w:rPr>
              <w:t>74.6%</w:t>
            </w:r>
            <w:r w:rsidR="008447DD">
              <w:rPr>
                <w:bCs/>
                <w:color w:val="000000"/>
                <w:sz w:val="17"/>
                <w:szCs w:val="17"/>
              </w:rPr>
              <w:t>; female,</w:t>
            </w:r>
            <w:r w:rsidR="00B548DD" w:rsidRPr="00A16798">
              <w:rPr>
                <w:bCs/>
                <w:color w:val="000000"/>
                <w:sz w:val="17"/>
                <w:szCs w:val="17"/>
              </w:rPr>
              <w:t xml:space="preserve"> 50.8%</w:t>
            </w:r>
          </w:p>
          <w:p w14:paraId="0E668D21" w14:textId="77777777" w:rsidR="00B548DD" w:rsidRPr="00A16798" w:rsidRDefault="00C67F29" w:rsidP="008447DD">
            <w:pPr>
              <w:rPr>
                <w:bCs/>
                <w:color w:val="000000"/>
                <w:sz w:val="17"/>
                <w:szCs w:val="17"/>
              </w:rPr>
            </w:pPr>
            <w:r w:rsidRPr="00A16798">
              <w:rPr>
                <w:bCs/>
                <w:color w:val="000000"/>
                <w:sz w:val="17"/>
                <w:szCs w:val="17"/>
              </w:rPr>
              <w:t>Target</w:t>
            </w:r>
            <w:r w:rsidR="008447DD">
              <w:rPr>
                <w:bCs/>
                <w:color w:val="000000"/>
                <w:sz w:val="17"/>
                <w:szCs w:val="17"/>
              </w:rPr>
              <w:t xml:space="preserve"> (2021)</w:t>
            </w:r>
            <w:r w:rsidRPr="00A16798">
              <w:rPr>
                <w:bCs/>
                <w:color w:val="000000"/>
                <w:sz w:val="17"/>
                <w:szCs w:val="17"/>
              </w:rPr>
              <w:t>: 80%</w:t>
            </w:r>
            <w:r w:rsidR="00B548DD" w:rsidRPr="00A16798">
              <w:rPr>
                <w:bCs/>
                <w:color w:val="000000"/>
                <w:sz w:val="17"/>
                <w:szCs w:val="17"/>
              </w:rPr>
              <w:t xml:space="preserve">; </w:t>
            </w:r>
            <w:r w:rsidR="008447DD">
              <w:rPr>
                <w:bCs/>
                <w:color w:val="000000"/>
                <w:sz w:val="17"/>
                <w:szCs w:val="17"/>
              </w:rPr>
              <w:t xml:space="preserve">male, </w:t>
            </w:r>
            <w:r w:rsidR="00E15DA7" w:rsidRPr="00A16798">
              <w:rPr>
                <w:bCs/>
                <w:color w:val="000000"/>
                <w:sz w:val="17"/>
                <w:szCs w:val="17"/>
              </w:rPr>
              <w:t>8</w:t>
            </w:r>
            <w:r w:rsidR="00B548DD" w:rsidRPr="00A16798">
              <w:rPr>
                <w:bCs/>
                <w:color w:val="000000"/>
                <w:sz w:val="17"/>
                <w:szCs w:val="17"/>
              </w:rPr>
              <w:t>0%;</w:t>
            </w:r>
            <w:r w:rsidR="008447DD">
              <w:rPr>
                <w:bCs/>
                <w:color w:val="000000"/>
                <w:sz w:val="17"/>
                <w:szCs w:val="17"/>
              </w:rPr>
              <w:t xml:space="preserve"> female, </w:t>
            </w:r>
            <w:r w:rsidR="00E15DA7" w:rsidRPr="00A16798">
              <w:rPr>
                <w:bCs/>
                <w:color w:val="000000"/>
                <w:sz w:val="17"/>
                <w:szCs w:val="17"/>
              </w:rPr>
              <w:t>8</w:t>
            </w:r>
            <w:r w:rsidR="00B548DD" w:rsidRPr="00A16798">
              <w:rPr>
                <w:bCs/>
                <w:color w:val="000000"/>
                <w:sz w:val="17"/>
                <w:szCs w:val="17"/>
              </w:rPr>
              <w:t>0%</w:t>
            </w:r>
          </w:p>
        </w:tc>
        <w:tc>
          <w:tcPr>
            <w:tcW w:w="911" w:type="pct"/>
            <w:vMerge w:val="restart"/>
            <w:tcBorders>
              <w:right w:val="single" w:sz="4" w:space="0" w:color="auto"/>
            </w:tcBorders>
          </w:tcPr>
          <w:p w14:paraId="0F40DFF7" w14:textId="77777777" w:rsidR="00B548DD" w:rsidRPr="00A16798" w:rsidRDefault="00B548DD" w:rsidP="00FD6992">
            <w:pPr>
              <w:spacing w:after="120"/>
              <w:rPr>
                <w:iCs/>
                <w:sz w:val="17"/>
                <w:szCs w:val="17"/>
              </w:rPr>
            </w:pPr>
            <w:r w:rsidRPr="00A16798">
              <w:rPr>
                <w:iCs/>
                <w:sz w:val="17"/>
                <w:szCs w:val="17"/>
              </w:rPr>
              <w:lastRenderedPageBreak/>
              <w:t xml:space="preserve">Poverty </w:t>
            </w:r>
            <w:r w:rsidR="00932425">
              <w:rPr>
                <w:iCs/>
                <w:sz w:val="17"/>
                <w:szCs w:val="17"/>
              </w:rPr>
              <w:t>p</w:t>
            </w:r>
            <w:r w:rsidRPr="00A16798">
              <w:rPr>
                <w:iCs/>
                <w:sz w:val="17"/>
                <w:szCs w:val="17"/>
              </w:rPr>
              <w:t>rofile (INE)</w:t>
            </w:r>
          </w:p>
          <w:p w14:paraId="46DCCA51" w14:textId="77777777" w:rsidR="00D97453" w:rsidRPr="00A16798" w:rsidRDefault="00D97453" w:rsidP="00FD6992">
            <w:pPr>
              <w:spacing w:after="120"/>
              <w:rPr>
                <w:iCs/>
                <w:sz w:val="17"/>
                <w:szCs w:val="17"/>
              </w:rPr>
            </w:pPr>
            <w:r w:rsidRPr="00A16798">
              <w:rPr>
                <w:iCs/>
                <w:sz w:val="17"/>
                <w:szCs w:val="17"/>
              </w:rPr>
              <w:t>Frequency: 5 years</w:t>
            </w:r>
          </w:p>
          <w:p w14:paraId="1F4A591F" w14:textId="77777777" w:rsidR="00B548DD" w:rsidRPr="00A16798" w:rsidRDefault="00B548DD" w:rsidP="00FD6992">
            <w:pPr>
              <w:spacing w:after="120"/>
              <w:rPr>
                <w:iCs/>
                <w:sz w:val="17"/>
                <w:szCs w:val="17"/>
              </w:rPr>
            </w:pPr>
            <w:r w:rsidRPr="00A16798">
              <w:rPr>
                <w:iCs/>
                <w:sz w:val="17"/>
                <w:szCs w:val="17"/>
              </w:rPr>
              <w:t xml:space="preserve">Reports of Ministry of Employment </w:t>
            </w:r>
          </w:p>
          <w:p w14:paraId="0249CFFC" w14:textId="77777777" w:rsidR="00D97453" w:rsidRPr="00A16798" w:rsidRDefault="00D97453" w:rsidP="00FD6992">
            <w:pPr>
              <w:spacing w:after="120"/>
              <w:rPr>
                <w:iCs/>
                <w:sz w:val="17"/>
                <w:szCs w:val="17"/>
              </w:rPr>
            </w:pPr>
            <w:r w:rsidRPr="00A16798">
              <w:rPr>
                <w:iCs/>
                <w:sz w:val="17"/>
                <w:szCs w:val="17"/>
              </w:rPr>
              <w:t>Frequency: Annual</w:t>
            </w:r>
          </w:p>
          <w:p w14:paraId="64BCA23A" w14:textId="77777777" w:rsidR="00B548DD" w:rsidRPr="00A16798" w:rsidRDefault="00B548DD" w:rsidP="00FD6992">
            <w:pPr>
              <w:spacing w:after="120"/>
              <w:rPr>
                <w:iCs/>
                <w:sz w:val="17"/>
                <w:szCs w:val="17"/>
              </w:rPr>
            </w:pPr>
            <w:r w:rsidRPr="00A16798">
              <w:rPr>
                <w:iCs/>
                <w:sz w:val="17"/>
                <w:szCs w:val="17"/>
              </w:rPr>
              <w:t>Reports of the Directorate of Environment</w:t>
            </w:r>
          </w:p>
          <w:p w14:paraId="33A8874E" w14:textId="77777777" w:rsidR="00D97453" w:rsidRPr="00A16798" w:rsidRDefault="00D97453" w:rsidP="00FD6992">
            <w:pPr>
              <w:spacing w:after="120"/>
              <w:rPr>
                <w:iCs/>
                <w:sz w:val="17"/>
                <w:szCs w:val="17"/>
              </w:rPr>
            </w:pPr>
            <w:r w:rsidRPr="00A16798">
              <w:rPr>
                <w:iCs/>
                <w:sz w:val="17"/>
                <w:szCs w:val="17"/>
              </w:rPr>
              <w:t>Frequency: Annual</w:t>
            </w:r>
          </w:p>
          <w:p w14:paraId="635B8BF5" w14:textId="77777777" w:rsidR="00B548DD" w:rsidRPr="00A16798" w:rsidRDefault="00B548DD" w:rsidP="00FD6992">
            <w:pPr>
              <w:spacing w:after="120"/>
              <w:rPr>
                <w:iCs/>
                <w:sz w:val="17"/>
                <w:szCs w:val="17"/>
              </w:rPr>
            </w:pPr>
            <w:r w:rsidRPr="00A16798">
              <w:rPr>
                <w:iCs/>
                <w:sz w:val="17"/>
                <w:szCs w:val="17"/>
              </w:rPr>
              <w:lastRenderedPageBreak/>
              <w:t>National Employment Policy</w:t>
            </w:r>
          </w:p>
          <w:p w14:paraId="4A1520ED" w14:textId="77777777" w:rsidR="00D97453" w:rsidRPr="00A16798" w:rsidRDefault="00D97453" w:rsidP="00FD6992">
            <w:pPr>
              <w:spacing w:after="120"/>
              <w:rPr>
                <w:iCs/>
                <w:sz w:val="17"/>
                <w:szCs w:val="17"/>
              </w:rPr>
            </w:pPr>
            <w:r w:rsidRPr="00A16798">
              <w:rPr>
                <w:iCs/>
                <w:sz w:val="17"/>
                <w:szCs w:val="17"/>
              </w:rPr>
              <w:t>Frequency: 5 years</w:t>
            </w:r>
          </w:p>
          <w:p w14:paraId="279D05A8" w14:textId="77777777" w:rsidR="00B548DD" w:rsidRPr="00A16798" w:rsidRDefault="00B548DD" w:rsidP="00FD6992">
            <w:pPr>
              <w:spacing w:after="120"/>
              <w:rPr>
                <w:iCs/>
                <w:sz w:val="17"/>
                <w:szCs w:val="17"/>
              </w:rPr>
            </w:pPr>
            <w:r w:rsidRPr="00A16798">
              <w:rPr>
                <w:iCs/>
                <w:sz w:val="17"/>
                <w:szCs w:val="17"/>
              </w:rPr>
              <w:t xml:space="preserve">Early </w:t>
            </w:r>
            <w:r w:rsidR="00932425">
              <w:rPr>
                <w:iCs/>
                <w:sz w:val="17"/>
                <w:szCs w:val="17"/>
              </w:rPr>
              <w:t>w</w:t>
            </w:r>
            <w:r w:rsidRPr="00A16798">
              <w:rPr>
                <w:iCs/>
                <w:sz w:val="17"/>
                <w:szCs w:val="17"/>
              </w:rPr>
              <w:t>arning reports</w:t>
            </w:r>
          </w:p>
          <w:p w14:paraId="4DEEC48A" w14:textId="77777777" w:rsidR="00D97453" w:rsidRPr="00A16798" w:rsidRDefault="00D97453" w:rsidP="00FD6992">
            <w:pPr>
              <w:spacing w:after="120"/>
              <w:rPr>
                <w:iCs/>
                <w:sz w:val="17"/>
                <w:szCs w:val="17"/>
              </w:rPr>
            </w:pPr>
            <w:r w:rsidRPr="00A16798">
              <w:rPr>
                <w:iCs/>
                <w:sz w:val="17"/>
                <w:szCs w:val="17"/>
              </w:rPr>
              <w:t>Frequency: Annual</w:t>
            </w:r>
          </w:p>
          <w:p w14:paraId="5BF6B90C" w14:textId="77777777" w:rsidR="00B548DD" w:rsidRPr="00A16798" w:rsidRDefault="00B548DD" w:rsidP="00FD6992">
            <w:pPr>
              <w:spacing w:after="120"/>
              <w:rPr>
                <w:iCs/>
                <w:sz w:val="17"/>
                <w:szCs w:val="17"/>
              </w:rPr>
            </w:pPr>
            <w:r w:rsidRPr="00A16798">
              <w:rPr>
                <w:iCs/>
                <w:sz w:val="17"/>
                <w:szCs w:val="17"/>
              </w:rPr>
              <w:t xml:space="preserve">Report of the Directorate of </w:t>
            </w:r>
            <w:r w:rsidR="00932425">
              <w:rPr>
                <w:iCs/>
                <w:sz w:val="17"/>
                <w:szCs w:val="17"/>
              </w:rPr>
              <w:t>P</w:t>
            </w:r>
            <w:r w:rsidRPr="00A16798">
              <w:rPr>
                <w:iCs/>
                <w:sz w:val="17"/>
                <w:szCs w:val="17"/>
              </w:rPr>
              <w:t>lanning</w:t>
            </w:r>
          </w:p>
          <w:p w14:paraId="2325F62D" w14:textId="77777777" w:rsidR="00D97453" w:rsidRPr="00A16798" w:rsidRDefault="00D97453" w:rsidP="00FD6992">
            <w:pPr>
              <w:spacing w:after="120"/>
              <w:rPr>
                <w:iCs/>
                <w:sz w:val="17"/>
                <w:szCs w:val="17"/>
              </w:rPr>
            </w:pPr>
            <w:r w:rsidRPr="00A16798">
              <w:rPr>
                <w:iCs/>
                <w:sz w:val="17"/>
                <w:szCs w:val="17"/>
              </w:rPr>
              <w:t>Frequency: Annual</w:t>
            </w:r>
          </w:p>
          <w:p w14:paraId="0261D6A5" w14:textId="77777777" w:rsidR="00B548DD" w:rsidRPr="00A16798" w:rsidRDefault="00B548DD" w:rsidP="00FD6992">
            <w:pPr>
              <w:spacing w:after="120"/>
              <w:rPr>
                <w:iCs/>
                <w:sz w:val="17"/>
                <w:szCs w:val="17"/>
              </w:rPr>
            </w:pP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74378D" w14:textId="77777777" w:rsidR="00C24505" w:rsidRDefault="00C24505" w:rsidP="00C24505">
            <w:pPr>
              <w:rPr>
                <w:sz w:val="17"/>
                <w:szCs w:val="17"/>
              </w:rPr>
            </w:pPr>
            <w:r w:rsidRPr="00A16798">
              <w:rPr>
                <w:b/>
                <w:sz w:val="17"/>
                <w:szCs w:val="17"/>
              </w:rPr>
              <w:lastRenderedPageBreak/>
              <w:t xml:space="preserve">Output 3.1 </w:t>
            </w:r>
            <w:r w:rsidRPr="00A16798">
              <w:rPr>
                <w:color w:val="000000"/>
                <w:sz w:val="17"/>
                <w:szCs w:val="17"/>
              </w:rPr>
              <w:t>National, local and regi</w:t>
            </w:r>
            <w:r w:rsidR="0084578B" w:rsidRPr="00A16798">
              <w:rPr>
                <w:color w:val="000000"/>
                <w:sz w:val="17"/>
                <w:szCs w:val="17"/>
              </w:rPr>
              <w:t>onal systems and institutions (</w:t>
            </w:r>
            <w:r w:rsidR="003F759B">
              <w:rPr>
                <w:color w:val="000000"/>
                <w:sz w:val="17"/>
                <w:szCs w:val="17"/>
              </w:rPr>
              <w:t>e</w:t>
            </w:r>
            <w:r w:rsidRPr="00A16798">
              <w:rPr>
                <w:color w:val="000000"/>
                <w:sz w:val="17"/>
                <w:szCs w:val="17"/>
              </w:rPr>
              <w:t xml:space="preserve">nvironment, </w:t>
            </w:r>
            <w:r w:rsidR="003F759B">
              <w:rPr>
                <w:color w:val="000000"/>
                <w:sz w:val="17"/>
                <w:szCs w:val="17"/>
              </w:rPr>
              <w:t>c</w:t>
            </w:r>
            <w:r w:rsidRPr="00A16798">
              <w:rPr>
                <w:color w:val="000000"/>
                <w:sz w:val="17"/>
                <w:szCs w:val="17"/>
              </w:rPr>
              <w:t xml:space="preserve">limate </w:t>
            </w:r>
            <w:r w:rsidR="003F759B">
              <w:rPr>
                <w:color w:val="000000"/>
                <w:sz w:val="17"/>
                <w:szCs w:val="17"/>
              </w:rPr>
              <w:t>c</w:t>
            </w:r>
            <w:r w:rsidRPr="00A16798">
              <w:rPr>
                <w:color w:val="000000"/>
                <w:sz w:val="17"/>
                <w:szCs w:val="17"/>
              </w:rPr>
              <w:t xml:space="preserve">hange and </w:t>
            </w:r>
            <w:r w:rsidR="003F759B">
              <w:rPr>
                <w:color w:val="000000"/>
                <w:sz w:val="17"/>
                <w:szCs w:val="17"/>
              </w:rPr>
              <w:t>d</w:t>
            </w:r>
            <w:r w:rsidRPr="00A16798">
              <w:rPr>
                <w:color w:val="000000"/>
                <w:sz w:val="17"/>
                <w:szCs w:val="17"/>
              </w:rPr>
              <w:t xml:space="preserve">isaster </w:t>
            </w:r>
            <w:r w:rsidR="003F759B">
              <w:rPr>
                <w:color w:val="000000"/>
                <w:sz w:val="17"/>
                <w:szCs w:val="17"/>
              </w:rPr>
              <w:t>r</w:t>
            </w:r>
            <w:r w:rsidRPr="00A16798">
              <w:rPr>
                <w:color w:val="000000"/>
                <w:sz w:val="17"/>
                <w:szCs w:val="17"/>
              </w:rPr>
              <w:t xml:space="preserve">isk </w:t>
            </w:r>
            <w:r w:rsidR="003F759B">
              <w:rPr>
                <w:color w:val="000000"/>
                <w:sz w:val="17"/>
                <w:szCs w:val="17"/>
              </w:rPr>
              <w:t>r</w:t>
            </w:r>
            <w:r w:rsidRPr="00A16798">
              <w:rPr>
                <w:color w:val="000000"/>
                <w:sz w:val="17"/>
                <w:szCs w:val="17"/>
              </w:rPr>
              <w:t xml:space="preserve">eduction) enabled to achieve structural transformation of </w:t>
            </w:r>
            <w:r w:rsidRPr="00A16798">
              <w:rPr>
                <w:sz w:val="17"/>
                <w:szCs w:val="17"/>
              </w:rPr>
              <w:t xml:space="preserve">productive capacities that are </w:t>
            </w:r>
            <w:r w:rsidRPr="00A16798">
              <w:rPr>
                <w:color w:val="000000"/>
                <w:sz w:val="17"/>
                <w:szCs w:val="17"/>
              </w:rPr>
              <w:t xml:space="preserve">sustainable and </w:t>
            </w:r>
            <w:r w:rsidR="000D401A">
              <w:rPr>
                <w:color w:val="000000"/>
                <w:sz w:val="17"/>
                <w:szCs w:val="17"/>
              </w:rPr>
              <w:t xml:space="preserve">support </w:t>
            </w:r>
            <w:r w:rsidRPr="00A16798">
              <w:rPr>
                <w:color w:val="000000"/>
                <w:sz w:val="17"/>
                <w:szCs w:val="17"/>
              </w:rPr>
              <w:t>employment</w:t>
            </w:r>
            <w:r w:rsidR="000D401A">
              <w:rPr>
                <w:color w:val="000000"/>
                <w:sz w:val="17"/>
                <w:szCs w:val="17"/>
              </w:rPr>
              <w:t>/</w:t>
            </w:r>
            <w:r w:rsidRPr="00A16798">
              <w:rPr>
                <w:color w:val="000000"/>
                <w:sz w:val="17"/>
                <w:szCs w:val="17"/>
              </w:rPr>
              <w:t>livelihoods</w:t>
            </w:r>
          </w:p>
          <w:p w14:paraId="4B842498" w14:textId="77777777" w:rsidR="000D401A" w:rsidRPr="00A16798" w:rsidRDefault="000D401A" w:rsidP="00C24505">
            <w:pPr>
              <w:rPr>
                <w:sz w:val="17"/>
                <w:szCs w:val="17"/>
              </w:rPr>
            </w:pPr>
          </w:p>
          <w:p w14:paraId="277CBC41" w14:textId="77777777" w:rsidR="00C24505" w:rsidRPr="00A16798" w:rsidRDefault="00C24505" w:rsidP="00C24505">
            <w:pPr>
              <w:ind w:right="-62"/>
              <w:jc w:val="both"/>
              <w:rPr>
                <w:sz w:val="17"/>
                <w:szCs w:val="17"/>
              </w:rPr>
            </w:pPr>
            <w:r w:rsidRPr="009B2E26">
              <w:rPr>
                <w:b/>
                <w:bCs/>
                <w:i/>
                <w:color w:val="000000"/>
                <w:sz w:val="17"/>
                <w:szCs w:val="17"/>
              </w:rPr>
              <w:t>Indicator:</w:t>
            </w:r>
            <w:r w:rsidRPr="00A16798">
              <w:rPr>
                <w:bCs/>
                <w:i/>
                <w:color w:val="000000"/>
                <w:sz w:val="17"/>
                <w:szCs w:val="17"/>
              </w:rPr>
              <w:t xml:space="preserve"> </w:t>
            </w:r>
            <w:r w:rsidRPr="00A16798">
              <w:rPr>
                <w:sz w:val="17"/>
                <w:szCs w:val="17"/>
              </w:rPr>
              <w:t>Number of policies, systems and/or institutional measures in place at central, local and regional levels to generate and strengthen employment and livelihoods</w:t>
            </w:r>
          </w:p>
          <w:p w14:paraId="774EC5B4" w14:textId="77777777" w:rsidR="00C24505" w:rsidRPr="00BF1EB3" w:rsidRDefault="00C24505" w:rsidP="00A563AC">
            <w:pPr>
              <w:pStyle w:val="ListParagraph"/>
              <w:numPr>
                <w:ilvl w:val="0"/>
                <w:numId w:val="31"/>
              </w:numPr>
              <w:ind w:left="371" w:hanging="218"/>
              <w:rPr>
                <w:sz w:val="17"/>
                <w:szCs w:val="17"/>
              </w:rPr>
            </w:pPr>
            <w:r w:rsidRPr="009B2E26">
              <w:rPr>
                <w:sz w:val="17"/>
                <w:szCs w:val="17"/>
              </w:rPr>
              <w:t>Baseline</w:t>
            </w:r>
            <w:r w:rsidR="000D401A">
              <w:rPr>
                <w:sz w:val="17"/>
                <w:szCs w:val="17"/>
              </w:rPr>
              <w:t xml:space="preserve"> (2015)</w:t>
            </w:r>
            <w:r w:rsidRPr="00BF1EB3">
              <w:rPr>
                <w:sz w:val="17"/>
                <w:szCs w:val="17"/>
              </w:rPr>
              <w:t xml:space="preserve">: 1 </w:t>
            </w:r>
          </w:p>
          <w:p w14:paraId="24037E28" w14:textId="77777777" w:rsidR="00C24505" w:rsidRPr="009B2E26" w:rsidRDefault="00C24505" w:rsidP="00C24505">
            <w:pPr>
              <w:numPr>
                <w:ilvl w:val="0"/>
                <w:numId w:val="5"/>
              </w:numPr>
              <w:ind w:hanging="220"/>
              <w:rPr>
                <w:iCs/>
                <w:color w:val="000000"/>
                <w:sz w:val="17"/>
                <w:szCs w:val="17"/>
              </w:rPr>
            </w:pPr>
            <w:r w:rsidRPr="009B2E26">
              <w:rPr>
                <w:iCs/>
                <w:color w:val="000000"/>
                <w:sz w:val="17"/>
                <w:szCs w:val="17"/>
              </w:rPr>
              <w:t>Target</w:t>
            </w:r>
            <w:r w:rsidR="000D401A">
              <w:rPr>
                <w:iCs/>
                <w:color w:val="000000"/>
                <w:sz w:val="17"/>
                <w:szCs w:val="17"/>
              </w:rPr>
              <w:t xml:space="preserve"> (2021)</w:t>
            </w:r>
            <w:r w:rsidRPr="009B2E26">
              <w:rPr>
                <w:iCs/>
                <w:color w:val="000000"/>
                <w:sz w:val="17"/>
                <w:szCs w:val="17"/>
              </w:rPr>
              <w:t xml:space="preserve">: </w:t>
            </w:r>
            <w:r w:rsidRPr="00BF1EB3">
              <w:rPr>
                <w:iCs/>
                <w:color w:val="000000"/>
                <w:sz w:val="17"/>
                <w:szCs w:val="17"/>
              </w:rPr>
              <w:t xml:space="preserve">4 </w:t>
            </w:r>
          </w:p>
          <w:p w14:paraId="350B906F" w14:textId="77777777" w:rsidR="00C24505" w:rsidRPr="009B2E26" w:rsidRDefault="00C24505" w:rsidP="00C24505">
            <w:pPr>
              <w:numPr>
                <w:ilvl w:val="0"/>
                <w:numId w:val="5"/>
              </w:numPr>
              <w:ind w:hanging="220"/>
              <w:rPr>
                <w:iCs/>
                <w:color w:val="000000"/>
                <w:sz w:val="17"/>
                <w:szCs w:val="17"/>
              </w:rPr>
            </w:pPr>
            <w:r w:rsidRPr="009B2E26">
              <w:rPr>
                <w:iCs/>
                <w:color w:val="000000"/>
                <w:sz w:val="17"/>
                <w:szCs w:val="17"/>
              </w:rPr>
              <w:t xml:space="preserve">Data </w:t>
            </w:r>
            <w:r w:rsidR="00283B30" w:rsidRPr="009B2E26">
              <w:rPr>
                <w:iCs/>
                <w:color w:val="000000"/>
                <w:sz w:val="17"/>
                <w:szCs w:val="17"/>
              </w:rPr>
              <w:t xml:space="preserve">source: </w:t>
            </w:r>
            <w:r w:rsidR="00283B30" w:rsidRPr="00BF1EB3">
              <w:rPr>
                <w:iCs/>
                <w:color w:val="000000"/>
                <w:sz w:val="17"/>
                <w:szCs w:val="17"/>
              </w:rPr>
              <w:t>Ministry</w:t>
            </w:r>
            <w:r w:rsidR="00DB0939" w:rsidRPr="00BF1EB3">
              <w:rPr>
                <w:iCs/>
                <w:color w:val="000000"/>
                <w:sz w:val="17"/>
                <w:szCs w:val="17"/>
              </w:rPr>
              <w:t xml:space="preserve"> of Natural R</w:t>
            </w:r>
            <w:r w:rsidRPr="00BF1EB3">
              <w:rPr>
                <w:iCs/>
                <w:color w:val="000000"/>
                <w:sz w:val="17"/>
                <w:szCs w:val="17"/>
              </w:rPr>
              <w:t>esources, Ministry of Employment</w:t>
            </w:r>
            <w:r w:rsidR="003737E0">
              <w:rPr>
                <w:iCs/>
                <w:color w:val="000000"/>
                <w:sz w:val="17"/>
                <w:szCs w:val="17"/>
              </w:rPr>
              <w:t>,</w:t>
            </w:r>
            <w:r w:rsidRPr="00BF1EB3">
              <w:rPr>
                <w:iCs/>
                <w:color w:val="000000"/>
                <w:sz w:val="17"/>
                <w:szCs w:val="17"/>
              </w:rPr>
              <w:t xml:space="preserve"> National Institute</w:t>
            </w:r>
            <w:r w:rsidR="008560A7" w:rsidRPr="00186B0F">
              <w:rPr>
                <w:iCs/>
                <w:color w:val="000000"/>
                <w:sz w:val="17"/>
                <w:szCs w:val="17"/>
              </w:rPr>
              <w:t xml:space="preserve"> of Statistics</w:t>
            </w:r>
            <w:r w:rsidRPr="007A1298">
              <w:rPr>
                <w:iCs/>
                <w:color w:val="000000"/>
                <w:sz w:val="17"/>
                <w:szCs w:val="17"/>
              </w:rPr>
              <w:t xml:space="preserve">; </w:t>
            </w:r>
            <w:r w:rsidR="003737E0">
              <w:rPr>
                <w:iCs/>
                <w:color w:val="000000"/>
                <w:sz w:val="17"/>
                <w:szCs w:val="17"/>
              </w:rPr>
              <w:t>p</w:t>
            </w:r>
            <w:r w:rsidRPr="007A1298">
              <w:rPr>
                <w:iCs/>
                <w:color w:val="000000"/>
                <w:sz w:val="17"/>
                <w:szCs w:val="17"/>
              </w:rPr>
              <w:t xml:space="preserve">roject </w:t>
            </w:r>
            <w:r w:rsidR="003737E0">
              <w:rPr>
                <w:iCs/>
                <w:color w:val="000000"/>
                <w:sz w:val="17"/>
                <w:szCs w:val="17"/>
              </w:rPr>
              <w:t>r</w:t>
            </w:r>
            <w:r w:rsidRPr="007A1298">
              <w:rPr>
                <w:iCs/>
                <w:color w:val="000000"/>
                <w:sz w:val="17"/>
                <w:szCs w:val="17"/>
              </w:rPr>
              <w:t>eports</w:t>
            </w:r>
          </w:p>
          <w:p w14:paraId="17B0CC3E" w14:textId="77777777" w:rsidR="00C24505" w:rsidRPr="009B2E26" w:rsidRDefault="003B4F04" w:rsidP="00C24505">
            <w:pPr>
              <w:numPr>
                <w:ilvl w:val="0"/>
                <w:numId w:val="5"/>
              </w:numPr>
              <w:ind w:hanging="220"/>
              <w:rPr>
                <w:iCs/>
                <w:color w:val="000000"/>
                <w:sz w:val="17"/>
                <w:szCs w:val="17"/>
              </w:rPr>
            </w:pPr>
            <w:r w:rsidRPr="009B2E26">
              <w:rPr>
                <w:iCs/>
                <w:color w:val="000000"/>
                <w:sz w:val="17"/>
                <w:szCs w:val="17"/>
              </w:rPr>
              <w:t xml:space="preserve">Frequency: </w:t>
            </w:r>
            <w:r w:rsidR="009D2F2D" w:rsidRPr="00BF1EB3">
              <w:rPr>
                <w:iCs/>
                <w:color w:val="000000"/>
                <w:sz w:val="17"/>
                <w:szCs w:val="17"/>
              </w:rPr>
              <w:t>Annual</w:t>
            </w:r>
          </w:p>
          <w:p w14:paraId="749818CC" w14:textId="77777777" w:rsidR="009F6523" w:rsidRPr="00A16798" w:rsidRDefault="00C24505" w:rsidP="009F6523">
            <w:pPr>
              <w:jc w:val="both"/>
              <w:rPr>
                <w:sz w:val="17"/>
                <w:szCs w:val="17"/>
              </w:rPr>
            </w:pPr>
            <w:r w:rsidRPr="009B2E26">
              <w:rPr>
                <w:b/>
                <w:bCs/>
                <w:i/>
                <w:color w:val="000000"/>
                <w:sz w:val="17"/>
                <w:szCs w:val="17"/>
              </w:rPr>
              <w:lastRenderedPageBreak/>
              <w:t>Indicator:</w:t>
            </w:r>
            <w:r w:rsidR="009F6523" w:rsidRPr="00A16798">
              <w:rPr>
                <w:bCs/>
                <w:i/>
                <w:color w:val="000000"/>
                <w:sz w:val="17"/>
                <w:szCs w:val="17"/>
              </w:rPr>
              <w:t xml:space="preserve"> </w:t>
            </w:r>
            <w:r w:rsidR="009F6523" w:rsidRPr="00A16798">
              <w:rPr>
                <w:sz w:val="17"/>
                <w:szCs w:val="17"/>
              </w:rPr>
              <w:t xml:space="preserve">Number </w:t>
            </w:r>
            <w:r w:rsidR="00283B30" w:rsidRPr="00A16798">
              <w:rPr>
                <w:sz w:val="17"/>
                <w:szCs w:val="17"/>
              </w:rPr>
              <w:t>of green</w:t>
            </w:r>
            <w:r w:rsidR="009F6523" w:rsidRPr="00A16798">
              <w:rPr>
                <w:sz w:val="17"/>
                <w:szCs w:val="17"/>
              </w:rPr>
              <w:t xml:space="preserve"> </w:t>
            </w:r>
            <w:r w:rsidR="00283B30" w:rsidRPr="00A16798">
              <w:rPr>
                <w:sz w:val="17"/>
                <w:szCs w:val="17"/>
              </w:rPr>
              <w:t>jobs created</w:t>
            </w:r>
            <w:r w:rsidR="009F6523" w:rsidRPr="00A16798">
              <w:rPr>
                <w:sz w:val="17"/>
                <w:szCs w:val="17"/>
              </w:rPr>
              <w:t> </w:t>
            </w:r>
          </w:p>
          <w:p w14:paraId="09FC45BF" w14:textId="77777777" w:rsidR="00C24505" w:rsidRPr="009B2E26" w:rsidRDefault="00C24505" w:rsidP="00C24505">
            <w:pPr>
              <w:numPr>
                <w:ilvl w:val="0"/>
                <w:numId w:val="5"/>
              </w:numPr>
              <w:ind w:hanging="220"/>
              <w:rPr>
                <w:iCs/>
                <w:color w:val="000000"/>
                <w:sz w:val="17"/>
                <w:szCs w:val="17"/>
              </w:rPr>
            </w:pPr>
            <w:r w:rsidRPr="009B2E26">
              <w:rPr>
                <w:iCs/>
                <w:color w:val="000000"/>
                <w:sz w:val="17"/>
                <w:szCs w:val="17"/>
              </w:rPr>
              <w:t>Baseline</w:t>
            </w:r>
            <w:r w:rsidR="00D82690">
              <w:rPr>
                <w:iCs/>
                <w:color w:val="000000"/>
                <w:sz w:val="17"/>
                <w:szCs w:val="17"/>
              </w:rPr>
              <w:t xml:space="preserve"> </w:t>
            </w:r>
            <w:r w:rsidR="00D82690" w:rsidRPr="00BF1EB3">
              <w:rPr>
                <w:iCs/>
                <w:color w:val="000000"/>
                <w:sz w:val="17"/>
                <w:szCs w:val="17"/>
              </w:rPr>
              <w:t>(2015)</w:t>
            </w:r>
            <w:r w:rsidRPr="009B2E26">
              <w:rPr>
                <w:iCs/>
                <w:color w:val="000000"/>
                <w:sz w:val="17"/>
                <w:szCs w:val="17"/>
              </w:rPr>
              <w:t>:</w:t>
            </w:r>
            <w:r w:rsidR="009F6523" w:rsidRPr="009B2E26">
              <w:rPr>
                <w:iCs/>
                <w:color w:val="000000"/>
                <w:sz w:val="17"/>
                <w:szCs w:val="17"/>
              </w:rPr>
              <w:t xml:space="preserve"> </w:t>
            </w:r>
            <w:r w:rsidR="009F6523" w:rsidRPr="00BF1EB3">
              <w:rPr>
                <w:iCs/>
                <w:color w:val="000000"/>
                <w:sz w:val="17"/>
                <w:szCs w:val="17"/>
              </w:rPr>
              <w:t xml:space="preserve">0 </w:t>
            </w:r>
          </w:p>
          <w:p w14:paraId="2E0C58C6" w14:textId="77777777" w:rsidR="00C24505" w:rsidRPr="009B2E26" w:rsidRDefault="00C24505" w:rsidP="00C24505">
            <w:pPr>
              <w:numPr>
                <w:ilvl w:val="0"/>
                <w:numId w:val="5"/>
              </w:numPr>
              <w:ind w:hanging="220"/>
              <w:rPr>
                <w:iCs/>
                <w:color w:val="000000"/>
                <w:sz w:val="17"/>
                <w:szCs w:val="17"/>
              </w:rPr>
            </w:pPr>
            <w:r w:rsidRPr="009B2E26">
              <w:rPr>
                <w:iCs/>
                <w:color w:val="000000"/>
                <w:sz w:val="17"/>
                <w:szCs w:val="17"/>
              </w:rPr>
              <w:t>Target</w:t>
            </w:r>
            <w:r w:rsidR="00D82690">
              <w:rPr>
                <w:iCs/>
                <w:color w:val="000000"/>
                <w:sz w:val="17"/>
                <w:szCs w:val="17"/>
              </w:rPr>
              <w:t xml:space="preserve"> </w:t>
            </w:r>
            <w:r w:rsidR="00D82690" w:rsidRPr="00186B0F">
              <w:rPr>
                <w:iCs/>
                <w:color w:val="000000"/>
                <w:sz w:val="17"/>
                <w:szCs w:val="17"/>
              </w:rPr>
              <w:t>(202</w:t>
            </w:r>
            <w:r w:rsidR="00D82690" w:rsidRPr="007A1298">
              <w:rPr>
                <w:iCs/>
                <w:color w:val="000000"/>
                <w:sz w:val="17"/>
                <w:szCs w:val="17"/>
              </w:rPr>
              <w:t>1)</w:t>
            </w:r>
            <w:r w:rsidRPr="009B2E26">
              <w:rPr>
                <w:iCs/>
                <w:color w:val="000000"/>
                <w:sz w:val="17"/>
                <w:szCs w:val="17"/>
              </w:rPr>
              <w:t xml:space="preserve">: </w:t>
            </w:r>
            <w:r w:rsidR="003B4F04" w:rsidRPr="00BF1EB3">
              <w:rPr>
                <w:iCs/>
                <w:color w:val="000000"/>
                <w:sz w:val="17"/>
                <w:szCs w:val="17"/>
              </w:rPr>
              <w:t>15</w:t>
            </w:r>
            <w:r w:rsidR="002C0A9F" w:rsidRPr="00BF1EB3">
              <w:rPr>
                <w:iCs/>
                <w:color w:val="000000"/>
                <w:sz w:val="17"/>
                <w:szCs w:val="17"/>
              </w:rPr>
              <w:t>0</w:t>
            </w:r>
            <w:r w:rsidRPr="00186B0F">
              <w:rPr>
                <w:iCs/>
                <w:color w:val="000000"/>
                <w:sz w:val="17"/>
                <w:szCs w:val="17"/>
              </w:rPr>
              <w:t xml:space="preserve"> </w:t>
            </w:r>
          </w:p>
          <w:p w14:paraId="2AB67A19" w14:textId="77777777" w:rsidR="00C24505" w:rsidRPr="009B2E26" w:rsidRDefault="00C24505" w:rsidP="00C24505">
            <w:pPr>
              <w:numPr>
                <w:ilvl w:val="0"/>
                <w:numId w:val="5"/>
              </w:numPr>
              <w:ind w:hanging="220"/>
              <w:rPr>
                <w:iCs/>
                <w:color w:val="000000"/>
                <w:sz w:val="17"/>
                <w:szCs w:val="17"/>
              </w:rPr>
            </w:pPr>
            <w:r w:rsidRPr="009B2E26">
              <w:rPr>
                <w:iCs/>
                <w:color w:val="000000"/>
                <w:sz w:val="17"/>
                <w:szCs w:val="17"/>
              </w:rPr>
              <w:t xml:space="preserve">Data </w:t>
            </w:r>
            <w:r w:rsidR="00283B30" w:rsidRPr="009B2E26">
              <w:rPr>
                <w:iCs/>
                <w:color w:val="000000"/>
                <w:sz w:val="17"/>
                <w:szCs w:val="17"/>
              </w:rPr>
              <w:t>source: Directorate</w:t>
            </w:r>
            <w:r w:rsidRPr="009B2E26">
              <w:rPr>
                <w:iCs/>
                <w:color w:val="000000"/>
                <w:sz w:val="17"/>
                <w:szCs w:val="17"/>
              </w:rPr>
              <w:t xml:space="preserve"> of Environment, National Institute</w:t>
            </w:r>
            <w:r w:rsidR="008560A7" w:rsidRPr="009B2E26">
              <w:rPr>
                <w:iCs/>
                <w:color w:val="000000"/>
                <w:sz w:val="17"/>
                <w:szCs w:val="17"/>
              </w:rPr>
              <w:t xml:space="preserve"> of Statistics</w:t>
            </w:r>
            <w:r w:rsidRPr="009B2E26">
              <w:rPr>
                <w:iCs/>
                <w:color w:val="000000"/>
                <w:sz w:val="17"/>
                <w:szCs w:val="17"/>
              </w:rPr>
              <w:t>, Directorate of Employment</w:t>
            </w:r>
          </w:p>
          <w:p w14:paraId="3576E694" w14:textId="77777777" w:rsidR="003B4F04" w:rsidRPr="009B2E26" w:rsidRDefault="003B4F04" w:rsidP="00C24505">
            <w:pPr>
              <w:numPr>
                <w:ilvl w:val="0"/>
                <w:numId w:val="5"/>
              </w:numPr>
              <w:ind w:hanging="220"/>
              <w:rPr>
                <w:iCs/>
                <w:color w:val="000000"/>
                <w:sz w:val="17"/>
                <w:szCs w:val="17"/>
              </w:rPr>
            </w:pPr>
            <w:r w:rsidRPr="009B2E26">
              <w:rPr>
                <w:iCs/>
                <w:color w:val="000000"/>
                <w:sz w:val="17"/>
                <w:szCs w:val="17"/>
              </w:rPr>
              <w:t xml:space="preserve">Frequency: </w:t>
            </w:r>
            <w:r w:rsidRPr="00BF1EB3">
              <w:rPr>
                <w:iCs/>
                <w:color w:val="000000"/>
                <w:sz w:val="17"/>
                <w:szCs w:val="17"/>
              </w:rPr>
              <w:t>Annual</w:t>
            </w:r>
          </w:p>
          <w:p w14:paraId="2D7878E9" w14:textId="77777777" w:rsidR="00C24505" w:rsidRPr="00A16798" w:rsidRDefault="00C24505" w:rsidP="009F6523">
            <w:pPr>
              <w:ind w:left="140"/>
              <w:rPr>
                <w:i/>
                <w:iCs/>
                <w:color w:val="000000"/>
                <w:sz w:val="17"/>
                <w:szCs w:val="17"/>
              </w:rPr>
            </w:pPr>
          </w:p>
          <w:p w14:paraId="01C33E84" w14:textId="77777777" w:rsidR="003B4F04" w:rsidRPr="00A16798" w:rsidRDefault="00C24505" w:rsidP="003B4F04">
            <w:pPr>
              <w:pStyle w:val="CommentText"/>
              <w:jc w:val="both"/>
              <w:rPr>
                <w:i/>
                <w:sz w:val="17"/>
                <w:szCs w:val="17"/>
              </w:rPr>
            </w:pPr>
            <w:r w:rsidRPr="009B2E26">
              <w:rPr>
                <w:b/>
                <w:bCs/>
                <w:i/>
                <w:color w:val="000000"/>
                <w:sz w:val="17"/>
                <w:szCs w:val="17"/>
              </w:rPr>
              <w:t>Indicator</w:t>
            </w:r>
            <w:r w:rsidRPr="009B2E26">
              <w:rPr>
                <w:b/>
                <w:i/>
                <w:iCs/>
                <w:color w:val="000000"/>
                <w:sz w:val="17"/>
                <w:szCs w:val="17"/>
              </w:rPr>
              <w:t>:</w:t>
            </w:r>
            <w:r w:rsidRPr="00A16798">
              <w:rPr>
                <w:i/>
                <w:iCs/>
                <w:color w:val="000000"/>
                <w:sz w:val="17"/>
                <w:szCs w:val="17"/>
              </w:rPr>
              <w:t xml:space="preserve"> </w:t>
            </w:r>
            <w:r w:rsidR="003B4F04" w:rsidRPr="00A16798">
              <w:rPr>
                <w:sz w:val="17"/>
                <w:szCs w:val="17"/>
              </w:rPr>
              <w:t>Number of communit</w:t>
            </w:r>
            <w:r w:rsidR="003F759B">
              <w:rPr>
                <w:sz w:val="17"/>
                <w:szCs w:val="17"/>
              </w:rPr>
              <w:t>ies</w:t>
            </w:r>
            <w:r w:rsidR="003B4F04" w:rsidRPr="00A16798">
              <w:rPr>
                <w:sz w:val="17"/>
                <w:szCs w:val="17"/>
              </w:rPr>
              <w:t xml:space="preserve"> benefiting from livelihood initiatives</w:t>
            </w:r>
          </w:p>
          <w:p w14:paraId="3A420673" w14:textId="77777777" w:rsidR="00C24505" w:rsidRPr="009B2E26" w:rsidRDefault="00C24505" w:rsidP="00C24505">
            <w:pPr>
              <w:numPr>
                <w:ilvl w:val="0"/>
                <w:numId w:val="5"/>
              </w:numPr>
              <w:ind w:hanging="220"/>
              <w:rPr>
                <w:iCs/>
                <w:color w:val="000000"/>
                <w:sz w:val="17"/>
                <w:szCs w:val="17"/>
              </w:rPr>
            </w:pPr>
            <w:r w:rsidRPr="009B2E26">
              <w:rPr>
                <w:iCs/>
                <w:color w:val="000000"/>
                <w:sz w:val="17"/>
                <w:szCs w:val="17"/>
              </w:rPr>
              <w:t>Baseline</w:t>
            </w:r>
            <w:r w:rsidR="00D82690">
              <w:rPr>
                <w:iCs/>
                <w:color w:val="000000"/>
                <w:sz w:val="17"/>
                <w:szCs w:val="17"/>
              </w:rPr>
              <w:t xml:space="preserve"> </w:t>
            </w:r>
            <w:r w:rsidR="00D82690" w:rsidRPr="00BF1EB3">
              <w:rPr>
                <w:iCs/>
                <w:color w:val="000000"/>
                <w:sz w:val="17"/>
                <w:szCs w:val="17"/>
              </w:rPr>
              <w:t>(2015)</w:t>
            </w:r>
            <w:r w:rsidRPr="009B2E26">
              <w:rPr>
                <w:iCs/>
                <w:color w:val="000000"/>
                <w:sz w:val="17"/>
                <w:szCs w:val="17"/>
              </w:rPr>
              <w:t xml:space="preserve">: </w:t>
            </w:r>
            <w:r w:rsidRPr="00BF1EB3">
              <w:rPr>
                <w:iCs/>
                <w:color w:val="000000"/>
                <w:sz w:val="17"/>
                <w:szCs w:val="17"/>
              </w:rPr>
              <w:t xml:space="preserve">0 </w:t>
            </w:r>
          </w:p>
          <w:p w14:paraId="11FE41F9" w14:textId="77777777" w:rsidR="00C24505" w:rsidRPr="009B2E26" w:rsidRDefault="00C24505" w:rsidP="00C24505">
            <w:pPr>
              <w:numPr>
                <w:ilvl w:val="0"/>
                <w:numId w:val="5"/>
              </w:numPr>
              <w:ind w:hanging="220"/>
              <w:rPr>
                <w:iCs/>
                <w:color w:val="000000"/>
                <w:sz w:val="17"/>
                <w:szCs w:val="17"/>
              </w:rPr>
            </w:pPr>
            <w:r w:rsidRPr="009B2E26">
              <w:rPr>
                <w:iCs/>
                <w:color w:val="000000"/>
                <w:sz w:val="17"/>
                <w:szCs w:val="17"/>
              </w:rPr>
              <w:t>Target</w:t>
            </w:r>
            <w:r w:rsidR="00D82690">
              <w:rPr>
                <w:iCs/>
                <w:color w:val="000000"/>
                <w:sz w:val="17"/>
                <w:szCs w:val="17"/>
              </w:rPr>
              <w:t xml:space="preserve"> </w:t>
            </w:r>
            <w:r w:rsidR="00D82690" w:rsidRPr="007A1298">
              <w:rPr>
                <w:iCs/>
                <w:color w:val="000000"/>
                <w:sz w:val="17"/>
                <w:szCs w:val="17"/>
              </w:rPr>
              <w:t>(2021)</w:t>
            </w:r>
            <w:r w:rsidRPr="009B2E26">
              <w:rPr>
                <w:iCs/>
                <w:color w:val="000000"/>
                <w:sz w:val="17"/>
                <w:szCs w:val="17"/>
              </w:rPr>
              <w:t xml:space="preserve">: </w:t>
            </w:r>
            <w:r w:rsidR="003B4F04" w:rsidRPr="00BF1EB3">
              <w:rPr>
                <w:iCs/>
                <w:color w:val="000000"/>
                <w:sz w:val="17"/>
                <w:szCs w:val="17"/>
              </w:rPr>
              <w:t>15</w:t>
            </w:r>
            <w:r w:rsidR="009153EE" w:rsidRPr="00186B0F">
              <w:rPr>
                <w:iCs/>
                <w:color w:val="000000"/>
                <w:sz w:val="17"/>
                <w:szCs w:val="17"/>
              </w:rPr>
              <w:t>0</w:t>
            </w:r>
            <w:r w:rsidRPr="007A1298">
              <w:rPr>
                <w:iCs/>
                <w:color w:val="000000"/>
                <w:sz w:val="17"/>
                <w:szCs w:val="17"/>
              </w:rPr>
              <w:t xml:space="preserve"> </w:t>
            </w:r>
          </w:p>
          <w:p w14:paraId="6235AFEB" w14:textId="77777777" w:rsidR="00C24505" w:rsidRPr="009B2E26" w:rsidRDefault="00C24505" w:rsidP="00C24505">
            <w:pPr>
              <w:numPr>
                <w:ilvl w:val="0"/>
                <w:numId w:val="5"/>
              </w:numPr>
              <w:ind w:hanging="220"/>
              <w:rPr>
                <w:iCs/>
                <w:color w:val="000000"/>
                <w:sz w:val="17"/>
                <w:szCs w:val="17"/>
              </w:rPr>
            </w:pPr>
            <w:r w:rsidRPr="009B2E26">
              <w:rPr>
                <w:iCs/>
                <w:color w:val="000000"/>
                <w:sz w:val="17"/>
                <w:szCs w:val="17"/>
              </w:rPr>
              <w:t xml:space="preserve">Data </w:t>
            </w:r>
            <w:r w:rsidR="00283B30" w:rsidRPr="009B2E26">
              <w:rPr>
                <w:iCs/>
                <w:color w:val="000000"/>
                <w:sz w:val="17"/>
                <w:szCs w:val="17"/>
              </w:rPr>
              <w:t xml:space="preserve">source: </w:t>
            </w:r>
            <w:r w:rsidR="00283B30" w:rsidRPr="00BF1EB3">
              <w:rPr>
                <w:iCs/>
                <w:color w:val="000000"/>
                <w:sz w:val="17"/>
                <w:szCs w:val="17"/>
              </w:rPr>
              <w:t>National</w:t>
            </w:r>
            <w:r w:rsidRPr="00186B0F">
              <w:rPr>
                <w:iCs/>
                <w:color w:val="000000"/>
                <w:sz w:val="17"/>
                <w:szCs w:val="17"/>
              </w:rPr>
              <w:t xml:space="preserve"> Meteorology Institute, Ministry of Agriculture, Directorate of Environment, Directorate of Planning</w:t>
            </w:r>
          </w:p>
          <w:p w14:paraId="40AAA8A2" w14:textId="77777777" w:rsidR="003B4F04" w:rsidRPr="009B2E26" w:rsidRDefault="003B4F04" w:rsidP="00C24505">
            <w:pPr>
              <w:numPr>
                <w:ilvl w:val="0"/>
                <w:numId w:val="5"/>
              </w:numPr>
              <w:ind w:hanging="220"/>
              <w:rPr>
                <w:iCs/>
                <w:color w:val="000000"/>
                <w:sz w:val="17"/>
                <w:szCs w:val="17"/>
              </w:rPr>
            </w:pPr>
            <w:r w:rsidRPr="009B2E26">
              <w:rPr>
                <w:iCs/>
                <w:color w:val="000000"/>
                <w:sz w:val="17"/>
                <w:szCs w:val="17"/>
              </w:rPr>
              <w:t xml:space="preserve">Frequency: </w:t>
            </w:r>
            <w:r w:rsidRPr="00BF1EB3">
              <w:rPr>
                <w:iCs/>
                <w:color w:val="000000"/>
                <w:sz w:val="17"/>
                <w:szCs w:val="17"/>
              </w:rPr>
              <w:t>Annual</w:t>
            </w:r>
          </w:p>
          <w:p w14:paraId="6E1415A8" w14:textId="77777777" w:rsidR="00C24505" w:rsidRPr="00A16798" w:rsidRDefault="00C24505" w:rsidP="009F6523">
            <w:pPr>
              <w:ind w:left="140"/>
              <w:rPr>
                <w:i/>
                <w:iCs/>
                <w:color w:val="000000"/>
                <w:sz w:val="17"/>
                <w:szCs w:val="17"/>
              </w:rPr>
            </w:pPr>
          </w:p>
          <w:p w14:paraId="138FC0D3" w14:textId="77777777" w:rsidR="00B548DD" w:rsidRPr="00A16798" w:rsidRDefault="00B548DD" w:rsidP="00C24505">
            <w:pPr>
              <w:ind w:left="360"/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E51C9F" w14:textId="77777777" w:rsidR="00B548DD" w:rsidRPr="00A16798" w:rsidRDefault="00A457CA" w:rsidP="00FD6992">
            <w:pPr>
              <w:rPr>
                <w:iCs/>
                <w:color w:val="000000"/>
                <w:sz w:val="17"/>
                <w:szCs w:val="17"/>
              </w:rPr>
            </w:pPr>
            <w:r w:rsidRPr="00A16798">
              <w:rPr>
                <w:sz w:val="17"/>
                <w:szCs w:val="17"/>
              </w:rPr>
              <w:lastRenderedPageBreak/>
              <w:t xml:space="preserve">National </w:t>
            </w:r>
            <w:r w:rsidR="003737E0">
              <w:rPr>
                <w:sz w:val="17"/>
                <w:szCs w:val="17"/>
              </w:rPr>
              <w:t>i</w:t>
            </w:r>
            <w:r w:rsidR="00B548DD" w:rsidRPr="00A16798">
              <w:rPr>
                <w:sz w:val="17"/>
                <w:szCs w:val="17"/>
              </w:rPr>
              <w:t>nstitutions</w:t>
            </w:r>
            <w:r w:rsidR="00B548DD" w:rsidRPr="00A16798">
              <w:rPr>
                <w:iCs/>
                <w:color w:val="000000"/>
                <w:sz w:val="17"/>
                <w:szCs w:val="17"/>
              </w:rPr>
              <w:t>:</w:t>
            </w:r>
          </w:p>
          <w:p w14:paraId="4C87BB8E" w14:textId="77777777" w:rsidR="00B548DD" w:rsidRPr="00A16798" w:rsidRDefault="00B548DD" w:rsidP="00FD6992">
            <w:pPr>
              <w:rPr>
                <w:sz w:val="17"/>
                <w:szCs w:val="17"/>
              </w:rPr>
            </w:pPr>
            <w:r w:rsidRPr="00A16798">
              <w:rPr>
                <w:sz w:val="17"/>
                <w:szCs w:val="17"/>
              </w:rPr>
              <w:t>Hydrology Department</w:t>
            </w:r>
            <w:r w:rsidR="001705C7">
              <w:rPr>
                <w:sz w:val="17"/>
                <w:szCs w:val="17"/>
              </w:rPr>
              <w:t>,</w:t>
            </w:r>
            <w:r w:rsidRPr="00A16798">
              <w:rPr>
                <w:sz w:val="17"/>
                <w:szCs w:val="17"/>
              </w:rPr>
              <w:t xml:space="preserve"> Directorate General of Natural Resources and Energy,</w:t>
            </w:r>
          </w:p>
          <w:p w14:paraId="0E330E7B" w14:textId="77777777" w:rsidR="00B548DD" w:rsidRPr="00A16798" w:rsidRDefault="00B548DD" w:rsidP="00FD6992">
            <w:pPr>
              <w:rPr>
                <w:sz w:val="17"/>
                <w:szCs w:val="17"/>
                <w:lang w:val="fr-FR"/>
              </w:rPr>
            </w:pPr>
            <w:r w:rsidRPr="00A16798">
              <w:rPr>
                <w:sz w:val="17"/>
                <w:szCs w:val="17"/>
                <w:lang w:val="fr-FR"/>
              </w:rPr>
              <w:t xml:space="preserve">Conseil National </w:t>
            </w:r>
            <w:r w:rsidR="002C4C14" w:rsidRPr="00A16798">
              <w:rPr>
                <w:sz w:val="17"/>
                <w:szCs w:val="17"/>
                <w:lang w:val="fr-FR"/>
              </w:rPr>
              <w:t>Prévention</w:t>
            </w:r>
            <w:r w:rsidRPr="00A16798">
              <w:rPr>
                <w:sz w:val="17"/>
                <w:szCs w:val="17"/>
                <w:lang w:val="fr-FR"/>
              </w:rPr>
              <w:t xml:space="preserve"> de Risques et Catastrophes </w:t>
            </w:r>
          </w:p>
          <w:p w14:paraId="57BF3AA1" w14:textId="77777777" w:rsidR="00B548DD" w:rsidRPr="00A16798" w:rsidRDefault="00B548DD" w:rsidP="00FD6992">
            <w:pPr>
              <w:rPr>
                <w:sz w:val="17"/>
                <w:szCs w:val="17"/>
              </w:rPr>
            </w:pPr>
            <w:r w:rsidRPr="00A16798">
              <w:rPr>
                <w:sz w:val="17"/>
                <w:szCs w:val="17"/>
              </w:rPr>
              <w:t xml:space="preserve">Directorate of Agriculture and Rural Development </w:t>
            </w:r>
          </w:p>
          <w:p w14:paraId="5E392A4C" w14:textId="77777777" w:rsidR="00B548DD" w:rsidRPr="00A16798" w:rsidRDefault="00B548DD" w:rsidP="00FD6992">
            <w:pPr>
              <w:rPr>
                <w:sz w:val="17"/>
                <w:szCs w:val="17"/>
              </w:rPr>
            </w:pPr>
            <w:r w:rsidRPr="00A16798">
              <w:rPr>
                <w:sz w:val="17"/>
                <w:szCs w:val="17"/>
              </w:rPr>
              <w:t xml:space="preserve">National </w:t>
            </w:r>
            <w:r w:rsidR="001705C7" w:rsidRPr="00A16798">
              <w:rPr>
                <w:sz w:val="17"/>
                <w:szCs w:val="17"/>
              </w:rPr>
              <w:t xml:space="preserve">Institute </w:t>
            </w:r>
            <w:r w:rsidRPr="00A16798">
              <w:rPr>
                <w:sz w:val="17"/>
                <w:szCs w:val="17"/>
              </w:rPr>
              <w:t xml:space="preserve">of </w:t>
            </w:r>
            <w:r w:rsidR="009D2F2D" w:rsidRPr="00A16798">
              <w:rPr>
                <w:sz w:val="17"/>
                <w:szCs w:val="17"/>
              </w:rPr>
              <w:t>Meteorology</w:t>
            </w:r>
            <w:r w:rsidRPr="00A16798">
              <w:rPr>
                <w:sz w:val="17"/>
                <w:szCs w:val="17"/>
              </w:rPr>
              <w:t xml:space="preserve"> </w:t>
            </w:r>
          </w:p>
          <w:p w14:paraId="52189075" w14:textId="77777777" w:rsidR="00B548DD" w:rsidRPr="00A16798" w:rsidRDefault="00B548DD" w:rsidP="00FD6992">
            <w:pPr>
              <w:rPr>
                <w:sz w:val="17"/>
                <w:szCs w:val="17"/>
              </w:rPr>
            </w:pPr>
            <w:r w:rsidRPr="00A16798">
              <w:rPr>
                <w:sz w:val="17"/>
                <w:szCs w:val="17"/>
              </w:rPr>
              <w:lastRenderedPageBreak/>
              <w:t>Technical Training Centr</w:t>
            </w:r>
            <w:r w:rsidR="001705C7">
              <w:rPr>
                <w:sz w:val="17"/>
                <w:szCs w:val="17"/>
              </w:rPr>
              <w:t>e</w:t>
            </w:r>
            <w:r w:rsidRPr="00A16798">
              <w:rPr>
                <w:sz w:val="17"/>
                <w:szCs w:val="17"/>
              </w:rPr>
              <w:t xml:space="preserve"> for Agriculture and Livestock </w:t>
            </w:r>
          </w:p>
          <w:p w14:paraId="136AB318" w14:textId="77777777" w:rsidR="00B548DD" w:rsidRPr="00A16798" w:rsidRDefault="00B548DD" w:rsidP="00FD6992">
            <w:pPr>
              <w:rPr>
                <w:sz w:val="17"/>
                <w:szCs w:val="17"/>
              </w:rPr>
            </w:pPr>
            <w:r w:rsidRPr="00A16798">
              <w:rPr>
                <w:sz w:val="17"/>
                <w:szCs w:val="17"/>
              </w:rPr>
              <w:t xml:space="preserve">General Directorate of Environment  </w:t>
            </w:r>
          </w:p>
          <w:p w14:paraId="7F656A58" w14:textId="77777777" w:rsidR="00B548DD" w:rsidRPr="00A16798" w:rsidRDefault="00B548DD" w:rsidP="00FD6992">
            <w:pPr>
              <w:rPr>
                <w:sz w:val="17"/>
                <w:szCs w:val="17"/>
              </w:rPr>
            </w:pPr>
            <w:r w:rsidRPr="00A16798">
              <w:rPr>
                <w:sz w:val="17"/>
                <w:szCs w:val="17"/>
              </w:rPr>
              <w:t>International Center for Tropical Agriculture</w:t>
            </w:r>
          </w:p>
          <w:p w14:paraId="70ADAEDF" w14:textId="77777777" w:rsidR="00A457CA" w:rsidRPr="00A16798" w:rsidRDefault="00A457CA" w:rsidP="00FD6992">
            <w:pPr>
              <w:rPr>
                <w:sz w:val="17"/>
                <w:szCs w:val="17"/>
              </w:rPr>
            </w:pPr>
          </w:p>
          <w:p w14:paraId="521A996C" w14:textId="77777777" w:rsidR="00A457CA" w:rsidRPr="00A16798" w:rsidRDefault="00A457CA" w:rsidP="00FD6992">
            <w:pPr>
              <w:rPr>
                <w:sz w:val="17"/>
                <w:szCs w:val="17"/>
              </w:rPr>
            </w:pPr>
            <w:r w:rsidRPr="00A16798">
              <w:rPr>
                <w:sz w:val="17"/>
                <w:szCs w:val="17"/>
              </w:rPr>
              <w:t xml:space="preserve">Additional </w:t>
            </w:r>
            <w:r w:rsidR="001705C7">
              <w:rPr>
                <w:sz w:val="17"/>
                <w:szCs w:val="17"/>
              </w:rPr>
              <w:t>p</w:t>
            </w:r>
            <w:r w:rsidRPr="00A16798">
              <w:rPr>
                <w:sz w:val="17"/>
                <w:szCs w:val="17"/>
              </w:rPr>
              <w:t xml:space="preserve">artners / </w:t>
            </w:r>
            <w:r w:rsidR="001705C7">
              <w:rPr>
                <w:sz w:val="17"/>
                <w:szCs w:val="17"/>
              </w:rPr>
              <w:t>p</w:t>
            </w:r>
            <w:r w:rsidRPr="00A16798">
              <w:rPr>
                <w:sz w:val="17"/>
                <w:szCs w:val="17"/>
              </w:rPr>
              <w:t>artnerships:</w:t>
            </w:r>
          </w:p>
          <w:p w14:paraId="617C9A2D" w14:textId="77777777" w:rsidR="00B548DD" w:rsidRPr="00A16798" w:rsidRDefault="00B548DD" w:rsidP="00FD6992">
            <w:pPr>
              <w:rPr>
                <w:sz w:val="17"/>
                <w:szCs w:val="17"/>
              </w:rPr>
            </w:pPr>
            <w:r w:rsidRPr="00A16798">
              <w:rPr>
                <w:sz w:val="17"/>
                <w:szCs w:val="17"/>
              </w:rPr>
              <w:t>NGO</w:t>
            </w:r>
            <w:r w:rsidR="00A457CA" w:rsidRPr="00A16798">
              <w:rPr>
                <w:sz w:val="17"/>
                <w:szCs w:val="17"/>
              </w:rPr>
              <w:t>s</w:t>
            </w:r>
          </w:p>
          <w:p w14:paraId="0433974E" w14:textId="77777777" w:rsidR="00B548DD" w:rsidRPr="00A16798" w:rsidRDefault="00B548DD" w:rsidP="00FD6992">
            <w:pPr>
              <w:rPr>
                <w:iCs/>
                <w:color w:val="000000"/>
                <w:sz w:val="17"/>
                <w:szCs w:val="17"/>
              </w:rPr>
            </w:pPr>
            <w:r w:rsidRPr="00A16798">
              <w:rPr>
                <w:iCs/>
                <w:color w:val="000000"/>
                <w:sz w:val="17"/>
                <w:szCs w:val="17"/>
              </w:rPr>
              <w:t xml:space="preserve">Global Environment Fund </w:t>
            </w:r>
          </w:p>
          <w:p w14:paraId="4A402E7A" w14:textId="77777777" w:rsidR="00B548DD" w:rsidRPr="00A16798" w:rsidRDefault="00B548DD" w:rsidP="00FD6992">
            <w:pPr>
              <w:rPr>
                <w:iCs/>
                <w:color w:val="000000"/>
                <w:sz w:val="17"/>
                <w:szCs w:val="17"/>
              </w:rPr>
            </w:pPr>
            <w:r w:rsidRPr="00A16798">
              <w:rPr>
                <w:iCs/>
                <w:color w:val="000000"/>
                <w:sz w:val="17"/>
                <w:szCs w:val="17"/>
              </w:rPr>
              <w:t xml:space="preserve">European Union </w:t>
            </w:r>
          </w:p>
          <w:p w14:paraId="1B43DF6E" w14:textId="77777777" w:rsidR="00B548DD" w:rsidRPr="00A16798" w:rsidRDefault="00B548DD" w:rsidP="00FD6992">
            <w:pPr>
              <w:rPr>
                <w:iCs/>
                <w:color w:val="000000"/>
                <w:sz w:val="17"/>
                <w:szCs w:val="17"/>
              </w:rPr>
            </w:pPr>
            <w:r w:rsidRPr="00A16798">
              <w:rPr>
                <w:iCs/>
                <w:color w:val="000000"/>
                <w:sz w:val="17"/>
                <w:szCs w:val="17"/>
              </w:rPr>
              <w:t xml:space="preserve">Food and Agriculture Organization of the United Nations </w:t>
            </w:r>
          </w:p>
          <w:p w14:paraId="15DF4206" w14:textId="77777777" w:rsidR="003E5F1E" w:rsidRPr="00A16798" w:rsidRDefault="003E5F1E" w:rsidP="003E5F1E">
            <w:pPr>
              <w:rPr>
                <w:iCs/>
                <w:color w:val="000000"/>
                <w:sz w:val="17"/>
                <w:szCs w:val="17"/>
              </w:rPr>
            </w:pPr>
            <w:r w:rsidRPr="00A16798">
              <w:rPr>
                <w:iCs/>
                <w:color w:val="000000"/>
                <w:sz w:val="17"/>
                <w:szCs w:val="17"/>
              </w:rPr>
              <w:t>European Union</w:t>
            </w:r>
          </w:p>
          <w:p w14:paraId="30F4A976" w14:textId="77777777" w:rsidR="003E5F1E" w:rsidRPr="00A16798" w:rsidRDefault="003E5F1E" w:rsidP="003E5F1E">
            <w:pPr>
              <w:rPr>
                <w:iCs/>
                <w:color w:val="000000"/>
                <w:sz w:val="17"/>
                <w:szCs w:val="17"/>
              </w:rPr>
            </w:pPr>
            <w:r w:rsidRPr="00A16798">
              <w:rPr>
                <w:iCs/>
                <w:color w:val="000000"/>
                <w:sz w:val="17"/>
                <w:szCs w:val="17"/>
              </w:rPr>
              <w:t>World Bank</w:t>
            </w:r>
          </w:p>
          <w:p w14:paraId="3515E012" w14:textId="77777777" w:rsidR="003E5F1E" w:rsidRPr="00A16798" w:rsidRDefault="003E5F1E" w:rsidP="003E5F1E">
            <w:pPr>
              <w:rPr>
                <w:iCs/>
                <w:color w:val="000000"/>
                <w:sz w:val="17"/>
                <w:szCs w:val="17"/>
              </w:rPr>
            </w:pPr>
            <w:r w:rsidRPr="00A16798">
              <w:rPr>
                <w:iCs/>
                <w:color w:val="000000"/>
                <w:sz w:val="17"/>
                <w:szCs w:val="17"/>
              </w:rPr>
              <w:t>African Development Bank</w:t>
            </w:r>
          </w:p>
          <w:p w14:paraId="2341E1F7" w14:textId="77777777" w:rsidR="003E5F1E" w:rsidRPr="00A16798" w:rsidRDefault="003E5F1E" w:rsidP="003E5F1E">
            <w:pPr>
              <w:rPr>
                <w:iCs/>
                <w:color w:val="000000"/>
                <w:sz w:val="17"/>
                <w:szCs w:val="17"/>
              </w:rPr>
            </w:pPr>
          </w:p>
          <w:p w14:paraId="318688E3" w14:textId="77777777" w:rsidR="003E5F1E" w:rsidRPr="00A16798" w:rsidRDefault="003E5F1E" w:rsidP="003E5F1E">
            <w:pPr>
              <w:rPr>
                <w:iCs/>
                <w:color w:val="000000"/>
                <w:sz w:val="17"/>
                <w:szCs w:val="17"/>
              </w:rPr>
            </w:pPr>
            <w:r w:rsidRPr="00A16798">
              <w:rPr>
                <w:iCs/>
                <w:color w:val="000000"/>
                <w:sz w:val="17"/>
                <w:szCs w:val="17"/>
              </w:rPr>
              <w:t xml:space="preserve">South-South </w:t>
            </w:r>
            <w:r w:rsidR="001705C7">
              <w:rPr>
                <w:iCs/>
                <w:color w:val="000000"/>
                <w:sz w:val="17"/>
                <w:szCs w:val="17"/>
              </w:rPr>
              <w:t>p</w:t>
            </w:r>
            <w:r w:rsidR="009D2F2D" w:rsidRPr="00A16798">
              <w:rPr>
                <w:iCs/>
                <w:color w:val="000000"/>
                <w:sz w:val="17"/>
                <w:szCs w:val="17"/>
              </w:rPr>
              <w:t>artnerships</w:t>
            </w:r>
            <w:r w:rsidRPr="00A16798">
              <w:rPr>
                <w:iCs/>
                <w:color w:val="000000"/>
                <w:sz w:val="17"/>
                <w:szCs w:val="17"/>
              </w:rPr>
              <w:t xml:space="preserve">: </w:t>
            </w:r>
          </w:p>
          <w:p w14:paraId="113E433C" w14:textId="77777777" w:rsidR="00B548DD" w:rsidRPr="00A16798" w:rsidRDefault="00B548DD" w:rsidP="00FD6992">
            <w:pPr>
              <w:rPr>
                <w:iCs/>
                <w:color w:val="000000"/>
                <w:sz w:val="17"/>
                <w:szCs w:val="17"/>
              </w:rPr>
            </w:pPr>
            <w:r w:rsidRPr="00A16798">
              <w:rPr>
                <w:rStyle w:val="st"/>
                <w:sz w:val="17"/>
                <w:szCs w:val="17"/>
              </w:rPr>
              <w:t xml:space="preserve">Central African Forest </w:t>
            </w:r>
            <w:r w:rsidR="00283B30" w:rsidRPr="00A16798">
              <w:rPr>
                <w:rStyle w:val="st"/>
                <w:sz w:val="17"/>
                <w:szCs w:val="17"/>
              </w:rPr>
              <w:t>Commission</w:t>
            </w:r>
          </w:p>
          <w:p w14:paraId="1CA61550" w14:textId="77777777" w:rsidR="00B548DD" w:rsidRPr="00E755D9" w:rsidRDefault="00B548DD" w:rsidP="00FD6992">
            <w:pPr>
              <w:rPr>
                <w:iCs/>
                <w:color w:val="000000"/>
                <w:sz w:val="17"/>
                <w:szCs w:val="17"/>
              </w:rPr>
            </w:pPr>
            <w:r w:rsidRPr="00E755D9">
              <w:rPr>
                <w:iCs/>
                <w:color w:val="000000"/>
                <w:sz w:val="17"/>
                <w:szCs w:val="17"/>
              </w:rPr>
              <w:t>Brazil</w:t>
            </w:r>
          </w:p>
          <w:p w14:paraId="6662B2CF" w14:textId="77777777" w:rsidR="00B548DD" w:rsidRPr="00E755D9" w:rsidRDefault="00B548DD" w:rsidP="00FD6992">
            <w:pPr>
              <w:rPr>
                <w:iCs/>
                <w:color w:val="000000"/>
                <w:sz w:val="17"/>
                <w:szCs w:val="17"/>
              </w:rPr>
            </w:pPr>
            <w:r w:rsidRPr="00E755D9">
              <w:rPr>
                <w:iCs/>
                <w:color w:val="000000"/>
                <w:sz w:val="17"/>
                <w:szCs w:val="17"/>
              </w:rPr>
              <w:t>Nigeria</w:t>
            </w:r>
          </w:p>
          <w:p w14:paraId="7372983F" w14:textId="77777777" w:rsidR="00B548DD" w:rsidRPr="00E755D9" w:rsidRDefault="00B548DD" w:rsidP="00FD6992">
            <w:pPr>
              <w:rPr>
                <w:iCs/>
                <w:color w:val="000000"/>
                <w:sz w:val="17"/>
                <w:szCs w:val="17"/>
              </w:rPr>
            </w:pPr>
            <w:r w:rsidRPr="00E755D9">
              <w:rPr>
                <w:iCs/>
                <w:color w:val="000000"/>
                <w:sz w:val="17"/>
                <w:szCs w:val="17"/>
              </w:rPr>
              <w:t>Angola</w:t>
            </w:r>
          </w:p>
          <w:p w14:paraId="0E479C0E" w14:textId="77777777" w:rsidR="00B548DD" w:rsidRPr="00A16798" w:rsidRDefault="00B548DD" w:rsidP="00FD6992">
            <w:pPr>
              <w:rPr>
                <w:iCs/>
                <w:color w:val="000000"/>
                <w:sz w:val="17"/>
                <w:szCs w:val="17"/>
              </w:rPr>
            </w:pPr>
            <w:r w:rsidRPr="00E755D9">
              <w:rPr>
                <w:iCs/>
                <w:color w:val="000000"/>
                <w:sz w:val="17"/>
                <w:szCs w:val="17"/>
              </w:rPr>
              <w:t>Equatorial Guinea</w:t>
            </w:r>
            <w:r w:rsidRPr="00A16798">
              <w:rPr>
                <w:i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564" w:type="pct"/>
            <w:gridSpan w:val="2"/>
            <w:tcBorders>
              <w:lef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C3A7F9A" w14:textId="77777777" w:rsidR="00B548DD" w:rsidRPr="00A16798" w:rsidRDefault="00B548DD" w:rsidP="00FD6992">
            <w:pPr>
              <w:rPr>
                <w:b/>
                <w:color w:val="000000"/>
                <w:sz w:val="17"/>
                <w:szCs w:val="17"/>
              </w:rPr>
            </w:pPr>
            <w:r w:rsidRPr="00A16798">
              <w:rPr>
                <w:b/>
                <w:color w:val="000000"/>
                <w:sz w:val="17"/>
                <w:szCs w:val="17"/>
              </w:rPr>
              <w:lastRenderedPageBreak/>
              <w:t>Regular</w:t>
            </w:r>
            <w:r w:rsidR="00512B8F" w:rsidRPr="00A16798">
              <w:rPr>
                <w:b/>
                <w:color w:val="000000"/>
                <w:sz w:val="17"/>
                <w:szCs w:val="17"/>
              </w:rPr>
              <w:t>:</w:t>
            </w:r>
            <w:r w:rsidRPr="00A16798">
              <w:rPr>
                <w:b/>
                <w:color w:val="000000"/>
                <w:sz w:val="17"/>
                <w:szCs w:val="17"/>
              </w:rPr>
              <w:t xml:space="preserve"> </w:t>
            </w:r>
            <w:r w:rsidR="00052E2A" w:rsidRPr="00A16798">
              <w:rPr>
                <w:b/>
                <w:color w:val="000000"/>
                <w:sz w:val="17"/>
                <w:szCs w:val="17"/>
              </w:rPr>
              <w:t>500,000</w:t>
            </w:r>
          </w:p>
          <w:p w14:paraId="1B3E31D5" w14:textId="77777777" w:rsidR="00826491" w:rsidRPr="00A16798" w:rsidRDefault="00826491" w:rsidP="00FD6992">
            <w:pPr>
              <w:rPr>
                <w:b/>
                <w:color w:val="000000"/>
                <w:sz w:val="17"/>
                <w:szCs w:val="17"/>
              </w:rPr>
            </w:pPr>
          </w:p>
          <w:p w14:paraId="3C0A67A9" w14:textId="408FCE5B" w:rsidR="00B548DD" w:rsidRPr="00A16798" w:rsidRDefault="00B548DD" w:rsidP="00FD6992">
            <w:pPr>
              <w:rPr>
                <w:b/>
                <w:color w:val="000000"/>
                <w:sz w:val="17"/>
                <w:szCs w:val="17"/>
              </w:rPr>
            </w:pPr>
            <w:r w:rsidRPr="00A16798">
              <w:rPr>
                <w:b/>
                <w:color w:val="000000"/>
                <w:sz w:val="17"/>
                <w:szCs w:val="17"/>
              </w:rPr>
              <w:t>Other</w:t>
            </w:r>
            <w:r w:rsidR="00512B8F" w:rsidRPr="00A16798">
              <w:rPr>
                <w:b/>
                <w:color w:val="000000"/>
                <w:sz w:val="17"/>
                <w:szCs w:val="17"/>
              </w:rPr>
              <w:t xml:space="preserve">: </w:t>
            </w:r>
            <w:r w:rsidR="00CD7271">
              <w:rPr>
                <w:b/>
                <w:color w:val="000000"/>
                <w:sz w:val="17"/>
                <w:szCs w:val="17"/>
              </w:rPr>
              <w:t>6,800,000</w:t>
            </w:r>
          </w:p>
          <w:p w14:paraId="76378978" w14:textId="77777777" w:rsidR="00B548DD" w:rsidRPr="00A16798" w:rsidRDefault="00B548DD" w:rsidP="00FD6992">
            <w:pPr>
              <w:rPr>
                <w:b/>
                <w:color w:val="000000"/>
                <w:sz w:val="17"/>
                <w:szCs w:val="17"/>
              </w:rPr>
            </w:pPr>
          </w:p>
        </w:tc>
      </w:tr>
      <w:tr w:rsidR="00B548DD" w:rsidRPr="00A16798" w14:paraId="5DF82277" w14:textId="77777777" w:rsidTr="00322FDC">
        <w:trPr>
          <w:jc w:val="center"/>
        </w:trPr>
        <w:tc>
          <w:tcPr>
            <w:tcW w:w="586" w:type="pct"/>
            <w:vMerge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73E39A" w14:textId="77777777" w:rsidR="00B548DD" w:rsidRPr="00A16798" w:rsidRDefault="00B548DD" w:rsidP="00FD6992">
            <w:pPr>
              <w:rPr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911" w:type="pct"/>
            <w:vMerge/>
            <w:tcBorders>
              <w:right w:val="single" w:sz="4" w:space="0" w:color="auto"/>
            </w:tcBorders>
          </w:tcPr>
          <w:p w14:paraId="53EF3CB2" w14:textId="77777777" w:rsidR="00B548DD" w:rsidRPr="00A16798" w:rsidRDefault="00B548DD" w:rsidP="00FD6992">
            <w:pPr>
              <w:rPr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F869E2" w14:textId="77777777" w:rsidR="009F6523" w:rsidRPr="00A16798" w:rsidRDefault="009F6523" w:rsidP="009F6523">
            <w:pPr>
              <w:rPr>
                <w:sz w:val="17"/>
                <w:szCs w:val="17"/>
                <w:lang w:eastAsia="pt-PT"/>
              </w:rPr>
            </w:pPr>
            <w:r w:rsidRPr="00A16798">
              <w:rPr>
                <w:b/>
                <w:sz w:val="17"/>
                <w:szCs w:val="17"/>
              </w:rPr>
              <w:t xml:space="preserve">Output 3.2: </w:t>
            </w:r>
            <w:r w:rsidRPr="00A16798">
              <w:rPr>
                <w:sz w:val="17"/>
                <w:szCs w:val="17"/>
                <w:lang w:eastAsia="pt-PT"/>
              </w:rPr>
              <w:t>The private sector, especially small- and medium-sized enterprises (SMEs), NGOs in urban and rural areas</w:t>
            </w:r>
            <w:r w:rsidR="001705C7">
              <w:rPr>
                <w:sz w:val="17"/>
                <w:szCs w:val="17"/>
                <w:lang w:eastAsia="pt-PT"/>
              </w:rPr>
              <w:t>,</w:t>
            </w:r>
            <w:r w:rsidRPr="00A16798">
              <w:rPr>
                <w:sz w:val="17"/>
                <w:szCs w:val="17"/>
                <w:lang w:eastAsia="pt-PT"/>
              </w:rPr>
              <w:t xml:space="preserve"> </w:t>
            </w:r>
            <w:r w:rsidR="001705C7">
              <w:rPr>
                <w:sz w:val="17"/>
                <w:szCs w:val="17"/>
                <w:lang w:eastAsia="pt-PT"/>
              </w:rPr>
              <w:t>and</w:t>
            </w:r>
            <w:r w:rsidRPr="00A16798">
              <w:rPr>
                <w:sz w:val="17"/>
                <w:szCs w:val="17"/>
                <w:lang w:eastAsia="pt-PT"/>
              </w:rPr>
              <w:t xml:space="preserve"> populations of the most vulnerable communities are able to increase their contribution to inclusive growth and employment through better access to markets, technical assistance and financial aid.</w:t>
            </w:r>
          </w:p>
          <w:p w14:paraId="2402C830" w14:textId="77777777" w:rsidR="009F6523" w:rsidRPr="00A16798" w:rsidRDefault="009F6523" w:rsidP="009F6523">
            <w:pPr>
              <w:rPr>
                <w:bCs/>
                <w:i/>
                <w:color w:val="000000"/>
                <w:sz w:val="17"/>
                <w:szCs w:val="17"/>
                <w:u w:val="single"/>
              </w:rPr>
            </w:pPr>
          </w:p>
          <w:p w14:paraId="19C69F0C" w14:textId="77777777" w:rsidR="009F6523" w:rsidRPr="00A16798" w:rsidRDefault="009F6523" w:rsidP="009F6523">
            <w:pPr>
              <w:rPr>
                <w:sz w:val="17"/>
                <w:szCs w:val="17"/>
              </w:rPr>
            </w:pPr>
            <w:r w:rsidRPr="009B2E26">
              <w:rPr>
                <w:b/>
                <w:bCs/>
                <w:i/>
                <w:color w:val="000000"/>
                <w:sz w:val="17"/>
                <w:szCs w:val="17"/>
              </w:rPr>
              <w:t>Indicator:</w:t>
            </w:r>
            <w:r w:rsidRPr="00A16798">
              <w:rPr>
                <w:bCs/>
                <w:i/>
                <w:color w:val="000000"/>
                <w:sz w:val="17"/>
                <w:szCs w:val="17"/>
              </w:rPr>
              <w:t xml:space="preserve"> </w:t>
            </w:r>
            <w:r w:rsidRPr="00A16798">
              <w:rPr>
                <w:sz w:val="17"/>
                <w:szCs w:val="17"/>
              </w:rPr>
              <w:t xml:space="preserve">Number of persons from </w:t>
            </w:r>
            <w:r w:rsidR="00283B30" w:rsidRPr="00A16798">
              <w:rPr>
                <w:sz w:val="17"/>
                <w:szCs w:val="17"/>
              </w:rPr>
              <w:t>most</w:t>
            </w:r>
            <w:r w:rsidRPr="00A16798">
              <w:rPr>
                <w:sz w:val="17"/>
                <w:szCs w:val="17"/>
              </w:rPr>
              <w:t xml:space="preserve"> vulnerable communities </w:t>
            </w:r>
            <w:r w:rsidR="009D2F2D" w:rsidRPr="00A16798">
              <w:rPr>
                <w:sz w:val="17"/>
                <w:szCs w:val="17"/>
              </w:rPr>
              <w:t>self-employed</w:t>
            </w:r>
            <w:r w:rsidRPr="00A16798">
              <w:rPr>
                <w:sz w:val="17"/>
                <w:szCs w:val="17"/>
              </w:rPr>
              <w:t xml:space="preserve">, </w:t>
            </w:r>
            <w:r w:rsidR="009D2F2D" w:rsidRPr="00A16798">
              <w:rPr>
                <w:sz w:val="17"/>
                <w:szCs w:val="17"/>
              </w:rPr>
              <w:t>disaggregated</w:t>
            </w:r>
            <w:r w:rsidRPr="00A16798">
              <w:rPr>
                <w:sz w:val="17"/>
                <w:szCs w:val="17"/>
              </w:rPr>
              <w:t xml:space="preserve"> by sex and areas</w:t>
            </w:r>
          </w:p>
          <w:p w14:paraId="73D05F61" w14:textId="77777777" w:rsidR="009F6523" w:rsidRPr="009B2E26" w:rsidRDefault="009F6523" w:rsidP="009F6523">
            <w:pPr>
              <w:numPr>
                <w:ilvl w:val="0"/>
                <w:numId w:val="5"/>
              </w:numPr>
              <w:ind w:hanging="220"/>
              <w:rPr>
                <w:iCs/>
                <w:color w:val="000000"/>
                <w:sz w:val="17"/>
                <w:szCs w:val="17"/>
              </w:rPr>
            </w:pPr>
            <w:r w:rsidRPr="009B2E26">
              <w:rPr>
                <w:iCs/>
                <w:color w:val="000000"/>
                <w:sz w:val="17"/>
                <w:szCs w:val="17"/>
              </w:rPr>
              <w:t>Baseline</w:t>
            </w:r>
            <w:r w:rsidR="009B0D06">
              <w:rPr>
                <w:iCs/>
                <w:color w:val="000000"/>
                <w:sz w:val="17"/>
                <w:szCs w:val="17"/>
              </w:rPr>
              <w:t xml:space="preserve"> </w:t>
            </w:r>
            <w:r w:rsidR="009B0D06" w:rsidRPr="00186B0F">
              <w:rPr>
                <w:iCs/>
                <w:color w:val="000000"/>
                <w:sz w:val="17"/>
                <w:szCs w:val="17"/>
              </w:rPr>
              <w:t>(2015)</w:t>
            </w:r>
            <w:r w:rsidRPr="009B2E26">
              <w:rPr>
                <w:iCs/>
                <w:color w:val="000000"/>
                <w:sz w:val="17"/>
                <w:szCs w:val="17"/>
              </w:rPr>
              <w:t xml:space="preserve">: </w:t>
            </w:r>
            <w:r w:rsidRPr="00BF1EB3">
              <w:rPr>
                <w:iCs/>
                <w:color w:val="000000"/>
                <w:sz w:val="17"/>
                <w:szCs w:val="17"/>
              </w:rPr>
              <w:t>0</w:t>
            </w:r>
            <w:r w:rsidR="003516AA" w:rsidRPr="00BF1EB3">
              <w:rPr>
                <w:iCs/>
                <w:color w:val="000000"/>
                <w:sz w:val="17"/>
                <w:szCs w:val="17"/>
              </w:rPr>
              <w:t xml:space="preserve"> </w:t>
            </w:r>
          </w:p>
          <w:p w14:paraId="1BE80C25" w14:textId="77777777" w:rsidR="009F6523" w:rsidRPr="009B2E26" w:rsidRDefault="009F6523" w:rsidP="009F6523">
            <w:pPr>
              <w:numPr>
                <w:ilvl w:val="0"/>
                <w:numId w:val="5"/>
              </w:numPr>
              <w:ind w:hanging="220"/>
              <w:rPr>
                <w:iCs/>
                <w:color w:val="000000"/>
                <w:sz w:val="17"/>
                <w:szCs w:val="17"/>
              </w:rPr>
            </w:pPr>
            <w:r w:rsidRPr="009B2E26">
              <w:rPr>
                <w:iCs/>
                <w:color w:val="000000"/>
                <w:sz w:val="17"/>
                <w:szCs w:val="17"/>
              </w:rPr>
              <w:t>Target</w:t>
            </w:r>
            <w:r w:rsidR="009B0D06">
              <w:rPr>
                <w:iCs/>
                <w:color w:val="000000"/>
                <w:sz w:val="17"/>
                <w:szCs w:val="17"/>
              </w:rPr>
              <w:t xml:space="preserve"> </w:t>
            </w:r>
            <w:r w:rsidR="009B0D06" w:rsidRPr="00186B0F">
              <w:rPr>
                <w:iCs/>
                <w:color w:val="000000"/>
                <w:sz w:val="17"/>
                <w:szCs w:val="17"/>
              </w:rPr>
              <w:t>(2021)</w:t>
            </w:r>
            <w:r w:rsidRPr="009B2E26">
              <w:rPr>
                <w:iCs/>
                <w:color w:val="000000"/>
                <w:sz w:val="17"/>
                <w:szCs w:val="17"/>
              </w:rPr>
              <w:t xml:space="preserve">: </w:t>
            </w:r>
            <w:r w:rsidR="003B4F04" w:rsidRPr="00BF1EB3">
              <w:rPr>
                <w:iCs/>
                <w:color w:val="000000"/>
                <w:sz w:val="17"/>
                <w:szCs w:val="17"/>
              </w:rPr>
              <w:t>150</w:t>
            </w:r>
            <w:r w:rsidR="003516AA" w:rsidRPr="00BF1EB3">
              <w:rPr>
                <w:iCs/>
                <w:color w:val="000000"/>
                <w:sz w:val="17"/>
                <w:szCs w:val="17"/>
              </w:rPr>
              <w:t xml:space="preserve"> </w:t>
            </w:r>
          </w:p>
          <w:p w14:paraId="30269D51" w14:textId="77777777" w:rsidR="009F6523" w:rsidRPr="009B2E26" w:rsidRDefault="009F6523" w:rsidP="009F6523">
            <w:pPr>
              <w:numPr>
                <w:ilvl w:val="0"/>
                <w:numId w:val="5"/>
              </w:numPr>
              <w:ind w:hanging="220"/>
              <w:rPr>
                <w:iCs/>
                <w:color w:val="000000"/>
                <w:sz w:val="17"/>
                <w:szCs w:val="17"/>
              </w:rPr>
            </w:pPr>
            <w:r w:rsidRPr="009B2E26">
              <w:rPr>
                <w:iCs/>
                <w:color w:val="000000"/>
                <w:sz w:val="17"/>
                <w:szCs w:val="17"/>
              </w:rPr>
              <w:t xml:space="preserve">Data </w:t>
            </w:r>
            <w:r w:rsidR="00283B30" w:rsidRPr="009B2E26">
              <w:rPr>
                <w:iCs/>
                <w:color w:val="000000"/>
                <w:sz w:val="17"/>
                <w:szCs w:val="17"/>
              </w:rPr>
              <w:t xml:space="preserve">source: </w:t>
            </w:r>
            <w:r w:rsidR="00283B30" w:rsidRPr="00BF1EB3">
              <w:rPr>
                <w:iCs/>
                <w:color w:val="000000"/>
                <w:sz w:val="17"/>
                <w:szCs w:val="17"/>
              </w:rPr>
              <w:t>Ministry</w:t>
            </w:r>
            <w:r w:rsidRPr="00BF1EB3">
              <w:rPr>
                <w:iCs/>
                <w:color w:val="000000"/>
                <w:sz w:val="17"/>
                <w:szCs w:val="17"/>
              </w:rPr>
              <w:t xml:space="preserve"> of Economy and </w:t>
            </w:r>
            <w:r w:rsidR="004F5FB4" w:rsidRPr="00186B0F">
              <w:rPr>
                <w:iCs/>
                <w:color w:val="000000"/>
                <w:sz w:val="17"/>
                <w:szCs w:val="17"/>
              </w:rPr>
              <w:t>Central B</w:t>
            </w:r>
            <w:r w:rsidRPr="00186B0F">
              <w:rPr>
                <w:iCs/>
                <w:color w:val="000000"/>
                <w:sz w:val="17"/>
                <w:szCs w:val="17"/>
              </w:rPr>
              <w:t>anks, National Institute</w:t>
            </w:r>
            <w:r w:rsidR="008560A7" w:rsidRPr="00186B0F">
              <w:rPr>
                <w:iCs/>
                <w:color w:val="000000"/>
                <w:sz w:val="17"/>
                <w:szCs w:val="17"/>
              </w:rPr>
              <w:t xml:space="preserve"> of Statistics</w:t>
            </w:r>
            <w:r w:rsidRPr="00186B0F">
              <w:rPr>
                <w:iCs/>
                <w:color w:val="000000"/>
                <w:sz w:val="17"/>
                <w:szCs w:val="17"/>
              </w:rPr>
              <w:t>,</w:t>
            </w:r>
            <w:r w:rsidR="008560A7" w:rsidRPr="00186B0F">
              <w:rPr>
                <w:iCs/>
                <w:color w:val="000000"/>
                <w:sz w:val="17"/>
                <w:szCs w:val="17"/>
              </w:rPr>
              <w:t xml:space="preserve"> </w:t>
            </w:r>
            <w:r w:rsidRPr="007A1298">
              <w:rPr>
                <w:iCs/>
                <w:color w:val="000000"/>
                <w:sz w:val="17"/>
                <w:szCs w:val="17"/>
              </w:rPr>
              <w:t>Directorate of Environment reports</w:t>
            </w:r>
          </w:p>
          <w:p w14:paraId="546DF6E7" w14:textId="77777777" w:rsidR="003B4F04" w:rsidRPr="00A16798" w:rsidRDefault="003B4F04" w:rsidP="009F6523">
            <w:pPr>
              <w:numPr>
                <w:ilvl w:val="0"/>
                <w:numId w:val="5"/>
              </w:numPr>
              <w:ind w:hanging="220"/>
              <w:rPr>
                <w:i/>
                <w:iCs/>
                <w:color w:val="000000"/>
                <w:sz w:val="17"/>
                <w:szCs w:val="17"/>
              </w:rPr>
            </w:pPr>
            <w:r w:rsidRPr="009B2E26">
              <w:rPr>
                <w:iCs/>
                <w:color w:val="000000"/>
                <w:sz w:val="17"/>
                <w:szCs w:val="17"/>
              </w:rPr>
              <w:t xml:space="preserve">Frequency: </w:t>
            </w:r>
            <w:r w:rsidRPr="00BF1EB3">
              <w:rPr>
                <w:iCs/>
                <w:color w:val="000000"/>
                <w:sz w:val="17"/>
                <w:szCs w:val="17"/>
              </w:rPr>
              <w:t>Annual</w:t>
            </w:r>
          </w:p>
          <w:p w14:paraId="19A5EAE4" w14:textId="77777777" w:rsidR="009F6523" w:rsidRPr="00A16798" w:rsidRDefault="009F6523" w:rsidP="009F6523">
            <w:pPr>
              <w:rPr>
                <w:i/>
                <w:iCs/>
                <w:color w:val="000000"/>
                <w:sz w:val="17"/>
                <w:szCs w:val="17"/>
              </w:rPr>
            </w:pPr>
          </w:p>
          <w:p w14:paraId="0D30E0AF" w14:textId="77777777" w:rsidR="009F6523" w:rsidRPr="00A16798" w:rsidRDefault="009F6523" w:rsidP="009F6523">
            <w:pPr>
              <w:rPr>
                <w:sz w:val="17"/>
                <w:szCs w:val="17"/>
              </w:rPr>
            </w:pPr>
            <w:r w:rsidRPr="009B2E26">
              <w:rPr>
                <w:b/>
                <w:bCs/>
                <w:i/>
                <w:color w:val="000000"/>
                <w:sz w:val="17"/>
                <w:szCs w:val="17"/>
              </w:rPr>
              <w:t>Indicator:</w:t>
            </w:r>
            <w:r w:rsidRPr="00A16798">
              <w:rPr>
                <w:bCs/>
                <w:i/>
                <w:color w:val="000000"/>
                <w:sz w:val="17"/>
                <w:szCs w:val="17"/>
              </w:rPr>
              <w:t xml:space="preserve"> </w:t>
            </w:r>
            <w:r w:rsidRPr="00A16798">
              <w:rPr>
                <w:sz w:val="17"/>
                <w:szCs w:val="17"/>
              </w:rPr>
              <w:t>Number of SMEs, NGOs and cooperatives that access financial services</w:t>
            </w:r>
          </w:p>
          <w:p w14:paraId="2728415D" w14:textId="77777777" w:rsidR="009F6523" w:rsidRPr="009B2E26" w:rsidRDefault="009F6523" w:rsidP="009F6523">
            <w:pPr>
              <w:numPr>
                <w:ilvl w:val="0"/>
                <w:numId w:val="5"/>
              </w:numPr>
              <w:ind w:hanging="220"/>
              <w:rPr>
                <w:iCs/>
                <w:color w:val="000000"/>
                <w:sz w:val="17"/>
                <w:szCs w:val="17"/>
              </w:rPr>
            </w:pPr>
            <w:r w:rsidRPr="009B2E26">
              <w:rPr>
                <w:iCs/>
                <w:color w:val="000000"/>
                <w:sz w:val="17"/>
                <w:szCs w:val="17"/>
              </w:rPr>
              <w:t>Baseline</w:t>
            </w:r>
            <w:r w:rsidR="009B0D06">
              <w:rPr>
                <w:iCs/>
                <w:color w:val="000000"/>
                <w:sz w:val="17"/>
                <w:szCs w:val="17"/>
              </w:rPr>
              <w:t xml:space="preserve"> </w:t>
            </w:r>
            <w:r w:rsidR="009B0D06" w:rsidRPr="00186B0F">
              <w:rPr>
                <w:iCs/>
                <w:color w:val="000000"/>
                <w:sz w:val="17"/>
                <w:szCs w:val="17"/>
              </w:rPr>
              <w:t>(2015)</w:t>
            </w:r>
            <w:r w:rsidRPr="009B2E26">
              <w:rPr>
                <w:iCs/>
                <w:color w:val="000000"/>
                <w:sz w:val="17"/>
                <w:szCs w:val="17"/>
              </w:rPr>
              <w:t xml:space="preserve">: </w:t>
            </w:r>
            <w:r w:rsidRPr="00BF1EB3">
              <w:rPr>
                <w:iCs/>
                <w:color w:val="000000"/>
                <w:sz w:val="17"/>
                <w:szCs w:val="17"/>
              </w:rPr>
              <w:t>0</w:t>
            </w:r>
            <w:r w:rsidR="003B4F04" w:rsidRPr="00186B0F">
              <w:rPr>
                <w:iCs/>
                <w:color w:val="000000"/>
                <w:sz w:val="17"/>
                <w:szCs w:val="17"/>
              </w:rPr>
              <w:t xml:space="preserve"> </w:t>
            </w:r>
            <w:r w:rsidR="003516AA" w:rsidRPr="00186B0F">
              <w:rPr>
                <w:iCs/>
                <w:color w:val="000000"/>
                <w:sz w:val="17"/>
                <w:szCs w:val="17"/>
              </w:rPr>
              <w:t>SMEs; 0 NGOs; 0 cooperatives</w:t>
            </w:r>
            <w:r w:rsidRPr="00186B0F">
              <w:rPr>
                <w:iCs/>
                <w:color w:val="000000"/>
                <w:sz w:val="17"/>
                <w:szCs w:val="17"/>
              </w:rPr>
              <w:t xml:space="preserve"> </w:t>
            </w:r>
          </w:p>
          <w:p w14:paraId="4E605192" w14:textId="77777777" w:rsidR="009F6523" w:rsidRPr="009B2E26" w:rsidRDefault="009F6523" w:rsidP="009F6523">
            <w:pPr>
              <w:numPr>
                <w:ilvl w:val="0"/>
                <w:numId w:val="5"/>
              </w:numPr>
              <w:ind w:hanging="220"/>
              <w:rPr>
                <w:iCs/>
                <w:color w:val="000000"/>
                <w:sz w:val="17"/>
                <w:szCs w:val="17"/>
              </w:rPr>
            </w:pPr>
            <w:r w:rsidRPr="009B2E26">
              <w:rPr>
                <w:iCs/>
                <w:color w:val="000000"/>
                <w:sz w:val="17"/>
                <w:szCs w:val="17"/>
              </w:rPr>
              <w:t>Target</w:t>
            </w:r>
            <w:r w:rsidR="009B0D06">
              <w:rPr>
                <w:iCs/>
                <w:color w:val="000000"/>
                <w:sz w:val="17"/>
                <w:szCs w:val="17"/>
              </w:rPr>
              <w:t xml:space="preserve"> </w:t>
            </w:r>
            <w:r w:rsidR="009B0D06" w:rsidRPr="00186B0F">
              <w:rPr>
                <w:iCs/>
                <w:color w:val="000000"/>
                <w:sz w:val="17"/>
                <w:szCs w:val="17"/>
              </w:rPr>
              <w:t>(2021)</w:t>
            </w:r>
            <w:r w:rsidRPr="009B2E26">
              <w:rPr>
                <w:iCs/>
                <w:color w:val="000000"/>
                <w:sz w:val="17"/>
                <w:szCs w:val="17"/>
              </w:rPr>
              <w:t xml:space="preserve">: </w:t>
            </w:r>
            <w:r w:rsidRPr="00BF1EB3">
              <w:rPr>
                <w:iCs/>
                <w:color w:val="000000"/>
                <w:sz w:val="17"/>
                <w:szCs w:val="17"/>
              </w:rPr>
              <w:t xml:space="preserve">5 </w:t>
            </w:r>
            <w:r w:rsidR="0075449E" w:rsidRPr="00186B0F">
              <w:rPr>
                <w:iCs/>
                <w:color w:val="000000"/>
                <w:sz w:val="17"/>
                <w:szCs w:val="17"/>
              </w:rPr>
              <w:t>SMEs; 5</w:t>
            </w:r>
            <w:r w:rsidR="003516AA" w:rsidRPr="00186B0F">
              <w:rPr>
                <w:iCs/>
                <w:color w:val="000000"/>
                <w:sz w:val="17"/>
                <w:szCs w:val="17"/>
              </w:rPr>
              <w:t xml:space="preserve"> NGOs; </w:t>
            </w:r>
            <w:r w:rsidR="0075449E" w:rsidRPr="00186B0F">
              <w:rPr>
                <w:iCs/>
                <w:color w:val="000000"/>
                <w:sz w:val="17"/>
                <w:szCs w:val="17"/>
              </w:rPr>
              <w:t>5</w:t>
            </w:r>
            <w:r w:rsidR="003516AA" w:rsidRPr="00186B0F">
              <w:rPr>
                <w:iCs/>
                <w:color w:val="000000"/>
                <w:sz w:val="17"/>
                <w:szCs w:val="17"/>
              </w:rPr>
              <w:t xml:space="preserve"> cooperatives </w:t>
            </w:r>
          </w:p>
          <w:p w14:paraId="60261E23" w14:textId="77777777" w:rsidR="009F6523" w:rsidRPr="009B2E26" w:rsidRDefault="009F6523" w:rsidP="009F6523">
            <w:pPr>
              <w:numPr>
                <w:ilvl w:val="0"/>
                <w:numId w:val="5"/>
              </w:numPr>
              <w:ind w:hanging="220"/>
              <w:rPr>
                <w:iCs/>
                <w:color w:val="000000"/>
                <w:sz w:val="17"/>
                <w:szCs w:val="17"/>
              </w:rPr>
            </w:pPr>
            <w:r w:rsidRPr="009B2E26">
              <w:rPr>
                <w:iCs/>
                <w:color w:val="000000"/>
                <w:sz w:val="17"/>
                <w:szCs w:val="17"/>
              </w:rPr>
              <w:t xml:space="preserve">Data </w:t>
            </w:r>
            <w:r w:rsidR="00283B30" w:rsidRPr="009B2E26">
              <w:rPr>
                <w:iCs/>
                <w:color w:val="000000"/>
                <w:sz w:val="17"/>
                <w:szCs w:val="17"/>
              </w:rPr>
              <w:t xml:space="preserve">source: </w:t>
            </w:r>
            <w:r w:rsidR="00283B30" w:rsidRPr="00BF1EB3">
              <w:rPr>
                <w:iCs/>
                <w:color w:val="000000"/>
                <w:sz w:val="17"/>
                <w:szCs w:val="17"/>
              </w:rPr>
              <w:t>NGO</w:t>
            </w:r>
            <w:r w:rsidR="004F5FB4" w:rsidRPr="00186B0F">
              <w:rPr>
                <w:iCs/>
                <w:color w:val="000000"/>
                <w:sz w:val="17"/>
                <w:szCs w:val="17"/>
              </w:rPr>
              <w:t>, Ministry of Infrastructure</w:t>
            </w:r>
            <w:r w:rsidRPr="00186B0F">
              <w:rPr>
                <w:iCs/>
                <w:color w:val="000000"/>
                <w:sz w:val="17"/>
                <w:szCs w:val="17"/>
              </w:rPr>
              <w:t xml:space="preserve"> and Natural </w:t>
            </w:r>
            <w:r w:rsidR="000D401A">
              <w:rPr>
                <w:iCs/>
                <w:color w:val="000000"/>
                <w:sz w:val="17"/>
                <w:szCs w:val="17"/>
              </w:rPr>
              <w:t>R</w:t>
            </w:r>
            <w:r w:rsidRPr="00186B0F">
              <w:rPr>
                <w:iCs/>
                <w:color w:val="000000"/>
                <w:sz w:val="17"/>
                <w:szCs w:val="17"/>
              </w:rPr>
              <w:t>esources</w:t>
            </w:r>
          </w:p>
          <w:p w14:paraId="315F0539" w14:textId="77777777" w:rsidR="00B548DD" w:rsidRPr="00A16798" w:rsidRDefault="00161A80" w:rsidP="004405F9">
            <w:pPr>
              <w:numPr>
                <w:ilvl w:val="0"/>
                <w:numId w:val="5"/>
              </w:numPr>
              <w:ind w:hanging="220"/>
              <w:rPr>
                <w:i/>
                <w:iCs/>
                <w:color w:val="000000"/>
                <w:sz w:val="17"/>
                <w:szCs w:val="17"/>
              </w:rPr>
            </w:pPr>
            <w:r w:rsidRPr="009B2E26">
              <w:rPr>
                <w:iCs/>
                <w:color w:val="000000"/>
                <w:sz w:val="17"/>
                <w:szCs w:val="17"/>
              </w:rPr>
              <w:t xml:space="preserve">Frequency: </w:t>
            </w:r>
            <w:r w:rsidRPr="00BF1EB3">
              <w:rPr>
                <w:iCs/>
                <w:color w:val="000000"/>
                <w:sz w:val="17"/>
                <w:szCs w:val="17"/>
              </w:rPr>
              <w:t>Annual</w:t>
            </w:r>
          </w:p>
        </w:tc>
        <w:tc>
          <w:tcPr>
            <w:tcW w:w="763" w:type="pct"/>
            <w:tcBorders>
              <w:top w:val="single" w:sz="4" w:space="0" w:color="auto"/>
              <w:bottom w:val="single" w:sz="4" w:space="0" w:color="auto"/>
            </w:tcBorders>
          </w:tcPr>
          <w:p w14:paraId="255833C0" w14:textId="77777777" w:rsidR="00B548DD" w:rsidRPr="00A16798" w:rsidRDefault="00B548DD" w:rsidP="00FD6992">
            <w:pPr>
              <w:jc w:val="center"/>
              <w:rPr>
                <w:iCs/>
                <w:color w:val="000000"/>
                <w:sz w:val="17"/>
                <w:szCs w:val="17"/>
              </w:rPr>
            </w:pPr>
          </w:p>
        </w:tc>
        <w:tc>
          <w:tcPr>
            <w:tcW w:w="564" w:type="pct"/>
            <w:gridSpan w:val="2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3C610A3" w14:textId="77777777" w:rsidR="00B548DD" w:rsidRPr="00A16798" w:rsidRDefault="00B548DD" w:rsidP="00FD6992">
            <w:pPr>
              <w:rPr>
                <w:color w:val="000000"/>
                <w:sz w:val="17"/>
                <w:szCs w:val="17"/>
              </w:rPr>
            </w:pPr>
            <w:r w:rsidRPr="00A16798">
              <w:rPr>
                <w:color w:val="000000"/>
                <w:sz w:val="17"/>
                <w:szCs w:val="17"/>
              </w:rPr>
              <w:t xml:space="preserve"> </w:t>
            </w:r>
          </w:p>
          <w:p w14:paraId="2079066C" w14:textId="77777777" w:rsidR="00B548DD" w:rsidRPr="00A16798" w:rsidRDefault="00B548DD" w:rsidP="00FD6992">
            <w:pPr>
              <w:rPr>
                <w:b/>
                <w:color w:val="000000"/>
                <w:sz w:val="17"/>
                <w:szCs w:val="17"/>
              </w:rPr>
            </w:pPr>
          </w:p>
        </w:tc>
      </w:tr>
      <w:tr w:rsidR="00B548DD" w:rsidRPr="00A16798" w14:paraId="753E32F7" w14:textId="77777777" w:rsidTr="00322FDC">
        <w:trPr>
          <w:jc w:val="center"/>
        </w:trPr>
        <w:tc>
          <w:tcPr>
            <w:tcW w:w="586" w:type="pct"/>
            <w:vMerge/>
            <w:tcBorders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4F2924" w14:textId="77777777" w:rsidR="00B548DD" w:rsidRPr="00A16798" w:rsidRDefault="00B548DD" w:rsidP="00FD6992">
            <w:pPr>
              <w:rPr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91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EEA11DC" w14:textId="77777777" w:rsidR="00B548DD" w:rsidRPr="00A16798" w:rsidRDefault="00B548DD" w:rsidP="00FD6992">
            <w:pPr>
              <w:rPr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BBFF36" w14:textId="77777777" w:rsidR="00B31C2C" w:rsidRPr="00A16798" w:rsidRDefault="00B31C2C" w:rsidP="009B2E26">
            <w:pPr>
              <w:rPr>
                <w:sz w:val="17"/>
                <w:szCs w:val="17"/>
                <w:lang w:eastAsia="pt-PT"/>
              </w:rPr>
            </w:pPr>
            <w:r w:rsidRPr="00A16798">
              <w:rPr>
                <w:b/>
                <w:sz w:val="17"/>
                <w:szCs w:val="17"/>
              </w:rPr>
              <w:t>Output 3.3:</w:t>
            </w:r>
            <w:r w:rsidR="008403B2" w:rsidRPr="00A16798">
              <w:rPr>
                <w:b/>
                <w:sz w:val="17"/>
                <w:szCs w:val="17"/>
              </w:rPr>
              <w:t xml:space="preserve"> </w:t>
            </w:r>
            <w:r w:rsidR="00CB51F2">
              <w:rPr>
                <w:sz w:val="17"/>
                <w:szCs w:val="17"/>
              </w:rPr>
              <w:t>P</w:t>
            </w:r>
            <w:r w:rsidRPr="00A16798">
              <w:rPr>
                <w:sz w:val="17"/>
                <w:szCs w:val="17"/>
                <w:lang w:eastAsia="pt-PT"/>
              </w:rPr>
              <w:t xml:space="preserve">ublic and private institutions </w:t>
            </w:r>
            <w:r w:rsidR="00CB51F2">
              <w:rPr>
                <w:sz w:val="17"/>
                <w:szCs w:val="17"/>
                <w:lang w:eastAsia="pt-PT"/>
              </w:rPr>
              <w:t>and</w:t>
            </w:r>
            <w:r w:rsidRPr="00A16798">
              <w:rPr>
                <w:sz w:val="17"/>
                <w:szCs w:val="17"/>
                <w:lang w:eastAsia="pt-PT"/>
              </w:rPr>
              <w:t xml:space="preserve"> rural communities </w:t>
            </w:r>
            <w:r w:rsidR="009153EE" w:rsidRPr="00A16798">
              <w:rPr>
                <w:sz w:val="17"/>
                <w:szCs w:val="17"/>
                <w:lang w:eastAsia="pt-PT"/>
              </w:rPr>
              <w:t xml:space="preserve">are </w:t>
            </w:r>
            <w:r w:rsidR="002C4C14" w:rsidRPr="00A16798">
              <w:rPr>
                <w:sz w:val="17"/>
                <w:szCs w:val="17"/>
                <w:lang w:eastAsia="pt-PT"/>
              </w:rPr>
              <w:t>able</w:t>
            </w:r>
            <w:r w:rsidR="009153EE" w:rsidRPr="00A16798">
              <w:rPr>
                <w:sz w:val="17"/>
                <w:szCs w:val="17"/>
                <w:lang w:eastAsia="pt-PT"/>
              </w:rPr>
              <w:t xml:space="preserve"> to </w:t>
            </w:r>
            <w:r w:rsidR="007A41FB" w:rsidRPr="00A16798">
              <w:rPr>
                <w:sz w:val="17"/>
                <w:szCs w:val="17"/>
                <w:lang w:eastAsia="pt-PT"/>
              </w:rPr>
              <w:t xml:space="preserve">apply </w:t>
            </w:r>
            <w:r w:rsidR="008403B2" w:rsidRPr="00A16798">
              <w:rPr>
                <w:sz w:val="17"/>
                <w:szCs w:val="17"/>
                <w:lang w:eastAsia="pt-PT"/>
              </w:rPr>
              <w:t xml:space="preserve">sustainability </w:t>
            </w:r>
            <w:r w:rsidRPr="00A16798">
              <w:rPr>
                <w:sz w:val="17"/>
                <w:szCs w:val="17"/>
                <w:lang w:eastAsia="pt-PT"/>
              </w:rPr>
              <w:t xml:space="preserve">principles </w:t>
            </w:r>
            <w:r w:rsidR="008403B2" w:rsidRPr="00A16798">
              <w:rPr>
                <w:sz w:val="17"/>
                <w:szCs w:val="17"/>
                <w:lang w:eastAsia="pt-PT"/>
              </w:rPr>
              <w:t xml:space="preserve">for better use of </w:t>
            </w:r>
            <w:r w:rsidRPr="00A16798">
              <w:rPr>
                <w:sz w:val="17"/>
                <w:szCs w:val="17"/>
                <w:lang w:eastAsia="pt-PT"/>
              </w:rPr>
              <w:t>natural resources</w:t>
            </w:r>
            <w:r w:rsidR="008403B2" w:rsidRPr="00A16798">
              <w:rPr>
                <w:sz w:val="17"/>
                <w:szCs w:val="17"/>
                <w:lang w:eastAsia="pt-PT"/>
              </w:rPr>
              <w:t>, biodiversity conservation and protection</w:t>
            </w:r>
            <w:r w:rsidRPr="00A16798">
              <w:rPr>
                <w:sz w:val="17"/>
                <w:szCs w:val="17"/>
                <w:lang w:eastAsia="pt-PT"/>
              </w:rPr>
              <w:t xml:space="preserve"> for inclusive growth.</w:t>
            </w:r>
          </w:p>
          <w:p w14:paraId="4B3A8FBC" w14:textId="77777777" w:rsidR="00B31C2C" w:rsidRPr="00A16798" w:rsidRDefault="00B31C2C" w:rsidP="00B31C2C">
            <w:pPr>
              <w:rPr>
                <w:sz w:val="17"/>
                <w:szCs w:val="17"/>
                <w:lang w:eastAsia="pt-PT"/>
              </w:rPr>
            </w:pPr>
          </w:p>
          <w:p w14:paraId="20A90653" w14:textId="77777777" w:rsidR="00B31C2C" w:rsidRPr="00A16798" w:rsidRDefault="00B31C2C" w:rsidP="00B31C2C">
            <w:pPr>
              <w:rPr>
                <w:sz w:val="17"/>
                <w:szCs w:val="17"/>
              </w:rPr>
            </w:pPr>
            <w:r w:rsidRPr="009B2E26">
              <w:rPr>
                <w:b/>
                <w:bCs/>
                <w:i/>
                <w:color w:val="000000"/>
                <w:sz w:val="17"/>
                <w:szCs w:val="17"/>
              </w:rPr>
              <w:t>Indicator:</w:t>
            </w:r>
            <w:r w:rsidRPr="00A16798">
              <w:rPr>
                <w:bCs/>
                <w:i/>
                <w:color w:val="000000"/>
                <w:sz w:val="17"/>
                <w:szCs w:val="17"/>
              </w:rPr>
              <w:t xml:space="preserve"> </w:t>
            </w:r>
            <w:r w:rsidRPr="00A16798">
              <w:rPr>
                <w:sz w:val="17"/>
                <w:szCs w:val="17"/>
              </w:rPr>
              <w:t>Number of publ</w:t>
            </w:r>
            <w:r w:rsidR="003516AA" w:rsidRPr="00A16798">
              <w:rPr>
                <w:sz w:val="17"/>
                <w:szCs w:val="17"/>
              </w:rPr>
              <w:t>i</w:t>
            </w:r>
            <w:r w:rsidRPr="00A16798">
              <w:rPr>
                <w:sz w:val="17"/>
                <w:szCs w:val="17"/>
              </w:rPr>
              <w:t>c an</w:t>
            </w:r>
            <w:r w:rsidR="003516AA" w:rsidRPr="00A16798">
              <w:rPr>
                <w:sz w:val="17"/>
                <w:szCs w:val="17"/>
              </w:rPr>
              <w:t>d</w:t>
            </w:r>
            <w:r w:rsidRPr="00A16798">
              <w:rPr>
                <w:sz w:val="17"/>
                <w:szCs w:val="17"/>
              </w:rPr>
              <w:t xml:space="preserve"> private</w:t>
            </w:r>
            <w:r w:rsidR="00161A80" w:rsidRPr="00A16798">
              <w:rPr>
                <w:sz w:val="17"/>
                <w:szCs w:val="17"/>
              </w:rPr>
              <w:t xml:space="preserve"> institutions</w:t>
            </w:r>
            <w:r w:rsidRPr="00A16798">
              <w:rPr>
                <w:sz w:val="17"/>
                <w:szCs w:val="17"/>
              </w:rPr>
              <w:t xml:space="preserve"> and rural communities </w:t>
            </w:r>
            <w:r w:rsidR="00CB51F2">
              <w:rPr>
                <w:sz w:val="17"/>
                <w:szCs w:val="17"/>
              </w:rPr>
              <w:t>that</w:t>
            </w:r>
            <w:r w:rsidR="00CB51F2" w:rsidRPr="00A16798">
              <w:rPr>
                <w:sz w:val="17"/>
                <w:szCs w:val="17"/>
              </w:rPr>
              <w:t xml:space="preserve"> </w:t>
            </w:r>
            <w:r w:rsidRPr="00A16798">
              <w:rPr>
                <w:sz w:val="17"/>
                <w:szCs w:val="17"/>
              </w:rPr>
              <w:t>adopt environmental principles</w:t>
            </w:r>
          </w:p>
          <w:p w14:paraId="0F646EA1" w14:textId="77777777" w:rsidR="00B31C2C" w:rsidRPr="009B2E26" w:rsidRDefault="00161A80" w:rsidP="00B31C2C">
            <w:pPr>
              <w:numPr>
                <w:ilvl w:val="0"/>
                <w:numId w:val="5"/>
              </w:numPr>
              <w:ind w:hanging="220"/>
              <w:rPr>
                <w:iCs/>
                <w:color w:val="000000"/>
                <w:sz w:val="17"/>
                <w:szCs w:val="17"/>
              </w:rPr>
            </w:pPr>
            <w:r w:rsidRPr="009B2E26">
              <w:rPr>
                <w:iCs/>
                <w:color w:val="000000"/>
                <w:sz w:val="17"/>
                <w:szCs w:val="17"/>
              </w:rPr>
              <w:t>Baseline</w:t>
            </w:r>
            <w:r w:rsidR="007A1298">
              <w:rPr>
                <w:iCs/>
                <w:color w:val="000000"/>
                <w:sz w:val="17"/>
                <w:szCs w:val="17"/>
              </w:rPr>
              <w:t xml:space="preserve"> (2015)</w:t>
            </w:r>
            <w:r w:rsidRPr="009B2E26">
              <w:rPr>
                <w:iCs/>
                <w:color w:val="000000"/>
                <w:sz w:val="17"/>
                <w:szCs w:val="17"/>
              </w:rPr>
              <w:t>:</w:t>
            </w:r>
            <w:r w:rsidR="007A1298">
              <w:rPr>
                <w:iCs/>
                <w:color w:val="000000"/>
                <w:sz w:val="17"/>
                <w:szCs w:val="17"/>
              </w:rPr>
              <w:t xml:space="preserve"> </w:t>
            </w:r>
            <w:r w:rsidRPr="00186B0F">
              <w:rPr>
                <w:iCs/>
                <w:color w:val="000000"/>
                <w:sz w:val="17"/>
                <w:szCs w:val="17"/>
              </w:rPr>
              <w:t xml:space="preserve">1 </w:t>
            </w:r>
            <w:r w:rsidR="00CB51F2" w:rsidRPr="00186B0F">
              <w:rPr>
                <w:iCs/>
                <w:color w:val="000000"/>
                <w:sz w:val="17"/>
                <w:szCs w:val="17"/>
              </w:rPr>
              <w:t>p</w:t>
            </w:r>
            <w:r w:rsidRPr="007A1298">
              <w:rPr>
                <w:iCs/>
                <w:color w:val="000000"/>
                <w:sz w:val="17"/>
                <w:szCs w:val="17"/>
              </w:rPr>
              <w:t xml:space="preserve">ublic; 1 </w:t>
            </w:r>
            <w:r w:rsidR="00CB51F2" w:rsidRPr="007A1298">
              <w:rPr>
                <w:iCs/>
                <w:color w:val="000000"/>
                <w:sz w:val="17"/>
                <w:szCs w:val="17"/>
              </w:rPr>
              <w:t>p</w:t>
            </w:r>
            <w:r w:rsidRPr="007A1298">
              <w:rPr>
                <w:iCs/>
                <w:color w:val="000000"/>
                <w:sz w:val="17"/>
                <w:szCs w:val="17"/>
              </w:rPr>
              <w:t>rivate; 1</w:t>
            </w:r>
            <w:r w:rsidR="00CB51F2" w:rsidRPr="007A1298">
              <w:rPr>
                <w:iCs/>
                <w:color w:val="000000"/>
                <w:sz w:val="17"/>
                <w:szCs w:val="17"/>
              </w:rPr>
              <w:t xml:space="preserve"> r</w:t>
            </w:r>
            <w:r w:rsidRPr="007A1298">
              <w:rPr>
                <w:iCs/>
                <w:color w:val="000000"/>
                <w:sz w:val="17"/>
                <w:szCs w:val="17"/>
              </w:rPr>
              <w:t xml:space="preserve">ural </w:t>
            </w:r>
            <w:r w:rsidR="00CB51F2" w:rsidRPr="007A1298">
              <w:rPr>
                <w:iCs/>
                <w:color w:val="000000"/>
                <w:sz w:val="17"/>
                <w:szCs w:val="17"/>
              </w:rPr>
              <w:t>c</w:t>
            </w:r>
            <w:r w:rsidRPr="007A1298">
              <w:rPr>
                <w:iCs/>
                <w:color w:val="000000"/>
                <w:sz w:val="17"/>
                <w:szCs w:val="17"/>
              </w:rPr>
              <w:t xml:space="preserve">ommunity </w:t>
            </w:r>
          </w:p>
          <w:p w14:paraId="1AF4CD1D" w14:textId="77777777" w:rsidR="00B31C2C" w:rsidRPr="009B2E26" w:rsidRDefault="00B31C2C" w:rsidP="00B31C2C">
            <w:pPr>
              <w:numPr>
                <w:ilvl w:val="0"/>
                <w:numId w:val="5"/>
              </w:numPr>
              <w:ind w:hanging="220"/>
              <w:rPr>
                <w:iCs/>
                <w:color w:val="000000"/>
                <w:sz w:val="17"/>
                <w:szCs w:val="17"/>
              </w:rPr>
            </w:pPr>
            <w:r w:rsidRPr="009B2E26">
              <w:rPr>
                <w:iCs/>
                <w:color w:val="000000"/>
                <w:sz w:val="17"/>
                <w:szCs w:val="17"/>
              </w:rPr>
              <w:t>Target</w:t>
            </w:r>
            <w:r w:rsidR="007A1298">
              <w:rPr>
                <w:iCs/>
                <w:color w:val="000000"/>
                <w:sz w:val="17"/>
                <w:szCs w:val="17"/>
              </w:rPr>
              <w:t xml:space="preserve"> (2021)</w:t>
            </w:r>
            <w:r w:rsidRPr="009B2E26">
              <w:rPr>
                <w:iCs/>
                <w:color w:val="000000"/>
                <w:sz w:val="17"/>
                <w:szCs w:val="17"/>
              </w:rPr>
              <w:t xml:space="preserve">: </w:t>
            </w:r>
            <w:r w:rsidR="00C76C00" w:rsidRPr="00186B0F">
              <w:rPr>
                <w:iCs/>
                <w:color w:val="000000"/>
                <w:sz w:val="17"/>
                <w:szCs w:val="17"/>
              </w:rPr>
              <w:t xml:space="preserve">3 </w:t>
            </w:r>
            <w:r w:rsidR="00CB51F2" w:rsidRPr="00186B0F">
              <w:rPr>
                <w:iCs/>
                <w:color w:val="000000"/>
                <w:sz w:val="17"/>
                <w:szCs w:val="17"/>
              </w:rPr>
              <w:t>p</w:t>
            </w:r>
            <w:r w:rsidR="00C76C00" w:rsidRPr="007A1298">
              <w:rPr>
                <w:iCs/>
                <w:color w:val="000000"/>
                <w:sz w:val="17"/>
                <w:szCs w:val="17"/>
              </w:rPr>
              <w:t xml:space="preserve">ublic; 3 </w:t>
            </w:r>
            <w:r w:rsidR="00CB51F2" w:rsidRPr="007A1298">
              <w:rPr>
                <w:iCs/>
                <w:color w:val="000000"/>
                <w:sz w:val="17"/>
                <w:szCs w:val="17"/>
              </w:rPr>
              <w:t>p</w:t>
            </w:r>
            <w:r w:rsidR="00C76C00" w:rsidRPr="007A1298">
              <w:rPr>
                <w:iCs/>
                <w:color w:val="000000"/>
                <w:sz w:val="17"/>
                <w:szCs w:val="17"/>
              </w:rPr>
              <w:t>rivate</w:t>
            </w:r>
            <w:r w:rsidR="00161A80" w:rsidRPr="007A1298">
              <w:rPr>
                <w:iCs/>
                <w:color w:val="000000"/>
                <w:sz w:val="17"/>
                <w:szCs w:val="17"/>
              </w:rPr>
              <w:t xml:space="preserve">; 3 </w:t>
            </w:r>
            <w:r w:rsidR="00CB51F2" w:rsidRPr="007A1298">
              <w:rPr>
                <w:iCs/>
                <w:color w:val="000000"/>
                <w:sz w:val="17"/>
                <w:szCs w:val="17"/>
              </w:rPr>
              <w:t>r</w:t>
            </w:r>
            <w:r w:rsidR="00161A80" w:rsidRPr="007A1298">
              <w:rPr>
                <w:iCs/>
                <w:color w:val="000000"/>
                <w:sz w:val="17"/>
                <w:szCs w:val="17"/>
              </w:rPr>
              <w:t xml:space="preserve">ural </w:t>
            </w:r>
            <w:r w:rsidR="00CB51F2" w:rsidRPr="007A1298">
              <w:rPr>
                <w:iCs/>
                <w:color w:val="000000"/>
                <w:sz w:val="17"/>
                <w:szCs w:val="17"/>
              </w:rPr>
              <w:t>c</w:t>
            </w:r>
            <w:r w:rsidR="00283B30" w:rsidRPr="007A1298">
              <w:rPr>
                <w:iCs/>
                <w:color w:val="000000"/>
                <w:sz w:val="17"/>
                <w:szCs w:val="17"/>
              </w:rPr>
              <w:t xml:space="preserve">ommunities </w:t>
            </w:r>
          </w:p>
          <w:p w14:paraId="3C6D94F9" w14:textId="77777777" w:rsidR="00B31C2C" w:rsidRPr="009B2E26" w:rsidRDefault="00B31C2C" w:rsidP="00B31C2C">
            <w:pPr>
              <w:numPr>
                <w:ilvl w:val="0"/>
                <w:numId w:val="5"/>
              </w:numPr>
              <w:ind w:hanging="220"/>
              <w:rPr>
                <w:iCs/>
                <w:color w:val="000000"/>
                <w:sz w:val="17"/>
                <w:szCs w:val="17"/>
              </w:rPr>
            </w:pPr>
            <w:r w:rsidRPr="009B2E26">
              <w:rPr>
                <w:iCs/>
                <w:color w:val="000000"/>
                <w:sz w:val="17"/>
                <w:szCs w:val="17"/>
              </w:rPr>
              <w:t xml:space="preserve">Data </w:t>
            </w:r>
            <w:r w:rsidR="00283B30" w:rsidRPr="009B2E26">
              <w:rPr>
                <w:iCs/>
                <w:color w:val="000000"/>
                <w:sz w:val="17"/>
                <w:szCs w:val="17"/>
              </w:rPr>
              <w:t xml:space="preserve">source: </w:t>
            </w:r>
            <w:r w:rsidR="00283B30" w:rsidRPr="00186B0F">
              <w:rPr>
                <w:iCs/>
                <w:color w:val="000000"/>
                <w:sz w:val="17"/>
                <w:szCs w:val="17"/>
              </w:rPr>
              <w:t>Directorate</w:t>
            </w:r>
            <w:r w:rsidRPr="00186B0F">
              <w:rPr>
                <w:iCs/>
                <w:color w:val="000000"/>
                <w:sz w:val="17"/>
                <w:szCs w:val="17"/>
              </w:rPr>
              <w:t xml:space="preserve"> of Environment</w:t>
            </w:r>
          </w:p>
          <w:p w14:paraId="52F8DA37" w14:textId="77777777" w:rsidR="00B31C2C" w:rsidRPr="00A16798" w:rsidRDefault="00B31C2C" w:rsidP="00B31C2C">
            <w:pPr>
              <w:numPr>
                <w:ilvl w:val="0"/>
                <w:numId w:val="5"/>
              </w:numPr>
              <w:ind w:hanging="220"/>
              <w:rPr>
                <w:i/>
                <w:iCs/>
                <w:color w:val="000000"/>
                <w:sz w:val="17"/>
                <w:szCs w:val="17"/>
              </w:rPr>
            </w:pPr>
            <w:r w:rsidRPr="009B2E26">
              <w:rPr>
                <w:iCs/>
                <w:color w:val="000000"/>
                <w:sz w:val="17"/>
                <w:szCs w:val="17"/>
              </w:rPr>
              <w:t xml:space="preserve">Frequency: </w:t>
            </w:r>
            <w:r w:rsidR="004405F9" w:rsidRPr="00186B0F">
              <w:rPr>
                <w:iCs/>
                <w:color w:val="000000"/>
                <w:sz w:val="17"/>
                <w:szCs w:val="17"/>
              </w:rPr>
              <w:t>Annual</w:t>
            </w:r>
          </w:p>
          <w:p w14:paraId="2FD84DF1" w14:textId="77777777" w:rsidR="00C76C00" w:rsidRPr="00A16798" w:rsidRDefault="00C76C00" w:rsidP="00C76C00">
            <w:pPr>
              <w:ind w:left="360"/>
              <w:rPr>
                <w:i/>
                <w:iCs/>
                <w:color w:val="000000"/>
                <w:sz w:val="17"/>
                <w:szCs w:val="17"/>
              </w:rPr>
            </w:pPr>
          </w:p>
          <w:p w14:paraId="1832E7DA" w14:textId="77777777" w:rsidR="00B31C2C" w:rsidRPr="00A16798" w:rsidRDefault="00B31C2C" w:rsidP="00B31C2C">
            <w:pPr>
              <w:rPr>
                <w:sz w:val="17"/>
                <w:szCs w:val="17"/>
              </w:rPr>
            </w:pPr>
            <w:r w:rsidRPr="009B2E26">
              <w:rPr>
                <w:b/>
                <w:bCs/>
                <w:i/>
                <w:color w:val="000000"/>
                <w:sz w:val="17"/>
                <w:szCs w:val="17"/>
              </w:rPr>
              <w:t>Indicator:</w:t>
            </w:r>
            <w:r w:rsidRPr="00A16798">
              <w:rPr>
                <w:bCs/>
                <w:i/>
                <w:color w:val="000000"/>
                <w:sz w:val="17"/>
                <w:szCs w:val="17"/>
              </w:rPr>
              <w:t xml:space="preserve"> </w:t>
            </w:r>
            <w:r w:rsidRPr="00A16798">
              <w:rPr>
                <w:sz w:val="17"/>
                <w:szCs w:val="17"/>
              </w:rPr>
              <w:t xml:space="preserve">Number of institutions and rural communities </w:t>
            </w:r>
            <w:r w:rsidR="004F10BA" w:rsidRPr="00A16798">
              <w:rPr>
                <w:sz w:val="17"/>
                <w:szCs w:val="17"/>
              </w:rPr>
              <w:t>using</w:t>
            </w:r>
            <w:r w:rsidRPr="00A16798">
              <w:rPr>
                <w:sz w:val="17"/>
                <w:szCs w:val="17"/>
              </w:rPr>
              <w:t xml:space="preserve"> natural resource</w:t>
            </w:r>
            <w:r w:rsidR="00C76C00" w:rsidRPr="00A16798">
              <w:rPr>
                <w:sz w:val="17"/>
                <w:szCs w:val="17"/>
              </w:rPr>
              <w:t>s</w:t>
            </w:r>
            <w:r w:rsidRPr="00A16798">
              <w:rPr>
                <w:sz w:val="17"/>
                <w:szCs w:val="17"/>
              </w:rPr>
              <w:t xml:space="preserve"> for inclusive growth </w:t>
            </w:r>
          </w:p>
          <w:p w14:paraId="73F54CBE" w14:textId="77777777" w:rsidR="00B31C2C" w:rsidRPr="009B2E26" w:rsidRDefault="00B31C2C" w:rsidP="00B31C2C">
            <w:pPr>
              <w:numPr>
                <w:ilvl w:val="0"/>
                <w:numId w:val="5"/>
              </w:numPr>
              <w:ind w:hanging="220"/>
              <w:rPr>
                <w:iCs/>
                <w:color w:val="000000"/>
                <w:sz w:val="17"/>
                <w:szCs w:val="17"/>
              </w:rPr>
            </w:pPr>
            <w:r w:rsidRPr="009B2E26">
              <w:rPr>
                <w:iCs/>
                <w:color w:val="000000"/>
                <w:sz w:val="17"/>
                <w:szCs w:val="17"/>
              </w:rPr>
              <w:t xml:space="preserve">Baseline </w:t>
            </w:r>
            <w:r w:rsidR="009B0D06" w:rsidRPr="00186B0F">
              <w:rPr>
                <w:iCs/>
                <w:color w:val="000000"/>
                <w:sz w:val="17"/>
                <w:szCs w:val="17"/>
              </w:rPr>
              <w:t>(2015)</w:t>
            </w:r>
            <w:r w:rsidRPr="009B2E26">
              <w:rPr>
                <w:iCs/>
                <w:color w:val="000000"/>
                <w:sz w:val="17"/>
                <w:szCs w:val="17"/>
              </w:rPr>
              <w:t xml:space="preserve">: </w:t>
            </w:r>
            <w:r w:rsidRPr="00186B0F">
              <w:rPr>
                <w:iCs/>
                <w:color w:val="000000"/>
                <w:sz w:val="17"/>
                <w:szCs w:val="17"/>
              </w:rPr>
              <w:t xml:space="preserve">2 </w:t>
            </w:r>
          </w:p>
          <w:p w14:paraId="248DF7DB" w14:textId="77777777" w:rsidR="00B31C2C" w:rsidRPr="009B2E26" w:rsidRDefault="00B31C2C" w:rsidP="009B0D06">
            <w:pPr>
              <w:numPr>
                <w:ilvl w:val="0"/>
                <w:numId w:val="5"/>
              </w:numPr>
              <w:ind w:hanging="220"/>
              <w:rPr>
                <w:iCs/>
                <w:color w:val="000000"/>
                <w:sz w:val="17"/>
                <w:szCs w:val="17"/>
              </w:rPr>
            </w:pPr>
            <w:r w:rsidRPr="009B2E26">
              <w:rPr>
                <w:iCs/>
                <w:color w:val="000000"/>
                <w:sz w:val="17"/>
                <w:szCs w:val="17"/>
              </w:rPr>
              <w:t>Target</w:t>
            </w:r>
            <w:r w:rsidR="009B0D06" w:rsidRPr="009B0D06">
              <w:rPr>
                <w:iCs/>
                <w:color w:val="000000"/>
                <w:sz w:val="17"/>
                <w:szCs w:val="17"/>
              </w:rPr>
              <w:t xml:space="preserve"> (2021)</w:t>
            </w:r>
            <w:r w:rsidRPr="009B2E26">
              <w:rPr>
                <w:iCs/>
                <w:color w:val="000000"/>
                <w:sz w:val="17"/>
                <w:szCs w:val="17"/>
              </w:rPr>
              <w:t xml:space="preserve">: </w:t>
            </w:r>
            <w:r w:rsidR="008403B2" w:rsidRPr="009B0D06">
              <w:rPr>
                <w:iCs/>
                <w:color w:val="000000"/>
                <w:sz w:val="17"/>
                <w:szCs w:val="17"/>
              </w:rPr>
              <w:t>7</w:t>
            </w:r>
            <w:r w:rsidRPr="009B0D06">
              <w:rPr>
                <w:iCs/>
                <w:color w:val="000000"/>
                <w:sz w:val="17"/>
                <w:szCs w:val="17"/>
              </w:rPr>
              <w:t xml:space="preserve"> </w:t>
            </w:r>
          </w:p>
          <w:p w14:paraId="756A5683" w14:textId="77777777" w:rsidR="00B31C2C" w:rsidRPr="009B2E26" w:rsidRDefault="00B31C2C" w:rsidP="00B31C2C">
            <w:pPr>
              <w:numPr>
                <w:ilvl w:val="0"/>
                <w:numId w:val="5"/>
              </w:numPr>
              <w:ind w:hanging="220"/>
              <w:rPr>
                <w:iCs/>
                <w:color w:val="000000"/>
                <w:sz w:val="17"/>
                <w:szCs w:val="17"/>
              </w:rPr>
            </w:pPr>
            <w:r w:rsidRPr="009B2E26">
              <w:rPr>
                <w:iCs/>
                <w:color w:val="000000"/>
                <w:sz w:val="17"/>
                <w:szCs w:val="17"/>
              </w:rPr>
              <w:t xml:space="preserve">Data source: </w:t>
            </w:r>
            <w:r w:rsidRPr="00186B0F">
              <w:rPr>
                <w:iCs/>
                <w:color w:val="000000"/>
                <w:sz w:val="17"/>
                <w:szCs w:val="17"/>
              </w:rPr>
              <w:t>Ministry of Agriculture, Directorate of Environment</w:t>
            </w:r>
          </w:p>
          <w:p w14:paraId="0B85C426" w14:textId="77777777" w:rsidR="007A41FB" w:rsidRPr="009B2E26" w:rsidRDefault="007A41FB" w:rsidP="00B31C2C">
            <w:pPr>
              <w:numPr>
                <w:ilvl w:val="0"/>
                <w:numId w:val="5"/>
              </w:numPr>
              <w:ind w:hanging="220"/>
              <w:rPr>
                <w:iCs/>
                <w:color w:val="000000"/>
                <w:sz w:val="17"/>
                <w:szCs w:val="17"/>
              </w:rPr>
            </w:pPr>
            <w:r w:rsidRPr="009B2E26">
              <w:rPr>
                <w:iCs/>
                <w:color w:val="000000"/>
                <w:sz w:val="17"/>
                <w:szCs w:val="17"/>
              </w:rPr>
              <w:t xml:space="preserve">Frequency: </w:t>
            </w:r>
            <w:r w:rsidRPr="00186B0F">
              <w:rPr>
                <w:iCs/>
                <w:color w:val="000000"/>
                <w:sz w:val="17"/>
                <w:szCs w:val="17"/>
              </w:rPr>
              <w:t>Annual</w:t>
            </w:r>
          </w:p>
          <w:p w14:paraId="25C2904A" w14:textId="77777777" w:rsidR="008403B2" w:rsidRPr="00A16798" w:rsidRDefault="008403B2" w:rsidP="00CB6410">
            <w:pPr>
              <w:rPr>
                <w:bCs/>
                <w:i/>
                <w:color w:val="000000"/>
                <w:sz w:val="17"/>
                <w:szCs w:val="17"/>
                <w:u w:val="single"/>
              </w:rPr>
            </w:pPr>
          </w:p>
          <w:p w14:paraId="34264059" w14:textId="77777777" w:rsidR="00CB6410" w:rsidRPr="00A16798" w:rsidRDefault="00CB6410" w:rsidP="00CB6410">
            <w:pPr>
              <w:rPr>
                <w:sz w:val="17"/>
                <w:szCs w:val="17"/>
              </w:rPr>
            </w:pPr>
            <w:r w:rsidRPr="009B2E26">
              <w:rPr>
                <w:b/>
                <w:bCs/>
                <w:i/>
                <w:color w:val="000000"/>
                <w:sz w:val="17"/>
                <w:szCs w:val="17"/>
              </w:rPr>
              <w:t>Indicator</w:t>
            </w:r>
            <w:r w:rsidRPr="00A16798">
              <w:rPr>
                <w:bCs/>
                <w:i/>
                <w:color w:val="000000"/>
                <w:sz w:val="17"/>
                <w:szCs w:val="17"/>
              </w:rPr>
              <w:t xml:space="preserve">: </w:t>
            </w:r>
            <w:r w:rsidRPr="00A16798">
              <w:rPr>
                <w:sz w:val="17"/>
                <w:szCs w:val="17"/>
              </w:rPr>
              <w:t xml:space="preserve">Percentage of renewable energy injected into </w:t>
            </w:r>
            <w:r w:rsidR="00CB51F2">
              <w:rPr>
                <w:sz w:val="17"/>
                <w:szCs w:val="17"/>
              </w:rPr>
              <w:t>n</w:t>
            </w:r>
            <w:r w:rsidRPr="00A16798">
              <w:rPr>
                <w:sz w:val="17"/>
                <w:szCs w:val="17"/>
              </w:rPr>
              <w:t xml:space="preserve">ational </w:t>
            </w:r>
            <w:r w:rsidR="00CB51F2">
              <w:rPr>
                <w:sz w:val="17"/>
                <w:szCs w:val="17"/>
              </w:rPr>
              <w:t>e</w:t>
            </w:r>
            <w:r w:rsidRPr="00A16798">
              <w:rPr>
                <w:sz w:val="17"/>
                <w:szCs w:val="17"/>
              </w:rPr>
              <w:t xml:space="preserve">lectric </w:t>
            </w:r>
            <w:r w:rsidR="00CB51F2">
              <w:rPr>
                <w:sz w:val="17"/>
                <w:szCs w:val="17"/>
              </w:rPr>
              <w:t>g</w:t>
            </w:r>
            <w:r w:rsidRPr="00A16798">
              <w:rPr>
                <w:sz w:val="17"/>
                <w:szCs w:val="17"/>
              </w:rPr>
              <w:t>rid</w:t>
            </w:r>
          </w:p>
          <w:p w14:paraId="3A7F6B87" w14:textId="77777777" w:rsidR="00CB6410" w:rsidRPr="009B2E26" w:rsidRDefault="00CB6410" w:rsidP="00CB6410">
            <w:pPr>
              <w:numPr>
                <w:ilvl w:val="0"/>
                <w:numId w:val="5"/>
              </w:numPr>
              <w:ind w:hanging="220"/>
              <w:rPr>
                <w:iCs/>
                <w:color w:val="000000"/>
                <w:sz w:val="17"/>
                <w:szCs w:val="17"/>
              </w:rPr>
            </w:pPr>
            <w:r w:rsidRPr="009B2E26">
              <w:rPr>
                <w:iCs/>
                <w:color w:val="000000"/>
                <w:sz w:val="17"/>
                <w:szCs w:val="17"/>
              </w:rPr>
              <w:t xml:space="preserve">Baseline </w:t>
            </w:r>
            <w:r w:rsidR="009B0D06" w:rsidRPr="007A1298">
              <w:rPr>
                <w:iCs/>
                <w:color w:val="000000"/>
                <w:sz w:val="17"/>
                <w:szCs w:val="17"/>
              </w:rPr>
              <w:t>(2015)</w:t>
            </w:r>
            <w:r w:rsidRPr="009B2E26">
              <w:rPr>
                <w:iCs/>
                <w:color w:val="000000"/>
                <w:sz w:val="17"/>
                <w:szCs w:val="17"/>
              </w:rPr>
              <w:t xml:space="preserve">: </w:t>
            </w:r>
            <w:r w:rsidRPr="00186B0F">
              <w:rPr>
                <w:iCs/>
                <w:color w:val="000000"/>
                <w:sz w:val="17"/>
                <w:szCs w:val="17"/>
              </w:rPr>
              <w:t>5%</w:t>
            </w:r>
            <w:r w:rsidR="008403B2" w:rsidRPr="007A1298">
              <w:rPr>
                <w:iCs/>
                <w:color w:val="000000"/>
                <w:sz w:val="17"/>
                <w:szCs w:val="17"/>
              </w:rPr>
              <w:t xml:space="preserve"> </w:t>
            </w:r>
          </w:p>
          <w:p w14:paraId="454CE1AD" w14:textId="77777777" w:rsidR="00CB6410" w:rsidRPr="009B2E26" w:rsidRDefault="00CB6410" w:rsidP="00CB6410">
            <w:pPr>
              <w:numPr>
                <w:ilvl w:val="0"/>
                <w:numId w:val="5"/>
              </w:numPr>
              <w:ind w:hanging="220"/>
              <w:rPr>
                <w:iCs/>
                <w:color w:val="000000"/>
                <w:sz w:val="17"/>
                <w:szCs w:val="17"/>
              </w:rPr>
            </w:pPr>
            <w:r w:rsidRPr="009B2E26">
              <w:rPr>
                <w:iCs/>
                <w:color w:val="000000"/>
                <w:sz w:val="17"/>
                <w:szCs w:val="17"/>
              </w:rPr>
              <w:t>Target</w:t>
            </w:r>
            <w:r w:rsidR="009B0D06">
              <w:rPr>
                <w:iCs/>
                <w:color w:val="000000"/>
                <w:sz w:val="17"/>
                <w:szCs w:val="17"/>
              </w:rPr>
              <w:t xml:space="preserve"> </w:t>
            </w:r>
            <w:r w:rsidR="009B0D06" w:rsidRPr="007A1298">
              <w:rPr>
                <w:iCs/>
                <w:color w:val="000000"/>
                <w:sz w:val="17"/>
                <w:szCs w:val="17"/>
              </w:rPr>
              <w:t>(2021)</w:t>
            </w:r>
            <w:r w:rsidRPr="009B2E26">
              <w:rPr>
                <w:iCs/>
                <w:color w:val="000000"/>
                <w:sz w:val="17"/>
                <w:szCs w:val="17"/>
              </w:rPr>
              <w:t xml:space="preserve">: </w:t>
            </w:r>
            <w:r w:rsidR="008403B2" w:rsidRPr="00186B0F">
              <w:rPr>
                <w:iCs/>
                <w:color w:val="000000"/>
                <w:sz w:val="17"/>
                <w:szCs w:val="17"/>
              </w:rPr>
              <w:t>25</w:t>
            </w:r>
            <w:r w:rsidRPr="007A1298">
              <w:rPr>
                <w:iCs/>
                <w:color w:val="000000"/>
                <w:sz w:val="17"/>
                <w:szCs w:val="17"/>
              </w:rPr>
              <w:t>%</w:t>
            </w:r>
            <w:r w:rsidR="008403B2" w:rsidRPr="007A1298">
              <w:rPr>
                <w:iCs/>
                <w:color w:val="000000"/>
                <w:sz w:val="17"/>
                <w:szCs w:val="17"/>
              </w:rPr>
              <w:t xml:space="preserve"> </w:t>
            </w:r>
          </w:p>
          <w:p w14:paraId="317A7633" w14:textId="77777777" w:rsidR="00B548DD" w:rsidRPr="007A1298" w:rsidRDefault="00CB6410" w:rsidP="00E75120">
            <w:pPr>
              <w:numPr>
                <w:ilvl w:val="0"/>
                <w:numId w:val="5"/>
              </w:numPr>
              <w:ind w:hanging="220"/>
              <w:rPr>
                <w:b/>
                <w:sz w:val="17"/>
                <w:szCs w:val="17"/>
              </w:rPr>
            </w:pPr>
            <w:r w:rsidRPr="009B2E26">
              <w:rPr>
                <w:iCs/>
                <w:color w:val="000000"/>
                <w:sz w:val="17"/>
                <w:szCs w:val="17"/>
              </w:rPr>
              <w:t>Data sou</w:t>
            </w:r>
            <w:r w:rsidR="00C76C00" w:rsidRPr="009B2E26">
              <w:rPr>
                <w:iCs/>
                <w:color w:val="000000"/>
                <w:sz w:val="17"/>
                <w:szCs w:val="17"/>
              </w:rPr>
              <w:t xml:space="preserve">rce: </w:t>
            </w:r>
            <w:r w:rsidR="00C76C00" w:rsidRPr="00186B0F">
              <w:rPr>
                <w:iCs/>
                <w:color w:val="000000"/>
                <w:sz w:val="17"/>
                <w:szCs w:val="17"/>
              </w:rPr>
              <w:t>Ministry of Infrastructure and N</w:t>
            </w:r>
            <w:r w:rsidRPr="007A1298">
              <w:rPr>
                <w:iCs/>
                <w:color w:val="000000"/>
                <w:sz w:val="17"/>
                <w:szCs w:val="17"/>
              </w:rPr>
              <w:t>atural Resources, Directorate of Energy</w:t>
            </w:r>
          </w:p>
          <w:p w14:paraId="42155FE3" w14:textId="77777777" w:rsidR="007A41FB" w:rsidRPr="00A16798" w:rsidRDefault="007A41FB" w:rsidP="00250B59">
            <w:pPr>
              <w:numPr>
                <w:ilvl w:val="0"/>
                <w:numId w:val="5"/>
              </w:numPr>
              <w:ind w:hanging="220"/>
              <w:rPr>
                <w:b/>
                <w:sz w:val="17"/>
                <w:szCs w:val="17"/>
              </w:rPr>
            </w:pPr>
            <w:r w:rsidRPr="009B2E26">
              <w:rPr>
                <w:iCs/>
                <w:color w:val="000000"/>
                <w:sz w:val="17"/>
                <w:szCs w:val="17"/>
              </w:rPr>
              <w:t>Frequency: Annual</w:t>
            </w:r>
          </w:p>
        </w:tc>
        <w:tc>
          <w:tcPr>
            <w:tcW w:w="763" w:type="pct"/>
            <w:tcBorders>
              <w:top w:val="single" w:sz="4" w:space="0" w:color="auto"/>
            </w:tcBorders>
          </w:tcPr>
          <w:p w14:paraId="490C6DBE" w14:textId="77777777" w:rsidR="00B548DD" w:rsidRPr="00A16798" w:rsidRDefault="00B548DD" w:rsidP="00FD6992">
            <w:pPr>
              <w:rPr>
                <w:iCs/>
                <w:color w:val="000000"/>
                <w:sz w:val="17"/>
                <w:szCs w:val="17"/>
              </w:rPr>
            </w:pPr>
          </w:p>
        </w:tc>
        <w:tc>
          <w:tcPr>
            <w:tcW w:w="564" w:type="pct"/>
            <w:gridSpan w:val="2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CDAE989" w14:textId="77777777" w:rsidR="00B548DD" w:rsidRPr="00A16798" w:rsidRDefault="00B548DD" w:rsidP="00FD6992">
            <w:pPr>
              <w:rPr>
                <w:b/>
                <w:color w:val="000000"/>
                <w:sz w:val="17"/>
                <w:szCs w:val="17"/>
              </w:rPr>
            </w:pPr>
          </w:p>
        </w:tc>
      </w:tr>
    </w:tbl>
    <w:p w14:paraId="6E3613DB" w14:textId="77777777" w:rsidR="00A16798" w:rsidRPr="00A16798" w:rsidRDefault="00A16798" w:rsidP="00A16798">
      <w:pPr>
        <w:jc w:val="center"/>
        <w:rPr>
          <w:color w:val="000000"/>
          <w:sz w:val="17"/>
          <w:szCs w:val="17"/>
        </w:rPr>
      </w:pPr>
    </w:p>
    <w:p w14:paraId="2BA4A894" w14:textId="77777777" w:rsidR="005E2D68" w:rsidRPr="00A16798" w:rsidRDefault="00A16798" w:rsidP="00A16798">
      <w:pPr>
        <w:jc w:val="center"/>
        <w:rPr>
          <w:color w:val="000000"/>
          <w:sz w:val="18"/>
          <w:szCs w:val="18"/>
        </w:rPr>
      </w:pPr>
      <w:r w:rsidRPr="00A16798">
        <w:rPr>
          <w:bCs/>
          <w:noProof/>
          <w:sz w:val="18"/>
          <w:szCs w:val="18"/>
        </w:rPr>
        <w:drawing>
          <wp:inline distT="0" distB="0" distL="0" distR="0" wp14:anchorId="66E3FE85" wp14:editId="53A81C77">
            <wp:extent cx="944880" cy="30480"/>
            <wp:effectExtent l="0" t="0" r="762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E2D68" w:rsidRPr="00A16798" w:rsidSect="007A41FB">
      <w:headerReference w:type="even" r:id="rId16"/>
      <w:headerReference w:type="default" r:id="rId17"/>
      <w:pgSz w:w="15840" w:h="12240" w:orient="landscape"/>
      <w:pgMar w:top="1440" w:right="1151" w:bottom="1440" w:left="11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BDAFFF" w14:textId="77777777" w:rsidR="0090594B" w:rsidRDefault="0090594B" w:rsidP="00441061">
      <w:r>
        <w:separator/>
      </w:r>
    </w:p>
  </w:endnote>
  <w:endnote w:type="continuationSeparator" w:id="0">
    <w:p w14:paraId="1317AE1C" w14:textId="77777777" w:rsidR="0090594B" w:rsidRDefault="0090594B" w:rsidP="00441061">
      <w:r>
        <w:continuationSeparator/>
      </w:r>
    </w:p>
  </w:endnote>
  <w:endnote w:type="continuationNotice" w:id="1">
    <w:p w14:paraId="3F3D2AFE" w14:textId="77777777" w:rsidR="0090594B" w:rsidRDefault="009059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45E99" w14:textId="5B1542DA" w:rsidR="00956345" w:rsidRPr="005841A3" w:rsidRDefault="00956345">
    <w:pPr>
      <w:pStyle w:val="Footer"/>
      <w:rPr>
        <w:b/>
        <w:sz w:val="17"/>
        <w:szCs w:val="17"/>
      </w:rPr>
    </w:pPr>
    <w:r w:rsidRPr="005841A3">
      <w:rPr>
        <w:b/>
        <w:sz w:val="17"/>
        <w:szCs w:val="17"/>
      </w:rPr>
      <w:fldChar w:fldCharType="begin"/>
    </w:r>
    <w:r w:rsidRPr="005841A3">
      <w:rPr>
        <w:b/>
        <w:sz w:val="17"/>
        <w:szCs w:val="17"/>
      </w:rPr>
      <w:instrText xml:space="preserve"> PAGE   \* MERGEFORMAT </w:instrText>
    </w:r>
    <w:r w:rsidRPr="005841A3">
      <w:rPr>
        <w:b/>
        <w:sz w:val="17"/>
        <w:szCs w:val="17"/>
      </w:rPr>
      <w:fldChar w:fldCharType="separate"/>
    </w:r>
    <w:r w:rsidR="00832F46">
      <w:rPr>
        <w:b/>
        <w:noProof/>
        <w:sz w:val="17"/>
        <w:szCs w:val="17"/>
      </w:rPr>
      <w:t>6</w:t>
    </w:r>
    <w:r w:rsidRPr="005841A3">
      <w:rPr>
        <w:b/>
        <w:sz w:val="17"/>
        <w:szCs w:val="1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232BE" w14:textId="6BF39181" w:rsidR="00956345" w:rsidRPr="00A16798" w:rsidRDefault="00956345" w:rsidP="00A16798">
    <w:pPr>
      <w:pStyle w:val="Footer"/>
      <w:jc w:val="right"/>
      <w:rPr>
        <w:b/>
        <w:sz w:val="17"/>
        <w:szCs w:val="17"/>
      </w:rPr>
    </w:pPr>
    <w:r w:rsidRPr="005841A3">
      <w:rPr>
        <w:b/>
        <w:sz w:val="17"/>
        <w:szCs w:val="17"/>
      </w:rPr>
      <w:fldChar w:fldCharType="begin"/>
    </w:r>
    <w:r w:rsidRPr="005841A3">
      <w:rPr>
        <w:b/>
        <w:sz w:val="17"/>
        <w:szCs w:val="17"/>
      </w:rPr>
      <w:instrText xml:space="preserve"> PAGE   \* MERGEFORMAT </w:instrText>
    </w:r>
    <w:r w:rsidRPr="005841A3">
      <w:rPr>
        <w:b/>
        <w:sz w:val="17"/>
        <w:szCs w:val="17"/>
      </w:rPr>
      <w:fldChar w:fldCharType="separate"/>
    </w:r>
    <w:r w:rsidR="00832F46">
      <w:rPr>
        <w:b/>
        <w:noProof/>
        <w:sz w:val="17"/>
        <w:szCs w:val="17"/>
      </w:rPr>
      <w:t>7</w:t>
    </w:r>
    <w:r w:rsidRPr="005841A3">
      <w:rPr>
        <w:b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6EA16" w14:textId="77777777" w:rsidR="0090594B" w:rsidRDefault="0090594B" w:rsidP="00441061">
      <w:r>
        <w:separator/>
      </w:r>
    </w:p>
  </w:footnote>
  <w:footnote w:type="continuationSeparator" w:id="0">
    <w:p w14:paraId="6549B435" w14:textId="77777777" w:rsidR="0090594B" w:rsidRDefault="0090594B" w:rsidP="00441061">
      <w:r>
        <w:continuationSeparator/>
      </w:r>
    </w:p>
  </w:footnote>
  <w:footnote w:type="continuationNotice" w:id="1">
    <w:p w14:paraId="4500F7B3" w14:textId="77777777" w:rsidR="0090594B" w:rsidRDefault="0090594B"/>
  </w:footnote>
  <w:footnote w:id="2">
    <w:p w14:paraId="528D8BCD" w14:textId="10B53B70" w:rsidR="00956345" w:rsidRPr="00F55743" w:rsidRDefault="00956345" w:rsidP="009B2E26">
      <w:pPr>
        <w:pStyle w:val="FootnoteText"/>
        <w:ind w:left="720"/>
        <w:rPr>
          <w:rFonts w:ascii="Times New Roman" w:hAnsi="Times New Roman"/>
          <w:sz w:val="16"/>
          <w:szCs w:val="16"/>
          <w:lang w:val="fr-FR"/>
        </w:rPr>
      </w:pPr>
      <w:r w:rsidRPr="009B2E26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F55743">
        <w:rPr>
          <w:rFonts w:ascii="Times New Roman" w:hAnsi="Times New Roman"/>
          <w:sz w:val="16"/>
          <w:szCs w:val="16"/>
          <w:lang w:val="fr-FR"/>
        </w:rPr>
        <w:t xml:space="preserve"> Population census National Statistics Institute (INE) 2015.</w:t>
      </w:r>
    </w:p>
  </w:footnote>
  <w:footnote w:id="3">
    <w:p w14:paraId="1B39095F" w14:textId="77777777" w:rsidR="00956345" w:rsidRPr="00CD33AA" w:rsidRDefault="00956345" w:rsidP="004B5B8A">
      <w:pPr>
        <w:pStyle w:val="FootnoteText"/>
        <w:ind w:left="737" w:right="1644"/>
        <w:jc w:val="both"/>
        <w:rPr>
          <w:rFonts w:ascii="Times New Roman" w:hAnsi="Times New Roman"/>
          <w:sz w:val="16"/>
          <w:szCs w:val="16"/>
          <w:lang w:val="fr-FR"/>
        </w:rPr>
      </w:pPr>
      <w:r w:rsidRPr="00CD33AA">
        <w:rPr>
          <w:rStyle w:val="FootnoteReference"/>
          <w:rFonts w:ascii="Times New Roman" w:hAnsi="Times New Roman"/>
          <w:sz w:val="16"/>
          <w:szCs w:val="16"/>
          <w:lang w:val="en-GB"/>
        </w:rPr>
        <w:footnoteRef/>
      </w:r>
      <w:r w:rsidRPr="00CD33AA">
        <w:rPr>
          <w:rFonts w:ascii="Times New Roman" w:hAnsi="Times New Roman"/>
          <w:sz w:val="16"/>
          <w:szCs w:val="16"/>
          <w:lang w:val="fr-FR"/>
        </w:rPr>
        <w:t xml:space="preserve"> Institut National de la Statistique Profil de la Pauvreté 2012</w:t>
      </w:r>
      <w:r>
        <w:rPr>
          <w:rFonts w:ascii="Times New Roman" w:hAnsi="Times New Roman"/>
          <w:sz w:val="16"/>
          <w:szCs w:val="16"/>
          <w:lang w:val="fr-FR"/>
        </w:rPr>
        <w:t>.</w:t>
      </w:r>
    </w:p>
  </w:footnote>
  <w:footnote w:id="4">
    <w:p w14:paraId="76294971" w14:textId="77777777" w:rsidR="00956345" w:rsidRPr="009D2F2D" w:rsidRDefault="00956345" w:rsidP="0035579E">
      <w:pPr>
        <w:pStyle w:val="FootnoteText"/>
        <w:ind w:left="737" w:right="1644"/>
        <w:jc w:val="both"/>
        <w:rPr>
          <w:rFonts w:ascii="Times New Roman" w:hAnsi="Times New Roman"/>
          <w:sz w:val="16"/>
          <w:szCs w:val="16"/>
          <w:lang w:val="en-GB"/>
        </w:rPr>
      </w:pPr>
      <w:r w:rsidRPr="009D2F2D">
        <w:rPr>
          <w:rStyle w:val="FootnoteReference"/>
          <w:rFonts w:ascii="Times New Roman" w:hAnsi="Times New Roman"/>
          <w:sz w:val="16"/>
          <w:szCs w:val="16"/>
          <w:lang w:val="en-GB"/>
        </w:rPr>
        <w:footnoteRef/>
      </w:r>
      <w:r w:rsidRPr="009D2F2D">
        <w:rPr>
          <w:rFonts w:ascii="Times New Roman" w:hAnsi="Times New Roman"/>
          <w:sz w:val="16"/>
          <w:szCs w:val="16"/>
          <w:lang w:val="en-GB"/>
        </w:rPr>
        <w:t xml:space="preserve"> National </w:t>
      </w:r>
      <w:r>
        <w:rPr>
          <w:rFonts w:ascii="Times New Roman" w:hAnsi="Times New Roman"/>
          <w:sz w:val="16"/>
          <w:szCs w:val="16"/>
          <w:lang w:val="en-GB"/>
        </w:rPr>
        <w:t>INE Accounts</w:t>
      </w:r>
      <w:r w:rsidRPr="009D2F2D">
        <w:rPr>
          <w:rFonts w:ascii="Times New Roman" w:hAnsi="Times New Roman"/>
          <w:sz w:val="16"/>
          <w:szCs w:val="16"/>
          <w:lang w:val="en-GB"/>
        </w:rPr>
        <w:t>, 2015</w:t>
      </w:r>
      <w:r>
        <w:rPr>
          <w:rFonts w:ascii="Times New Roman" w:hAnsi="Times New Roman"/>
          <w:sz w:val="16"/>
          <w:szCs w:val="16"/>
          <w:lang w:val="en-GB"/>
        </w:rPr>
        <w:t>.</w:t>
      </w:r>
    </w:p>
  </w:footnote>
  <w:footnote w:id="5">
    <w:p w14:paraId="28F35C47" w14:textId="77777777" w:rsidR="00956345" w:rsidRPr="009D2F2D" w:rsidRDefault="00956345" w:rsidP="0035579E">
      <w:pPr>
        <w:pStyle w:val="FootnoteText"/>
        <w:ind w:left="737" w:right="1644"/>
        <w:jc w:val="both"/>
        <w:rPr>
          <w:rStyle w:val="FootnoteReference"/>
          <w:rFonts w:ascii="Times New Roman" w:hAnsi="Times New Roman"/>
          <w:sz w:val="16"/>
          <w:szCs w:val="16"/>
          <w:lang w:val="en-GB"/>
        </w:rPr>
      </w:pPr>
      <w:r w:rsidRPr="009D2F2D">
        <w:rPr>
          <w:rStyle w:val="FootnoteReference"/>
          <w:rFonts w:ascii="Times New Roman" w:hAnsi="Times New Roman"/>
          <w:sz w:val="16"/>
          <w:szCs w:val="16"/>
          <w:lang w:val="en-GB"/>
        </w:rPr>
        <w:footnoteRef/>
      </w:r>
      <w:r w:rsidRPr="009D2F2D">
        <w:rPr>
          <w:rStyle w:val="FootnoteReference"/>
          <w:rFonts w:ascii="Times New Roman" w:hAnsi="Times New Roman"/>
          <w:sz w:val="16"/>
          <w:szCs w:val="16"/>
          <w:lang w:val="en-GB"/>
        </w:rPr>
        <w:t xml:space="preserve"> </w:t>
      </w:r>
      <w:r w:rsidRPr="009D2F2D">
        <w:rPr>
          <w:rStyle w:val="FootnoteReference"/>
          <w:rFonts w:ascii="Times New Roman" w:hAnsi="Times New Roman"/>
          <w:sz w:val="16"/>
          <w:szCs w:val="16"/>
          <w:vertAlign w:val="baseline"/>
          <w:lang w:val="en-GB"/>
        </w:rPr>
        <w:t xml:space="preserve">According to the </w:t>
      </w:r>
      <w:r w:rsidRPr="009D2F2D">
        <w:rPr>
          <w:rFonts w:ascii="Times New Roman" w:hAnsi="Times New Roman"/>
          <w:sz w:val="16"/>
          <w:szCs w:val="16"/>
          <w:lang w:val="en-GB"/>
        </w:rPr>
        <w:t xml:space="preserve">2007 </w:t>
      </w:r>
      <w:r w:rsidRPr="009D2F2D">
        <w:rPr>
          <w:rStyle w:val="FootnoteReference"/>
          <w:rFonts w:ascii="Times New Roman" w:hAnsi="Times New Roman"/>
          <w:sz w:val="16"/>
          <w:szCs w:val="16"/>
          <w:vertAlign w:val="baseline"/>
          <w:lang w:val="en-GB"/>
        </w:rPr>
        <w:t>STP National Adaptation Programme of Action, the country’</w:t>
      </w:r>
      <w:r w:rsidRPr="009D2F2D">
        <w:rPr>
          <w:rFonts w:ascii="Times New Roman" w:hAnsi="Times New Roman"/>
          <w:sz w:val="16"/>
          <w:szCs w:val="16"/>
          <w:lang w:val="en-GB"/>
        </w:rPr>
        <w:t>s</w:t>
      </w:r>
      <w:r w:rsidRPr="009D2F2D">
        <w:rPr>
          <w:rStyle w:val="FootnoteReference"/>
          <w:rFonts w:ascii="Times New Roman" w:hAnsi="Times New Roman"/>
          <w:sz w:val="16"/>
          <w:szCs w:val="16"/>
          <w:vertAlign w:val="baseline"/>
          <w:lang w:val="en-GB"/>
        </w:rPr>
        <w:t xml:space="preserve"> water resources and dense tropical forest are very badly managed, thus</w:t>
      </w:r>
      <w:r w:rsidRPr="009D2F2D">
        <w:rPr>
          <w:rFonts w:ascii="Times New Roman" w:hAnsi="Times New Roman"/>
          <w:sz w:val="16"/>
          <w:szCs w:val="16"/>
          <w:lang w:val="en-GB"/>
        </w:rPr>
        <w:t xml:space="preserve"> placing</w:t>
      </w:r>
      <w:r w:rsidRPr="009D2F2D">
        <w:rPr>
          <w:rStyle w:val="FootnoteReference"/>
          <w:rFonts w:ascii="Times New Roman" w:hAnsi="Times New Roman"/>
          <w:sz w:val="16"/>
          <w:szCs w:val="16"/>
          <w:vertAlign w:val="baseline"/>
          <w:lang w:val="en-GB"/>
        </w:rPr>
        <w:t xml:space="preserve"> at risk the poor</w:t>
      </w:r>
      <w:r>
        <w:rPr>
          <w:rFonts w:ascii="Times New Roman" w:hAnsi="Times New Roman"/>
          <w:sz w:val="16"/>
          <w:szCs w:val="16"/>
          <w:lang w:val="en-GB"/>
        </w:rPr>
        <w:t>est</w:t>
      </w:r>
      <w:r w:rsidRPr="009D2F2D">
        <w:rPr>
          <w:rStyle w:val="FootnoteReference"/>
          <w:rFonts w:ascii="Times New Roman" w:hAnsi="Times New Roman"/>
          <w:sz w:val="16"/>
          <w:szCs w:val="16"/>
          <w:vertAlign w:val="baseline"/>
          <w:lang w:val="en-GB"/>
        </w:rPr>
        <w:t xml:space="preserve"> and </w:t>
      </w:r>
      <w:r>
        <w:rPr>
          <w:rFonts w:ascii="Times New Roman" w:hAnsi="Times New Roman"/>
          <w:sz w:val="16"/>
          <w:szCs w:val="16"/>
          <w:lang w:val="en-GB"/>
        </w:rPr>
        <w:t xml:space="preserve">most </w:t>
      </w:r>
      <w:r w:rsidRPr="009D2F2D">
        <w:rPr>
          <w:rStyle w:val="FootnoteReference"/>
          <w:rFonts w:ascii="Times New Roman" w:hAnsi="Times New Roman"/>
          <w:sz w:val="16"/>
          <w:szCs w:val="16"/>
          <w:vertAlign w:val="baseline"/>
          <w:lang w:val="en-GB"/>
        </w:rPr>
        <w:t xml:space="preserve">vulnerable communities. </w:t>
      </w:r>
    </w:p>
  </w:footnote>
  <w:footnote w:id="6">
    <w:p w14:paraId="1B27DCBF" w14:textId="77777777" w:rsidR="00956345" w:rsidRPr="009D2F2D" w:rsidRDefault="00956345" w:rsidP="006F0A22">
      <w:pPr>
        <w:pStyle w:val="FootnoteText"/>
        <w:ind w:left="737" w:right="1644"/>
        <w:rPr>
          <w:rFonts w:ascii="Times New Roman" w:hAnsi="Times New Roman"/>
          <w:sz w:val="16"/>
          <w:szCs w:val="16"/>
          <w:lang w:val="en-GB"/>
        </w:rPr>
      </w:pPr>
      <w:r w:rsidRPr="009D2F2D">
        <w:rPr>
          <w:rStyle w:val="FootnoteReference"/>
          <w:rFonts w:ascii="Times New Roman" w:hAnsi="Times New Roman"/>
          <w:sz w:val="16"/>
          <w:szCs w:val="16"/>
          <w:lang w:val="en-GB"/>
        </w:rPr>
        <w:footnoteRef/>
      </w:r>
      <w:r w:rsidRPr="009D2F2D">
        <w:rPr>
          <w:rFonts w:ascii="Times New Roman" w:hAnsi="Times New Roman"/>
          <w:sz w:val="16"/>
          <w:szCs w:val="16"/>
          <w:lang w:val="en-GB"/>
        </w:rPr>
        <w:t xml:space="preserve"> </w:t>
      </w:r>
      <w:r>
        <w:rPr>
          <w:rFonts w:ascii="Times New Roman" w:hAnsi="Times New Roman"/>
          <w:sz w:val="16"/>
          <w:szCs w:val="16"/>
          <w:lang w:val="en-GB"/>
        </w:rPr>
        <w:t xml:space="preserve">UNDP </w:t>
      </w:r>
      <w:r w:rsidRPr="009D2F2D">
        <w:rPr>
          <w:rFonts w:ascii="Times New Roman" w:hAnsi="Times New Roman"/>
          <w:sz w:val="16"/>
          <w:szCs w:val="16"/>
          <w:lang w:val="en-GB"/>
        </w:rPr>
        <w:t>Assessment of Development Results</w:t>
      </w:r>
      <w:r>
        <w:rPr>
          <w:rFonts w:ascii="Times New Roman" w:hAnsi="Times New Roman"/>
          <w:sz w:val="16"/>
          <w:szCs w:val="16"/>
          <w:lang w:val="en-GB"/>
        </w:rPr>
        <w:t>,</w:t>
      </w:r>
      <w:r w:rsidRPr="009D2F2D">
        <w:rPr>
          <w:rFonts w:ascii="Times New Roman" w:hAnsi="Times New Roman"/>
          <w:sz w:val="16"/>
          <w:szCs w:val="16"/>
          <w:lang w:val="en-GB"/>
        </w:rPr>
        <w:t xml:space="preserve"> 2015</w:t>
      </w:r>
      <w:r>
        <w:rPr>
          <w:rFonts w:ascii="Times New Roman" w:hAnsi="Times New Roman"/>
          <w:sz w:val="16"/>
          <w:szCs w:val="16"/>
          <w:lang w:val="en-GB"/>
        </w:rPr>
        <w:t>.</w:t>
      </w:r>
    </w:p>
  </w:footnote>
  <w:footnote w:id="7">
    <w:p w14:paraId="634C53C4" w14:textId="77777777" w:rsidR="00956345" w:rsidRPr="009D2F2D" w:rsidRDefault="00956345" w:rsidP="00586FA8">
      <w:pPr>
        <w:pStyle w:val="FootnoteText"/>
        <w:ind w:left="737" w:right="1644"/>
        <w:rPr>
          <w:rFonts w:ascii="Times New Roman" w:hAnsi="Times New Roman"/>
          <w:sz w:val="16"/>
          <w:szCs w:val="16"/>
          <w:lang w:val="en-GB"/>
        </w:rPr>
      </w:pPr>
      <w:r w:rsidRPr="009D2F2D">
        <w:rPr>
          <w:rStyle w:val="FootnoteReference"/>
          <w:rFonts w:ascii="Times New Roman" w:hAnsi="Times New Roman"/>
          <w:sz w:val="16"/>
          <w:szCs w:val="16"/>
          <w:lang w:val="en-GB"/>
        </w:rPr>
        <w:footnoteRef/>
      </w:r>
      <w:r>
        <w:rPr>
          <w:rFonts w:ascii="Times New Roman" w:hAnsi="Times New Roman"/>
          <w:sz w:val="16"/>
          <w:szCs w:val="16"/>
          <w:lang w:val="en-GB"/>
        </w:rPr>
        <w:t xml:space="preserve"> The Government spends US$</w:t>
      </w:r>
      <w:r w:rsidRPr="009D2F2D">
        <w:rPr>
          <w:rFonts w:ascii="Times New Roman" w:hAnsi="Times New Roman"/>
          <w:sz w:val="16"/>
          <w:szCs w:val="16"/>
          <w:lang w:val="en-GB"/>
        </w:rPr>
        <w:t xml:space="preserve">16 million annually on imported fuel for electricity. </w:t>
      </w:r>
      <w:r>
        <w:rPr>
          <w:rFonts w:ascii="Times New Roman" w:hAnsi="Times New Roman"/>
          <w:bCs/>
          <w:sz w:val="16"/>
          <w:szCs w:val="16"/>
          <w:lang w:val="en-GB"/>
        </w:rPr>
        <w:t>Over</w:t>
      </w:r>
      <w:r w:rsidRPr="009D2F2D">
        <w:rPr>
          <w:rFonts w:ascii="Times New Roman" w:hAnsi="Times New Roman"/>
          <w:bCs/>
          <w:sz w:val="16"/>
          <w:szCs w:val="16"/>
          <w:lang w:val="en-GB"/>
        </w:rPr>
        <w:t> 90% of electricity is produced by diesel generators</w:t>
      </w:r>
      <w:r>
        <w:rPr>
          <w:rFonts w:ascii="Times New Roman" w:hAnsi="Times New Roman"/>
          <w:bCs/>
          <w:sz w:val="16"/>
          <w:szCs w:val="16"/>
          <w:lang w:val="en-GB"/>
        </w:rPr>
        <w:t>,</w:t>
      </w:r>
      <w:r w:rsidRPr="009D2F2D">
        <w:rPr>
          <w:rFonts w:ascii="Times New Roman" w:hAnsi="Times New Roman"/>
          <w:bCs/>
          <w:sz w:val="16"/>
          <w:szCs w:val="16"/>
          <w:lang w:val="en-GB"/>
        </w:rPr>
        <w:t xml:space="preserve"> and 57% of the population ha</w:t>
      </w:r>
      <w:r>
        <w:rPr>
          <w:rFonts w:ascii="Times New Roman" w:hAnsi="Times New Roman"/>
          <w:bCs/>
          <w:sz w:val="16"/>
          <w:szCs w:val="16"/>
          <w:lang w:val="en-GB"/>
        </w:rPr>
        <w:t>s</w:t>
      </w:r>
      <w:r w:rsidRPr="009D2F2D">
        <w:rPr>
          <w:rFonts w:ascii="Times New Roman" w:hAnsi="Times New Roman"/>
          <w:bCs/>
          <w:sz w:val="16"/>
          <w:szCs w:val="16"/>
          <w:lang w:val="en-GB"/>
        </w:rPr>
        <w:t xml:space="preserve"> access to electricity</w:t>
      </w:r>
      <w:r>
        <w:rPr>
          <w:rFonts w:ascii="Times New Roman" w:hAnsi="Times New Roman"/>
          <w:bCs/>
          <w:sz w:val="16"/>
          <w:szCs w:val="16"/>
          <w:lang w:val="en-GB"/>
        </w:rPr>
        <w:t>.</w:t>
      </w:r>
    </w:p>
  </w:footnote>
  <w:footnote w:id="8">
    <w:p w14:paraId="023671E1" w14:textId="7DDA9BB0" w:rsidR="00956345" w:rsidRPr="00BA04E1" w:rsidRDefault="00956345" w:rsidP="00DD32DF">
      <w:pPr>
        <w:pStyle w:val="FootnoteText"/>
        <w:ind w:left="737" w:right="1644"/>
        <w:rPr>
          <w:rFonts w:ascii="Times New Roman" w:hAnsi="Times New Roman"/>
          <w:sz w:val="16"/>
          <w:szCs w:val="16"/>
          <w:lang w:val="en-GB"/>
        </w:rPr>
      </w:pPr>
      <w:r w:rsidRPr="00BA04E1">
        <w:rPr>
          <w:rStyle w:val="FootnoteReference"/>
          <w:rFonts w:ascii="Times New Roman" w:hAnsi="Times New Roman"/>
          <w:sz w:val="16"/>
          <w:szCs w:val="16"/>
          <w:lang w:val="en-GB"/>
        </w:rPr>
        <w:footnoteRef/>
      </w:r>
      <w:r w:rsidRPr="00BA04E1">
        <w:rPr>
          <w:rFonts w:ascii="Times New Roman" w:hAnsi="Times New Roman"/>
          <w:sz w:val="16"/>
          <w:szCs w:val="16"/>
          <w:lang w:val="en-GB"/>
        </w:rPr>
        <w:t xml:space="preserve"> ADR 2015 and </w:t>
      </w:r>
      <w:r>
        <w:rPr>
          <w:rFonts w:ascii="Times New Roman" w:hAnsi="Times New Roman"/>
          <w:sz w:val="16"/>
          <w:szCs w:val="16"/>
          <w:lang w:val="en-GB"/>
        </w:rPr>
        <w:t xml:space="preserve">Malaria Annual Report 2015, </w:t>
      </w:r>
      <w:r w:rsidRPr="00BA04E1">
        <w:rPr>
          <w:rFonts w:ascii="Times New Roman" w:hAnsi="Times New Roman"/>
          <w:sz w:val="16"/>
          <w:szCs w:val="16"/>
          <w:lang w:val="en-GB"/>
        </w:rPr>
        <w:t>Ministry of Health</w:t>
      </w:r>
      <w:r>
        <w:rPr>
          <w:rFonts w:ascii="Times New Roman" w:hAnsi="Times New Roman"/>
          <w:sz w:val="16"/>
          <w:szCs w:val="16"/>
          <w:lang w:val="en-GB"/>
        </w:rPr>
        <w:t>.</w:t>
      </w:r>
    </w:p>
  </w:footnote>
  <w:footnote w:id="9">
    <w:p w14:paraId="7DBB78E3" w14:textId="77777777" w:rsidR="00956345" w:rsidRPr="009B2E26" w:rsidRDefault="00956345" w:rsidP="002B5C4A">
      <w:pPr>
        <w:pStyle w:val="FootnoteText"/>
        <w:ind w:left="720"/>
        <w:rPr>
          <w:rFonts w:ascii="Times New Roman" w:hAnsi="Times New Roman"/>
          <w:sz w:val="16"/>
          <w:szCs w:val="16"/>
        </w:rPr>
      </w:pPr>
      <w:r w:rsidRPr="009B2E26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9B2E26">
        <w:rPr>
          <w:rFonts w:ascii="Times New Roman" w:hAnsi="Times New Roman"/>
          <w:sz w:val="16"/>
          <w:szCs w:val="16"/>
        </w:rPr>
        <w:t xml:space="preserve"> </w:t>
      </w:r>
      <w:r w:rsidRPr="002B5C4A">
        <w:rPr>
          <w:rFonts w:ascii="Times New Roman" w:hAnsi="Times New Roman"/>
          <w:sz w:val="16"/>
          <w:szCs w:val="16"/>
          <w:lang w:val="en-GB"/>
        </w:rPr>
        <w:t>World Malaria Report 2015</w:t>
      </w:r>
      <w:r>
        <w:rPr>
          <w:rFonts w:ascii="Times New Roman" w:hAnsi="Times New Roman"/>
          <w:sz w:val="16"/>
          <w:szCs w:val="16"/>
          <w:lang w:val="en-GB"/>
        </w:rPr>
        <w:t>.</w:t>
      </w:r>
    </w:p>
  </w:footnote>
  <w:footnote w:id="10">
    <w:p w14:paraId="1C19867E" w14:textId="77777777" w:rsidR="00956345" w:rsidRPr="009D2F2D" w:rsidRDefault="00956345" w:rsidP="002B0653">
      <w:pPr>
        <w:pStyle w:val="FootnoteText"/>
        <w:ind w:left="737" w:right="1644"/>
        <w:rPr>
          <w:rFonts w:ascii="Times New Roman" w:hAnsi="Times New Roman"/>
          <w:sz w:val="16"/>
          <w:szCs w:val="16"/>
          <w:lang w:val="en-GB"/>
        </w:rPr>
      </w:pPr>
      <w:r w:rsidRPr="009D2F2D">
        <w:rPr>
          <w:rStyle w:val="FootnoteReference"/>
          <w:rFonts w:ascii="Times New Roman" w:hAnsi="Times New Roman"/>
          <w:sz w:val="16"/>
          <w:szCs w:val="16"/>
          <w:lang w:val="en-GB"/>
        </w:rPr>
        <w:footnoteRef/>
      </w:r>
      <w:r w:rsidRPr="009D2F2D">
        <w:rPr>
          <w:rFonts w:ascii="Times New Roman" w:hAnsi="Times New Roman"/>
          <w:sz w:val="16"/>
          <w:szCs w:val="16"/>
          <w:lang w:val="en-GB"/>
        </w:rPr>
        <w:t xml:space="preserve"> Multiple Indicator Cluster Survey 2014</w:t>
      </w:r>
      <w:r>
        <w:rPr>
          <w:rFonts w:ascii="Times New Roman" w:hAnsi="Times New Roman"/>
          <w:sz w:val="16"/>
          <w:szCs w:val="16"/>
          <w:lang w:val="en-GB"/>
        </w:rPr>
        <w:t>.</w:t>
      </w:r>
    </w:p>
  </w:footnote>
  <w:footnote w:id="11">
    <w:p w14:paraId="1A495B14" w14:textId="77777777" w:rsidR="00956345" w:rsidRPr="009D2F2D" w:rsidRDefault="00956345" w:rsidP="00A9126D">
      <w:pPr>
        <w:pStyle w:val="FootnoteText"/>
        <w:ind w:left="737" w:right="1644"/>
        <w:rPr>
          <w:rFonts w:ascii="Times New Roman" w:hAnsi="Times New Roman"/>
          <w:sz w:val="16"/>
          <w:szCs w:val="16"/>
          <w:lang w:val="en-GB"/>
        </w:rPr>
      </w:pPr>
      <w:r w:rsidRPr="009D2F2D">
        <w:rPr>
          <w:rStyle w:val="FootnoteReference"/>
          <w:rFonts w:ascii="Times New Roman" w:hAnsi="Times New Roman"/>
          <w:sz w:val="16"/>
          <w:szCs w:val="16"/>
          <w:lang w:val="en-GB"/>
        </w:rPr>
        <w:footnoteRef/>
      </w:r>
      <w:r w:rsidRPr="009D2F2D">
        <w:rPr>
          <w:rFonts w:ascii="Times New Roman" w:hAnsi="Times New Roman"/>
          <w:sz w:val="16"/>
          <w:szCs w:val="16"/>
          <w:lang w:val="en-GB"/>
        </w:rPr>
        <w:t xml:space="preserve"> Sentinel Study</w:t>
      </w:r>
      <w:r>
        <w:rPr>
          <w:rFonts w:ascii="Times New Roman" w:hAnsi="Times New Roman"/>
          <w:sz w:val="16"/>
          <w:szCs w:val="16"/>
          <w:lang w:val="en-GB"/>
        </w:rPr>
        <w:t>,</w:t>
      </w:r>
      <w:r w:rsidRPr="009D2F2D">
        <w:rPr>
          <w:rFonts w:ascii="Times New Roman" w:hAnsi="Times New Roman"/>
          <w:sz w:val="16"/>
          <w:szCs w:val="16"/>
          <w:lang w:val="en-GB"/>
        </w:rPr>
        <w:t xml:space="preserve"> 2013</w:t>
      </w:r>
      <w:r>
        <w:rPr>
          <w:rFonts w:ascii="Times New Roman" w:hAnsi="Times New Roman"/>
          <w:sz w:val="16"/>
          <w:szCs w:val="16"/>
          <w:lang w:val="en-GB"/>
        </w:rPr>
        <w:t>.</w:t>
      </w:r>
    </w:p>
  </w:footnote>
  <w:footnote w:id="12">
    <w:p w14:paraId="0B37D6CD" w14:textId="77777777" w:rsidR="00956345" w:rsidRPr="009D2F2D" w:rsidRDefault="00956345" w:rsidP="0073419C">
      <w:pPr>
        <w:pStyle w:val="FootnoteText"/>
        <w:ind w:left="737" w:right="1644"/>
        <w:rPr>
          <w:rFonts w:ascii="Times New Roman" w:hAnsi="Times New Roman"/>
          <w:sz w:val="16"/>
          <w:szCs w:val="16"/>
          <w:lang w:val="en-GB"/>
        </w:rPr>
      </w:pPr>
      <w:r w:rsidRPr="009D2F2D">
        <w:rPr>
          <w:rStyle w:val="FootnoteReference"/>
          <w:rFonts w:ascii="Times New Roman" w:hAnsi="Times New Roman"/>
          <w:sz w:val="16"/>
          <w:szCs w:val="16"/>
          <w:lang w:val="en-GB"/>
        </w:rPr>
        <w:footnoteRef/>
      </w:r>
      <w:r w:rsidRPr="009D2F2D">
        <w:rPr>
          <w:rFonts w:ascii="Times New Roman" w:hAnsi="Times New Roman"/>
          <w:sz w:val="16"/>
          <w:szCs w:val="16"/>
          <w:lang w:val="en-GB"/>
        </w:rPr>
        <w:t xml:space="preserve"> National Programme for Combatting Tuberculosis</w:t>
      </w:r>
      <w:r>
        <w:rPr>
          <w:rFonts w:ascii="Times New Roman" w:hAnsi="Times New Roman"/>
          <w:sz w:val="16"/>
          <w:szCs w:val="16"/>
          <w:lang w:val="en-GB"/>
        </w:rPr>
        <w:t>.</w:t>
      </w:r>
    </w:p>
  </w:footnote>
  <w:footnote w:id="13">
    <w:p w14:paraId="7838235A" w14:textId="4693BD1D" w:rsidR="00956345" w:rsidRPr="009D2F2D" w:rsidRDefault="00956345" w:rsidP="004B5B8A">
      <w:pPr>
        <w:pStyle w:val="FootnoteText"/>
        <w:ind w:left="737" w:right="1644"/>
        <w:rPr>
          <w:rFonts w:ascii="Times New Roman" w:hAnsi="Times New Roman"/>
          <w:sz w:val="16"/>
          <w:szCs w:val="16"/>
          <w:lang w:val="en-GB"/>
        </w:rPr>
      </w:pPr>
      <w:r w:rsidRPr="009D2F2D">
        <w:rPr>
          <w:rStyle w:val="FootnoteReference"/>
          <w:rFonts w:ascii="Times New Roman" w:hAnsi="Times New Roman"/>
          <w:sz w:val="16"/>
          <w:szCs w:val="16"/>
          <w:lang w:val="en-GB"/>
        </w:rPr>
        <w:footnoteRef/>
      </w:r>
      <w:r w:rsidRPr="009D2F2D">
        <w:rPr>
          <w:rFonts w:ascii="Times New Roman" w:hAnsi="Times New Roman"/>
          <w:sz w:val="16"/>
          <w:szCs w:val="16"/>
          <w:lang w:val="en-GB"/>
        </w:rPr>
        <w:t xml:space="preserve"> ADR 2015</w:t>
      </w:r>
      <w:r>
        <w:rPr>
          <w:rFonts w:ascii="Times New Roman" w:hAnsi="Times New Roman"/>
          <w:sz w:val="16"/>
          <w:szCs w:val="16"/>
          <w:lang w:val="en-GB"/>
        </w:rPr>
        <w:t>.</w:t>
      </w:r>
    </w:p>
  </w:footnote>
  <w:footnote w:id="14">
    <w:p w14:paraId="1CB12C55" w14:textId="77777777" w:rsidR="00956345" w:rsidRPr="009D2F2D" w:rsidRDefault="00956345" w:rsidP="00E06D0B">
      <w:pPr>
        <w:pStyle w:val="FootnoteText"/>
        <w:ind w:left="737" w:right="1644"/>
        <w:jc w:val="both"/>
        <w:rPr>
          <w:rStyle w:val="FootnoteReference"/>
          <w:rFonts w:ascii="Times New Roman" w:hAnsi="Times New Roman"/>
          <w:sz w:val="16"/>
          <w:szCs w:val="16"/>
          <w:lang w:val="en-GB"/>
        </w:rPr>
      </w:pPr>
      <w:r w:rsidRPr="009D2F2D">
        <w:rPr>
          <w:rStyle w:val="FootnoteReference"/>
          <w:rFonts w:ascii="Times New Roman" w:hAnsi="Times New Roman"/>
          <w:sz w:val="16"/>
          <w:szCs w:val="16"/>
          <w:lang w:val="en-GB"/>
        </w:rPr>
        <w:footnoteRef/>
      </w:r>
      <w:r w:rsidRPr="009D2F2D">
        <w:rPr>
          <w:rStyle w:val="FootnoteReference"/>
          <w:rFonts w:ascii="Times New Roman" w:hAnsi="Times New Roman"/>
          <w:sz w:val="16"/>
          <w:szCs w:val="16"/>
          <w:lang w:val="en-GB"/>
        </w:rPr>
        <w:t xml:space="preserve"> </w:t>
      </w:r>
      <w:r w:rsidRPr="009D2F2D">
        <w:rPr>
          <w:rFonts w:ascii="Times New Roman" w:hAnsi="Times New Roman"/>
          <w:sz w:val="16"/>
          <w:szCs w:val="16"/>
          <w:lang w:val="en-GB"/>
        </w:rPr>
        <w:t xml:space="preserve">For instance, mobilizing regional expertise, such as South African experts for installation of biometric equipment, or facilitating exchanges to learn from experiences of other countries, </w:t>
      </w:r>
      <w:r>
        <w:rPr>
          <w:rFonts w:ascii="Times New Roman" w:hAnsi="Times New Roman"/>
          <w:sz w:val="16"/>
          <w:szCs w:val="16"/>
          <w:lang w:val="en-GB"/>
        </w:rPr>
        <w:t>e.g.</w:t>
      </w:r>
      <w:r w:rsidRPr="009D2F2D">
        <w:rPr>
          <w:rFonts w:ascii="Times New Roman" w:hAnsi="Times New Roman"/>
          <w:sz w:val="16"/>
          <w:szCs w:val="16"/>
          <w:lang w:val="en-GB"/>
        </w:rPr>
        <w:t xml:space="preserve"> Timor-Leste </w:t>
      </w:r>
      <w:r>
        <w:rPr>
          <w:rFonts w:ascii="Times New Roman" w:hAnsi="Times New Roman"/>
          <w:sz w:val="16"/>
          <w:szCs w:val="16"/>
          <w:lang w:val="en-GB"/>
        </w:rPr>
        <w:t>on</w:t>
      </w:r>
      <w:r w:rsidRPr="009D2F2D">
        <w:rPr>
          <w:rFonts w:ascii="Times New Roman" w:hAnsi="Times New Roman"/>
          <w:sz w:val="16"/>
          <w:szCs w:val="16"/>
          <w:lang w:val="en-GB"/>
        </w:rPr>
        <w:t xml:space="preserve"> justice reform. </w:t>
      </w:r>
    </w:p>
  </w:footnote>
  <w:footnote w:id="15">
    <w:p w14:paraId="53FE7D70" w14:textId="77777777" w:rsidR="00956345" w:rsidRPr="009D2F2D" w:rsidRDefault="00956345" w:rsidP="00EB3623">
      <w:pPr>
        <w:pStyle w:val="FootnoteText"/>
        <w:ind w:left="737" w:right="1644"/>
        <w:rPr>
          <w:rFonts w:ascii="Times New Roman" w:hAnsi="Times New Roman"/>
          <w:sz w:val="16"/>
          <w:szCs w:val="16"/>
          <w:lang w:val="en-GB"/>
        </w:rPr>
      </w:pPr>
      <w:r w:rsidRPr="009D2F2D">
        <w:rPr>
          <w:rStyle w:val="FootnoteReference"/>
          <w:rFonts w:ascii="Times New Roman" w:hAnsi="Times New Roman"/>
          <w:sz w:val="16"/>
          <w:szCs w:val="16"/>
          <w:lang w:val="en-GB"/>
        </w:rPr>
        <w:footnoteRef/>
      </w:r>
      <w:r w:rsidRPr="009D2F2D">
        <w:rPr>
          <w:rFonts w:ascii="Times New Roman" w:hAnsi="Times New Roman"/>
          <w:sz w:val="16"/>
          <w:szCs w:val="16"/>
          <w:lang w:val="en-GB"/>
        </w:rPr>
        <w:t xml:space="preserve"> The Transformation Agenda was presented to development partners at the ST</w:t>
      </w:r>
      <w:r>
        <w:rPr>
          <w:rFonts w:ascii="Times New Roman" w:hAnsi="Times New Roman"/>
          <w:sz w:val="16"/>
          <w:szCs w:val="16"/>
          <w:lang w:val="en-GB"/>
        </w:rPr>
        <w:t>E</w:t>
      </w:r>
      <w:r w:rsidRPr="009D2F2D">
        <w:rPr>
          <w:rFonts w:ascii="Times New Roman" w:hAnsi="Times New Roman"/>
          <w:sz w:val="16"/>
          <w:szCs w:val="16"/>
          <w:lang w:val="en-GB"/>
        </w:rPr>
        <w:t>P L</w:t>
      </w:r>
      <w:r>
        <w:rPr>
          <w:rFonts w:ascii="Times New Roman" w:hAnsi="Times New Roman"/>
          <w:sz w:val="16"/>
          <w:szCs w:val="16"/>
          <w:lang w:val="en-GB"/>
        </w:rPr>
        <w:t>ondon</w:t>
      </w:r>
      <w:r w:rsidRPr="009D2F2D">
        <w:rPr>
          <w:rFonts w:ascii="Times New Roman" w:hAnsi="Times New Roman"/>
          <w:sz w:val="16"/>
          <w:szCs w:val="16"/>
          <w:lang w:val="en-GB"/>
        </w:rPr>
        <w:t xml:space="preserve"> Conference on 14</w:t>
      </w:r>
      <w:r>
        <w:rPr>
          <w:rFonts w:ascii="Times New Roman" w:hAnsi="Times New Roman"/>
          <w:sz w:val="16"/>
          <w:szCs w:val="16"/>
          <w:lang w:val="en-GB"/>
        </w:rPr>
        <w:t>-</w:t>
      </w:r>
      <w:r w:rsidRPr="009D2F2D">
        <w:rPr>
          <w:rFonts w:ascii="Times New Roman" w:hAnsi="Times New Roman"/>
          <w:sz w:val="16"/>
          <w:szCs w:val="16"/>
          <w:lang w:val="en-GB"/>
        </w:rPr>
        <w:t>15 October 2015</w:t>
      </w:r>
      <w:r>
        <w:rPr>
          <w:rFonts w:ascii="Times New Roman" w:hAnsi="Times New Roman"/>
          <w:sz w:val="16"/>
          <w:szCs w:val="16"/>
          <w:lang w:val="en-GB"/>
        </w:rPr>
        <w:t>.</w:t>
      </w:r>
    </w:p>
  </w:footnote>
  <w:footnote w:id="16">
    <w:p w14:paraId="651F133E" w14:textId="77777777" w:rsidR="00956345" w:rsidRPr="00E40BA9" w:rsidRDefault="00956345" w:rsidP="00E40BA9">
      <w:pPr>
        <w:pStyle w:val="FootnoteText"/>
        <w:ind w:left="709" w:right="1644"/>
        <w:rPr>
          <w:lang w:val="en-GB"/>
        </w:rPr>
      </w:pPr>
      <w:r w:rsidRPr="006F5A44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6F5A4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The a</w:t>
      </w:r>
      <w:r w:rsidRPr="00E40BA9">
        <w:rPr>
          <w:rFonts w:ascii="Times New Roman" w:hAnsi="Times New Roman"/>
          <w:sz w:val="16"/>
          <w:szCs w:val="16"/>
          <w:lang w:val="en-GB"/>
        </w:rPr>
        <w:t>im</w:t>
      </w:r>
      <w:r>
        <w:rPr>
          <w:rFonts w:ascii="Times New Roman" w:hAnsi="Times New Roman"/>
          <w:sz w:val="16"/>
          <w:szCs w:val="16"/>
          <w:lang w:val="en-GB"/>
        </w:rPr>
        <w:t xml:space="preserve"> i</w:t>
      </w:r>
      <w:r w:rsidRPr="00E40BA9">
        <w:rPr>
          <w:rFonts w:ascii="Times New Roman" w:hAnsi="Times New Roman"/>
          <w:sz w:val="16"/>
          <w:szCs w:val="16"/>
          <w:lang w:val="en-GB"/>
        </w:rPr>
        <w:t>s</w:t>
      </w:r>
      <w:r w:rsidRPr="009D2F2D">
        <w:rPr>
          <w:rFonts w:ascii="Times New Roman" w:hAnsi="Times New Roman"/>
          <w:sz w:val="16"/>
          <w:szCs w:val="16"/>
          <w:lang w:val="en-GB"/>
        </w:rPr>
        <w:t xml:space="preserve"> to attract </w:t>
      </w:r>
      <w:r>
        <w:rPr>
          <w:rFonts w:ascii="Times New Roman" w:hAnsi="Times New Roman"/>
          <w:sz w:val="16"/>
          <w:szCs w:val="16"/>
          <w:lang w:val="en-GB"/>
        </w:rPr>
        <w:t>increased</w:t>
      </w:r>
      <w:r w:rsidRPr="009D2F2D">
        <w:rPr>
          <w:rFonts w:ascii="Times New Roman" w:hAnsi="Times New Roman"/>
          <w:sz w:val="16"/>
          <w:szCs w:val="16"/>
          <w:lang w:val="en-GB"/>
        </w:rPr>
        <w:t xml:space="preserve"> </w:t>
      </w:r>
      <w:r>
        <w:rPr>
          <w:rFonts w:ascii="Times New Roman" w:hAnsi="Times New Roman"/>
          <w:sz w:val="16"/>
          <w:szCs w:val="16"/>
          <w:lang w:val="en-GB"/>
        </w:rPr>
        <w:t>f</w:t>
      </w:r>
      <w:r w:rsidRPr="009D2F2D">
        <w:rPr>
          <w:rFonts w:ascii="Times New Roman" w:hAnsi="Times New Roman"/>
          <w:sz w:val="16"/>
          <w:szCs w:val="16"/>
          <w:lang w:val="en-GB"/>
        </w:rPr>
        <w:t xml:space="preserve">oreign </w:t>
      </w:r>
      <w:r>
        <w:rPr>
          <w:rFonts w:ascii="Times New Roman" w:hAnsi="Times New Roman"/>
          <w:sz w:val="16"/>
          <w:szCs w:val="16"/>
          <w:lang w:val="en-GB"/>
        </w:rPr>
        <w:t>d</w:t>
      </w:r>
      <w:r w:rsidRPr="009D2F2D">
        <w:rPr>
          <w:rFonts w:ascii="Times New Roman" w:hAnsi="Times New Roman"/>
          <w:sz w:val="16"/>
          <w:szCs w:val="16"/>
          <w:lang w:val="en-GB"/>
        </w:rPr>
        <w:t xml:space="preserve">irect </w:t>
      </w:r>
      <w:r>
        <w:rPr>
          <w:rFonts w:ascii="Times New Roman" w:hAnsi="Times New Roman"/>
          <w:sz w:val="16"/>
          <w:szCs w:val="16"/>
          <w:lang w:val="en-GB"/>
        </w:rPr>
        <w:t>i</w:t>
      </w:r>
      <w:r w:rsidRPr="009D2F2D">
        <w:rPr>
          <w:rFonts w:ascii="Times New Roman" w:hAnsi="Times New Roman"/>
          <w:sz w:val="16"/>
          <w:szCs w:val="16"/>
          <w:lang w:val="en-GB"/>
        </w:rPr>
        <w:t>nvestment</w:t>
      </w:r>
      <w:r>
        <w:rPr>
          <w:rFonts w:ascii="Times New Roman" w:hAnsi="Times New Roman"/>
          <w:sz w:val="16"/>
          <w:szCs w:val="16"/>
          <w:lang w:val="en-GB"/>
        </w:rPr>
        <w:t>,</w:t>
      </w:r>
      <w:r w:rsidRPr="009D2F2D">
        <w:rPr>
          <w:rFonts w:ascii="Times New Roman" w:hAnsi="Times New Roman"/>
          <w:sz w:val="16"/>
          <w:szCs w:val="16"/>
          <w:lang w:val="en-GB"/>
        </w:rPr>
        <w:t xml:space="preserve"> which was estimated at $23 million in 2013. </w:t>
      </w:r>
      <w:r>
        <w:rPr>
          <w:rFonts w:ascii="Times New Roman" w:hAnsi="Times New Roman"/>
          <w:sz w:val="16"/>
          <w:szCs w:val="16"/>
          <w:lang w:val="en-GB"/>
        </w:rPr>
        <w:t>Potential areas for f</w:t>
      </w:r>
      <w:r w:rsidRPr="009D2F2D">
        <w:rPr>
          <w:rFonts w:ascii="Times New Roman" w:hAnsi="Times New Roman"/>
          <w:sz w:val="16"/>
          <w:szCs w:val="16"/>
          <w:lang w:val="en-GB"/>
        </w:rPr>
        <w:t xml:space="preserve">oreign </w:t>
      </w:r>
      <w:r>
        <w:rPr>
          <w:rFonts w:ascii="Times New Roman" w:hAnsi="Times New Roman"/>
          <w:sz w:val="16"/>
          <w:szCs w:val="16"/>
          <w:lang w:val="en-GB"/>
        </w:rPr>
        <w:t>i</w:t>
      </w:r>
      <w:r w:rsidRPr="009D2F2D">
        <w:rPr>
          <w:rFonts w:ascii="Times New Roman" w:hAnsi="Times New Roman"/>
          <w:sz w:val="16"/>
          <w:szCs w:val="16"/>
          <w:lang w:val="en-GB"/>
        </w:rPr>
        <w:t xml:space="preserve">nvestment include the planned </w:t>
      </w:r>
      <w:r>
        <w:rPr>
          <w:rFonts w:ascii="Times New Roman" w:hAnsi="Times New Roman"/>
          <w:sz w:val="16"/>
          <w:szCs w:val="16"/>
          <w:lang w:val="en-GB"/>
        </w:rPr>
        <w:t>d</w:t>
      </w:r>
      <w:r w:rsidRPr="009D2F2D">
        <w:rPr>
          <w:rFonts w:ascii="Times New Roman" w:hAnsi="Times New Roman"/>
          <w:sz w:val="16"/>
          <w:szCs w:val="16"/>
          <w:lang w:val="en-GB"/>
        </w:rPr>
        <w:t xml:space="preserve">eep </w:t>
      </w:r>
      <w:r>
        <w:rPr>
          <w:rFonts w:ascii="Times New Roman" w:hAnsi="Times New Roman"/>
          <w:sz w:val="16"/>
          <w:szCs w:val="16"/>
          <w:lang w:val="en-GB"/>
        </w:rPr>
        <w:t>s</w:t>
      </w:r>
      <w:r w:rsidRPr="009D2F2D">
        <w:rPr>
          <w:rFonts w:ascii="Times New Roman" w:hAnsi="Times New Roman"/>
          <w:sz w:val="16"/>
          <w:szCs w:val="16"/>
          <w:lang w:val="en-GB"/>
        </w:rPr>
        <w:t xml:space="preserve">ea </w:t>
      </w:r>
      <w:r>
        <w:rPr>
          <w:rFonts w:ascii="Times New Roman" w:hAnsi="Times New Roman"/>
          <w:sz w:val="16"/>
          <w:szCs w:val="16"/>
          <w:lang w:val="en-GB"/>
        </w:rPr>
        <w:t>p</w:t>
      </w:r>
      <w:r w:rsidRPr="009D2F2D">
        <w:rPr>
          <w:rFonts w:ascii="Times New Roman" w:hAnsi="Times New Roman"/>
          <w:sz w:val="16"/>
          <w:szCs w:val="16"/>
          <w:lang w:val="en-GB"/>
        </w:rPr>
        <w:t xml:space="preserve">ort and </w:t>
      </w:r>
      <w:r>
        <w:rPr>
          <w:rFonts w:ascii="Times New Roman" w:hAnsi="Times New Roman"/>
          <w:sz w:val="16"/>
          <w:szCs w:val="16"/>
          <w:lang w:val="en-GB"/>
        </w:rPr>
        <w:t>a</w:t>
      </w:r>
      <w:r w:rsidRPr="009D2F2D">
        <w:rPr>
          <w:rFonts w:ascii="Times New Roman" w:hAnsi="Times New Roman"/>
          <w:sz w:val="16"/>
          <w:szCs w:val="16"/>
          <w:lang w:val="en-GB"/>
        </w:rPr>
        <w:t xml:space="preserve">viation </w:t>
      </w:r>
      <w:r>
        <w:rPr>
          <w:rFonts w:ascii="Times New Roman" w:hAnsi="Times New Roman"/>
          <w:sz w:val="16"/>
          <w:szCs w:val="16"/>
          <w:lang w:val="en-GB"/>
        </w:rPr>
        <w:t>h</w:t>
      </w:r>
      <w:r w:rsidRPr="009D2F2D">
        <w:rPr>
          <w:rFonts w:ascii="Times New Roman" w:hAnsi="Times New Roman"/>
          <w:sz w:val="16"/>
          <w:szCs w:val="16"/>
          <w:lang w:val="en-GB"/>
        </w:rPr>
        <w:t>ub.</w:t>
      </w:r>
    </w:p>
  </w:footnote>
  <w:footnote w:id="17">
    <w:p w14:paraId="74321E64" w14:textId="77777777" w:rsidR="00956345" w:rsidRDefault="00956345" w:rsidP="00EB3623">
      <w:pPr>
        <w:pStyle w:val="FootnoteText"/>
        <w:ind w:left="737" w:right="1660"/>
        <w:jc w:val="both"/>
      </w:pPr>
      <w:r w:rsidRPr="009B2E26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9B2E26">
        <w:rPr>
          <w:rFonts w:ascii="Times New Roman" w:hAnsi="Times New Roman"/>
          <w:sz w:val="16"/>
          <w:szCs w:val="16"/>
        </w:rPr>
        <w:t xml:space="preserve"> </w:t>
      </w:r>
      <w:r w:rsidRPr="009D2F2D">
        <w:rPr>
          <w:rFonts w:ascii="Times New Roman" w:hAnsi="Times New Roman"/>
          <w:sz w:val="16"/>
          <w:szCs w:val="16"/>
          <w:lang w:val="en-GB"/>
        </w:rPr>
        <w:t>The first pillar has the following priorities</w:t>
      </w:r>
      <w:r>
        <w:rPr>
          <w:rFonts w:ascii="Times New Roman" w:hAnsi="Times New Roman"/>
          <w:sz w:val="16"/>
          <w:szCs w:val="16"/>
          <w:lang w:val="en-GB"/>
        </w:rPr>
        <w:t>:</w:t>
      </w:r>
      <w:r w:rsidRPr="009D2F2D">
        <w:rPr>
          <w:rFonts w:ascii="Times New Roman" w:hAnsi="Times New Roman"/>
          <w:sz w:val="16"/>
          <w:szCs w:val="16"/>
          <w:lang w:val="en-GB"/>
        </w:rPr>
        <w:t xml:space="preserve"> Consolidating the rule of law and further deepen</w:t>
      </w:r>
      <w:r>
        <w:rPr>
          <w:rFonts w:ascii="Times New Roman" w:hAnsi="Times New Roman"/>
          <w:sz w:val="16"/>
          <w:szCs w:val="16"/>
          <w:lang w:val="en-GB"/>
        </w:rPr>
        <w:t>ing</w:t>
      </w:r>
      <w:r w:rsidRPr="009D2F2D">
        <w:rPr>
          <w:rFonts w:ascii="Times New Roman" w:hAnsi="Times New Roman"/>
          <w:sz w:val="16"/>
          <w:szCs w:val="16"/>
          <w:lang w:val="en-GB"/>
        </w:rPr>
        <w:t xml:space="preserve"> democracy</w:t>
      </w:r>
      <w:r>
        <w:rPr>
          <w:rFonts w:ascii="Times New Roman" w:hAnsi="Times New Roman"/>
          <w:sz w:val="16"/>
          <w:szCs w:val="16"/>
          <w:lang w:val="en-GB"/>
        </w:rPr>
        <w:t>; and f</w:t>
      </w:r>
      <w:r w:rsidRPr="009D2F2D">
        <w:rPr>
          <w:rFonts w:ascii="Times New Roman" w:hAnsi="Times New Roman"/>
          <w:sz w:val="16"/>
          <w:szCs w:val="16"/>
          <w:lang w:val="en-GB"/>
        </w:rPr>
        <w:t>ostering and entrenching values and behaviours that promote, in all components of São Tomean society, engagement and consolidation of a virtuous process conducive to the success of development policies. The second pillar has the following priorities</w:t>
      </w:r>
      <w:r>
        <w:rPr>
          <w:rFonts w:ascii="Times New Roman" w:hAnsi="Times New Roman"/>
          <w:sz w:val="16"/>
          <w:szCs w:val="16"/>
          <w:lang w:val="en-GB"/>
        </w:rPr>
        <w:t>:</w:t>
      </w:r>
      <w:r w:rsidRPr="009D2F2D">
        <w:rPr>
          <w:rFonts w:ascii="Times New Roman" w:hAnsi="Times New Roman"/>
          <w:sz w:val="16"/>
          <w:szCs w:val="16"/>
          <w:lang w:val="en-GB"/>
        </w:rPr>
        <w:t xml:space="preserve"> Achieving sustainable growth and </w:t>
      </w:r>
      <w:r>
        <w:rPr>
          <w:rFonts w:ascii="Times New Roman" w:hAnsi="Times New Roman"/>
          <w:sz w:val="16"/>
          <w:szCs w:val="16"/>
          <w:lang w:val="en-GB"/>
        </w:rPr>
        <w:t>p</w:t>
      </w:r>
      <w:r w:rsidRPr="009D2F2D">
        <w:rPr>
          <w:rFonts w:ascii="Times New Roman" w:hAnsi="Times New Roman"/>
          <w:sz w:val="16"/>
          <w:szCs w:val="16"/>
          <w:lang w:val="en-GB"/>
        </w:rPr>
        <w:t>romoting human development</w:t>
      </w:r>
      <w:r>
        <w:rPr>
          <w:rFonts w:ascii="Times New Roman" w:hAnsi="Times New Roman"/>
          <w:sz w:val="16"/>
          <w:szCs w:val="16"/>
          <w:lang w:val="en-GB"/>
        </w:rPr>
        <w:t>.</w:t>
      </w:r>
    </w:p>
  </w:footnote>
  <w:footnote w:id="18">
    <w:p w14:paraId="41C4DF9C" w14:textId="353F28D2" w:rsidR="00956345" w:rsidRPr="00761595" w:rsidRDefault="00956345" w:rsidP="00114CAA">
      <w:pPr>
        <w:ind w:left="720" w:right="1660"/>
        <w:rPr>
          <w:sz w:val="16"/>
          <w:szCs w:val="16"/>
        </w:rPr>
      </w:pPr>
      <w:r w:rsidRPr="00761595">
        <w:rPr>
          <w:rStyle w:val="FootnoteReference"/>
          <w:sz w:val="16"/>
          <w:szCs w:val="16"/>
        </w:rPr>
        <w:footnoteRef/>
      </w:r>
      <w:r w:rsidRPr="00761595">
        <w:rPr>
          <w:sz w:val="16"/>
          <w:szCs w:val="16"/>
        </w:rPr>
        <w:t xml:space="preserve"> </w:t>
      </w:r>
      <w:r>
        <w:rPr>
          <w:sz w:val="16"/>
          <w:szCs w:val="16"/>
        </w:rPr>
        <w:t>‘</w:t>
      </w:r>
      <w:r w:rsidRPr="00761595">
        <w:rPr>
          <w:sz w:val="16"/>
          <w:szCs w:val="16"/>
        </w:rPr>
        <w:t xml:space="preserve">Blue </w:t>
      </w:r>
      <w:r>
        <w:rPr>
          <w:sz w:val="16"/>
          <w:szCs w:val="16"/>
        </w:rPr>
        <w:t>e</w:t>
      </w:r>
      <w:r w:rsidRPr="00761595">
        <w:rPr>
          <w:sz w:val="16"/>
          <w:szCs w:val="16"/>
        </w:rPr>
        <w:t>conomy</w:t>
      </w:r>
      <w:r>
        <w:rPr>
          <w:sz w:val="16"/>
          <w:szCs w:val="16"/>
        </w:rPr>
        <w:t>’</w:t>
      </w:r>
      <w:r w:rsidRPr="00761595">
        <w:rPr>
          <w:sz w:val="16"/>
          <w:szCs w:val="16"/>
        </w:rPr>
        <w:t xml:space="preserve"> is a</w:t>
      </w:r>
      <w:r>
        <w:rPr>
          <w:sz w:val="16"/>
          <w:szCs w:val="16"/>
        </w:rPr>
        <w:t>n</w:t>
      </w:r>
      <w:r w:rsidRPr="0076159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initiative that offers small island developing states and coastal countries specific mechanisms </w:t>
      </w:r>
      <w:r w:rsidRPr="00761595">
        <w:rPr>
          <w:sz w:val="16"/>
          <w:szCs w:val="16"/>
        </w:rPr>
        <w:t xml:space="preserve">to sustainably manage water bodies as </w:t>
      </w:r>
      <w:r>
        <w:rPr>
          <w:sz w:val="16"/>
          <w:szCs w:val="16"/>
        </w:rPr>
        <w:t>sustainable ‘</w:t>
      </w:r>
      <w:r w:rsidRPr="00761595">
        <w:rPr>
          <w:sz w:val="16"/>
          <w:szCs w:val="16"/>
        </w:rPr>
        <w:t>development spaces</w:t>
      </w:r>
      <w:r>
        <w:rPr>
          <w:sz w:val="16"/>
          <w:szCs w:val="16"/>
        </w:rPr>
        <w:t xml:space="preserve">’. It promotes </w:t>
      </w:r>
      <w:r w:rsidRPr="00761595">
        <w:rPr>
          <w:sz w:val="16"/>
          <w:szCs w:val="16"/>
        </w:rPr>
        <w:t xml:space="preserve">economic growth, environmental sustainability, social inclusion and strengthening of ocean ecosystems.  </w:t>
      </w:r>
    </w:p>
    <w:p w14:paraId="38C3321F" w14:textId="77777777" w:rsidR="00956345" w:rsidRDefault="00956345" w:rsidP="00956345">
      <w:pPr>
        <w:pStyle w:val="FootnoteText"/>
      </w:pPr>
    </w:p>
  </w:footnote>
  <w:footnote w:id="19">
    <w:p w14:paraId="3366AFEC" w14:textId="77777777" w:rsidR="00956345" w:rsidRPr="009D2F2D" w:rsidRDefault="00956345" w:rsidP="008F6ADB">
      <w:pPr>
        <w:pStyle w:val="FootnoteText"/>
        <w:ind w:left="737" w:right="1644"/>
        <w:rPr>
          <w:rFonts w:ascii="Times New Roman" w:hAnsi="Times New Roman"/>
          <w:sz w:val="16"/>
          <w:szCs w:val="16"/>
          <w:lang w:val="en-GB"/>
        </w:rPr>
      </w:pPr>
      <w:r w:rsidRPr="009D2F2D">
        <w:rPr>
          <w:rStyle w:val="FootnoteReference"/>
          <w:rFonts w:ascii="Times New Roman" w:hAnsi="Times New Roman"/>
          <w:sz w:val="16"/>
          <w:szCs w:val="16"/>
          <w:lang w:val="en-GB"/>
        </w:rPr>
        <w:footnoteRef/>
      </w:r>
      <w:r w:rsidRPr="009D2F2D">
        <w:rPr>
          <w:rFonts w:ascii="Times New Roman" w:hAnsi="Times New Roman"/>
          <w:sz w:val="16"/>
          <w:szCs w:val="16"/>
          <w:lang w:val="en-GB"/>
        </w:rPr>
        <w:t xml:space="preserve"> State Budget Report 2016</w:t>
      </w:r>
      <w:r>
        <w:rPr>
          <w:rFonts w:ascii="Times New Roman" w:hAnsi="Times New Roman"/>
          <w:sz w:val="16"/>
          <w:szCs w:val="16"/>
          <w:lang w:val="en-GB"/>
        </w:rPr>
        <w:t>.</w:t>
      </w:r>
    </w:p>
  </w:footnote>
  <w:footnote w:id="20">
    <w:p w14:paraId="0577B05A" w14:textId="77777777" w:rsidR="00956345" w:rsidRPr="009D2F2D" w:rsidRDefault="00956345" w:rsidP="006D586E">
      <w:pPr>
        <w:pStyle w:val="FootnoteText"/>
        <w:ind w:left="737" w:right="1644"/>
        <w:jc w:val="both"/>
        <w:rPr>
          <w:rFonts w:ascii="Times New Roman" w:hAnsi="Times New Roman"/>
          <w:sz w:val="16"/>
          <w:szCs w:val="16"/>
          <w:lang w:val="en-GB"/>
        </w:rPr>
      </w:pPr>
      <w:r w:rsidRPr="009D2F2D">
        <w:rPr>
          <w:rStyle w:val="FootnoteReference"/>
          <w:rFonts w:ascii="Times New Roman" w:hAnsi="Times New Roman"/>
          <w:sz w:val="16"/>
          <w:szCs w:val="16"/>
          <w:lang w:val="en-GB"/>
        </w:rPr>
        <w:footnoteRef/>
      </w:r>
      <w:r w:rsidRPr="009D2F2D">
        <w:rPr>
          <w:rFonts w:ascii="Times New Roman" w:hAnsi="Times New Roman"/>
          <w:sz w:val="16"/>
          <w:szCs w:val="16"/>
          <w:lang w:val="en-GB"/>
        </w:rPr>
        <w:t xml:space="preserve"> The Directorate of Planning is in charge of planning, monitoring and evaluating the National Poverty Reduction Strategy, National Plan and Policies</w:t>
      </w:r>
      <w:r>
        <w:rPr>
          <w:rFonts w:ascii="Times New Roman" w:hAnsi="Times New Roman"/>
          <w:sz w:val="16"/>
          <w:szCs w:val="16"/>
          <w:lang w:val="en-GB"/>
        </w:rPr>
        <w:t>,</w:t>
      </w:r>
      <w:r w:rsidRPr="009D2F2D">
        <w:rPr>
          <w:rFonts w:ascii="Times New Roman" w:hAnsi="Times New Roman"/>
          <w:sz w:val="16"/>
          <w:szCs w:val="16"/>
          <w:lang w:val="en-GB"/>
        </w:rPr>
        <w:t xml:space="preserve"> and the Transformation </w:t>
      </w:r>
      <w:r>
        <w:rPr>
          <w:rFonts w:ascii="Times New Roman" w:hAnsi="Times New Roman"/>
          <w:sz w:val="16"/>
          <w:szCs w:val="16"/>
          <w:lang w:val="en-GB"/>
        </w:rPr>
        <w:t>A</w:t>
      </w:r>
      <w:r w:rsidRPr="009D2F2D">
        <w:rPr>
          <w:rFonts w:ascii="Times New Roman" w:hAnsi="Times New Roman"/>
          <w:sz w:val="16"/>
          <w:szCs w:val="16"/>
          <w:lang w:val="en-GB"/>
        </w:rPr>
        <w:t>genda.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71" w:type="dxa"/>
      <w:tblInd w:w="-170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956345" w:rsidRPr="00F01A18" w14:paraId="1B928DC9" w14:textId="77777777" w:rsidTr="00995A43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14:paraId="422543AB" w14:textId="77777777" w:rsidR="00956345" w:rsidRPr="00F01A18" w:rsidRDefault="00956345" w:rsidP="00995A43">
          <w:pPr>
            <w:tabs>
              <w:tab w:val="center" w:pos="4320"/>
              <w:tab w:val="right" w:pos="8640"/>
            </w:tabs>
            <w:spacing w:after="80"/>
            <w:rPr>
              <w:b/>
              <w:noProof/>
              <w:sz w:val="17"/>
            </w:rPr>
          </w:pPr>
          <w:r w:rsidRPr="00F01A18">
            <w:rPr>
              <w:b/>
              <w:noProof/>
              <w:sz w:val="17"/>
            </w:rPr>
            <w:t>DP/DCP/</w:t>
          </w:r>
          <w:r>
            <w:rPr>
              <w:b/>
              <w:noProof/>
              <w:sz w:val="17"/>
            </w:rPr>
            <w:t>STP</w:t>
          </w:r>
          <w:r w:rsidRPr="00F01A18">
            <w:rPr>
              <w:b/>
              <w:noProof/>
              <w:sz w:val="17"/>
            </w:rPr>
            <w:t>/3</w:t>
          </w:r>
        </w:p>
      </w:tc>
      <w:tc>
        <w:tcPr>
          <w:tcW w:w="5033" w:type="dxa"/>
          <w:shd w:val="clear" w:color="auto" w:fill="auto"/>
          <w:vAlign w:val="bottom"/>
        </w:tcPr>
        <w:p w14:paraId="2AA1C86B" w14:textId="77777777" w:rsidR="00956345" w:rsidRPr="00F01A18" w:rsidRDefault="00956345" w:rsidP="00995A43">
          <w:pPr>
            <w:tabs>
              <w:tab w:val="center" w:pos="4320"/>
              <w:tab w:val="right" w:pos="8640"/>
            </w:tabs>
            <w:jc w:val="right"/>
            <w:rPr>
              <w:noProof/>
              <w:sz w:val="17"/>
            </w:rPr>
          </w:pPr>
        </w:p>
      </w:tc>
    </w:tr>
  </w:tbl>
  <w:p w14:paraId="6056147C" w14:textId="77777777" w:rsidR="00956345" w:rsidRDefault="009563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71" w:type="dxa"/>
      <w:tblInd w:w="-170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956345" w:rsidRPr="00F01A18" w14:paraId="17F8BEAA" w14:textId="77777777" w:rsidTr="00995A43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14:paraId="3FA2F978" w14:textId="77777777" w:rsidR="00956345" w:rsidRPr="00F01A18" w:rsidRDefault="00956345" w:rsidP="00F01A18">
          <w:pPr>
            <w:tabs>
              <w:tab w:val="center" w:pos="4320"/>
              <w:tab w:val="right" w:pos="8640"/>
            </w:tabs>
            <w:spacing w:after="80"/>
            <w:rPr>
              <w:b/>
              <w:noProof/>
              <w:sz w:val="17"/>
            </w:rPr>
          </w:pPr>
        </w:p>
      </w:tc>
      <w:tc>
        <w:tcPr>
          <w:tcW w:w="5033" w:type="dxa"/>
          <w:shd w:val="clear" w:color="auto" w:fill="auto"/>
          <w:vAlign w:val="bottom"/>
        </w:tcPr>
        <w:p w14:paraId="6A494569" w14:textId="77777777" w:rsidR="00956345" w:rsidRPr="00F01A18" w:rsidRDefault="00956345" w:rsidP="00F01A18">
          <w:pPr>
            <w:tabs>
              <w:tab w:val="center" w:pos="4320"/>
              <w:tab w:val="right" w:pos="8640"/>
            </w:tabs>
            <w:jc w:val="right"/>
            <w:rPr>
              <w:b/>
              <w:noProof/>
              <w:sz w:val="17"/>
            </w:rPr>
          </w:pPr>
          <w:r w:rsidRPr="00995A43">
            <w:rPr>
              <w:b/>
              <w:noProof/>
              <w:sz w:val="17"/>
            </w:rPr>
            <w:t>DP/DCP/STP/3</w:t>
          </w:r>
        </w:p>
      </w:tc>
    </w:tr>
  </w:tbl>
  <w:p w14:paraId="3CB73A5A" w14:textId="77777777" w:rsidR="00956345" w:rsidRDefault="009563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872"/>
      <w:gridCol w:w="245"/>
      <w:gridCol w:w="3110"/>
      <w:gridCol w:w="245"/>
      <w:gridCol w:w="3140"/>
      <w:gridCol w:w="28"/>
    </w:tblGrid>
    <w:tr w:rsidR="00956345" w:rsidRPr="00B4798F" w14:paraId="36FC2B6D" w14:textId="77777777" w:rsidTr="00995A43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0E3717C9" w14:textId="77777777" w:rsidR="00956345" w:rsidRPr="00B4798F" w:rsidRDefault="00956345" w:rsidP="00B4798F">
          <w:pPr>
            <w:tabs>
              <w:tab w:val="center" w:pos="4320"/>
              <w:tab w:val="right" w:pos="8640"/>
            </w:tabs>
            <w:spacing w:after="120"/>
            <w:rPr>
              <w:noProof/>
              <w:sz w:val="17"/>
            </w:rPr>
          </w:pPr>
        </w:p>
      </w:tc>
      <w:tc>
        <w:tcPr>
          <w:tcW w:w="1872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72982803" w14:textId="77777777" w:rsidR="00956345" w:rsidRPr="00B4798F" w:rsidRDefault="00956345" w:rsidP="00B4798F">
          <w:pPr>
            <w:keepNext/>
            <w:keepLines/>
            <w:tabs>
              <w:tab w:val="right" w:pos="1022"/>
              <w:tab w:val="left" w:pos="1267"/>
              <w:tab w:val="left" w:pos="1742"/>
              <w:tab w:val="left" w:pos="2218"/>
              <w:tab w:val="left" w:pos="2693"/>
              <w:tab w:val="left" w:pos="3182"/>
              <w:tab w:val="left" w:pos="3658"/>
              <w:tab w:val="left" w:pos="4133"/>
              <w:tab w:val="left" w:pos="4622"/>
              <w:tab w:val="left" w:pos="5098"/>
              <w:tab w:val="left" w:pos="5573"/>
              <w:tab w:val="left" w:pos="6048"/>
            </w:tabs>
            <w:suppressAutoHyphens/>
            <w:spacing w:after="80" w:line="300" w:lineRule="exact"/>
            <w:outlineLvl w:val="0"/>
            <w:rPr>
              <w:spacing w:val="2"/>
              <w:w w:val="96"/>
              <w:kern w:val="14"/>
              <w:sz w:val="28"/>
              <w:lang w:val="en-GB"/>
            </w:rPr>
          </w:pPr>
          <w:r w:rsidRPr="00B4798F">
            <w:rPr>
              <w:spacing w:val="2"/>
              <w:w w:val="96"/>
              <w:kern w:val="14"/>
              <w:sz w:val="28"/>
              <w:lang w:val="en-GB"/>
            </w:rPr>
            <w:t>United Nations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52440046" w14:textId="77777777" w:rsidR="00956345" w:rsidRPr="00B4798F" w:rsidRDefault="00956345" w:rsidP="00B4798F">
          <w:pPr>
            <w:tabs>
              <w:tab w:val="center" w:pos="4320"/>
              <w:tab w:val="right" w:pos="8640"/>
            </w:tabs>
            <w:spacing w:after="120"/>
            <w:rPr>
              <w:noProof/>
              <w:sz w:val="17"/>
            </w:rPr>
          </w:pPr>
        </w:p>
      </w:tc>
      <w:tc>
        <w:tcPr>
          <w:tcW w:w="652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14:paraId="15CB655C" w14:textId="77777777" w:rsidR="00956345" w:rsidRPr="00B4798F" w:rsidRDefault="00956345" w:rsidP="00B4798F">
          <w:pPr>
            <w:suppressAutoHyphens/>
            <w:spacing w:after="80"/>
            <w:jc w:val="right"/>
            <w:rPr>
              <w:spacing w:val="4"/>
              <w:w w:val="103"/>
              <w:kern w:val="14"/>
              <w:position w:val="-4"/>
              <w:lang w:val="en-GB"/>
            </w:rPr>
          </w:pPr>
          <w:r w:rsidRPr="00B4798F">
            <w:rPr>
              <w:spacing w:val="4"/>
              <w:w w:val="103"/>
              <w:kern w:val="14"/>
              <w:position w:val="-4"/>
              <w:sz w:val="40"/>
              <w:lang w:val="en-GB"/>
            </w:rPr>
            <w:t>DP</w:t>
          </w:r>
          <w:r w:rsidRPr="00B4798F">
            <w:rPr>
              <w:spacing w:val="4"/>
              <w:w w:val="103"/>
              <w:kern w:val="14"/>
              <w:position w:val="-4"/>
              <w:lang w:val="en-GB"/>
            </w:rPr>
            <w:t>/DCP/</w:t>
          </w:r>
          <w:r>
            <w:rPr>
              <w:spacing w:val="4"/>
              <w:w w:val="103"/>
              <w:kern w:val="14"/>
              <w:position w:val="-4"/>
              <w:lang w:val="en-GB"/>
            </w:rPr>
            <w:t>STP</w:t>
          </w:r>
          <w:r w:rsidRPr="00B4798F">
            <w:rPr>
              <w:spacing w:val="4"/>
              <w:w w:val="103"/>
              <w:kern w:val="14"/>
              <w:position w:val="-4"/>
              <w:lang w:val="en-GB"/>
            </w:rPr>
            <w:t>/3</w:t>
          </w:r>
        </w:p>
      </w:tc>
    </w:tr>
    <w:tr w:rsidR="00956345" w:rsidRPr="00B4798F" w14:paraId="06386BED" w14:textId="77777777" w:rsidTr="00995A43">
      <w:trPr>
        <w:gridAfter w:val="1"/>
        <w:wAfter w:w="2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031AC680" w14:textId="77777777" w:rsidR="00956345" w:rsidRPr="00B4798F" w:rsidRDefault="00956345" w:rsidP="00B4798F">
          <w:pPr>
            <w:tabs>
              <w:tab w:val="center" w:pos="4320"/>
              <w:tab w:val="right" w:pos="8640"/>
            </w:tabs>
            <w:spacing w:before="109"/>
            <w:rPr>
              <w:noProof/>
              <w:sz w:val="17"/>
            </w:rPr>
          </w:pPr>
          <w:r w:rsidRPr="00B4798F">
            <w:rPr>
              <w:noProof/>
              <w:sz w:val="17"/>
            </w:rPr>
            <w:t xml:space="preserve"> </w:t>
          </w:r>
          <w:r w:rsidRPr="00B4798F">
            <w:rPr>
              <w:noProof/>
              <w:sz w:val="17"/>
            </w:rPr>
            <w:drawing>
              <wp:inline distT="0" distB="0" distL="0" distR="0" wp14:anchorId="063FEF02" wp14:editId="5DC0CD5B">
                <wp:extent cx="702945" cy="592455"/>
                <wp:effectExtent l="0" t="0" r="1905" b="0"/>
                <wp:docPr id="5" name="Picture 5" descr="_un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un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53DBE12" w14:textId="77777777" w:rsidR="00956345" w:rsidRPr="00B4798F" w:rsidRDefault="00956345" w:rsidP="00B4798F">
          <w:pPr>
            <w:tabs>
              <w:tab w:val="center" w:pos="4320"/>
              <w:tab w:val="right" w:pos="8640"/>
            </w:tabs>
            <w:spacing w:before="109"/>
            <w:rPr>
              <w:noProof/>
              <w:sz w:val="17"/>
            </w:rPr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1CB17A68" w14:textId="77777777" w:rsidR="00956345" w:rsidRPr="00B4798F" w:rsidRDefault="00956345" w:rsidP="00B4798F">
          <w:pPr>
            <w:keepNext/>
            <w:keepLines/>
            <w:tabs>
              <w:tab w:val="right" w:pos="1022"/>
              <w:tab w:val="left" w:pos="1267"/>
              <w:tab w:val="left" w:pos="1742"/>
              <w:tab w:val="left" w:pos="2218"/>
              <w:tab w:val="left" w:pos="2693"/>
              <w:tab w:val="left" w:pos="3182"/>
              <w:tab w:val="left" w:pos="3658"/>
              <w:tab w:val="left" w:pos="4133"/>
              <w:tab w:val="left" w:pos="4622"/>
              <w:tab w:val="left" w:pos="5098"/>
              <w:tab w:val="left" w:pos="5573"/>
              <w:tab w:val="left" w:pos="6048"/>
            </w:tabs>
            <w:suppressAutoHyphens/>
            <w:spacing w:before="109"/>
            <w:outlineLvl w:val="0"/>
            <w:rPr>
              <w:b/>
              <w:sz w:val="34"/>
            </w:rPr>
          </w:pPr>
          <w:r w:rsidRPr="00B4798F">
            <w:rPr>
              <w:b/>
              <w:sz w:val="34"/>
            </w:rPr>
            <w:t>Executive Board of the</w:t>
          </w:r>
          <w:r w:rsidRPr="00B4798F">
            <w:rPr>
              <w:b/>
              <w:sz w:val="34"/>
            </w:rPr>
            <w:br/>
            <w:t>United Nations Development</w:t>
          </w:r>
          <w:r w:rsidRPr="00B4798F">
            <w:rPr>
              <w:b/>
              <w:sz w:val="34"/>
            </w:rPr>
            <w:br/>
            <w:t xml:space="preserve">Programme, the United Nations Population Fund and the </w:t>
          </w:r>
        </w:p>
        <w:p w14:paraId="5FB1A54C" w14:textId="77777777" w:rsidR="00956345" w:rsidRPr="00B4798F" w:rsidRDefault="00956345" w:rsidP="00B4798F">
          <w:pPr>
            <w:keepNext/>
            <w:keepLines/>
            <w:tabs>
              <w:tab w:val="right" w:pos="1022"/>
              <w:tab w:val="left" w:pos="1267"/>
              <w:tab w:val="left" w:pos="1742"/>
              <w:tab w:val="left" w:pos="2218"/>
              <w:tab w:val="left" w:pos="2693"/>
              <w:tab w:val="left" w:pos="3182"/>
              <w:tab w:val="left" w:pos="3658"/>
              <w:tab w:val="left" w:pos="4133"/>
              <w:tab w:val="left" w:pos="4622"/>
              <w:tab w:val="left" w:pos="5098"/>
              <w:tab w:val="left" w:pos="5573"/>
              <w:tab w:val="left" w:pos="6048"/>
            </w:tabs>
            <w:suppressAutoHyphens/>
            <w:outlineLvl w:val="0"/>
            <w:rPr>
              <w:b/>
              <w:sz w:val="34"/>
            </w:rPr>
          </w:pPr>
          <w:r w:rsidRPr="00B4798F">
            <w:rPr>
              <w:b/>
              <w:sz w:val="34"/>
            </w:rPr>
            <w:t xml:space="preserve">United Nations Office for </w:t>
          </w:r>
        </w:p>
        <w:p w14:paraId="3D1F3352" w14:textId="77777777" w:rsidR="00956345" w:rsidRPr="00B4798F" w:rsidRDefault="00956345" w:rsidP="00B4798F">
          <w:pPr>
            <w:keepNext/>
            <w:keepLines/>
            <w:tabs>
              <w:tab w:val="right" w:pos="1022"/>
              <w:tab w:val="left" w:pos="1267"/>
              <w:tab w:val="left" w:pos="1742"/>
              <w:tab w:val="left" w:pos="2218"/>
              <w:tab w:val="left" w:pos="2693"/>
              <w:tab w:val="left" w:pos="3182"/>
              <w:tab w:val="left" w:pos="3658"/>
              <w:tab w:val="left" w:pos="4133"/>
              <w:tab w:val="left" w:pos="4622"/>
              <w:tab w:val="left" w:pos="5098"/>
              <w:tab w:val="left" w:pos="5573"/>
              <w:tab w:val="left" w:pos="6048"/>
            </w:tabs>
            <w:suppressAutoHyphens/>
            <w:outlineLvl w:val="0"/>
            <w:rPr>
              <w:b/>
              <w:spacing w:val="-4"/>
              <w:w w:val="98"/>
              <w:kern w:val="14"/>
              <w:sz w:val="34"/>
              <w:lang w:val="en-GB"/>
            </w:rPr>
          </w:pPr>
          <w:r w:rsidRPr="00B4798F">
            <w:rPr>
              <w:b/>
              <w:sz w:val="34"/>
            </w:rPr>
            <w:t>Project Services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71009B0A" w14:textId="77777777" w:rsidR="00956345" w:rsidRPr="00B4798F" w:rsidRDefault="00956345" w:rsidP="00B4798F">
          <w:pPr>
            <w:tabs>
              <w:tab w:val="center" w:pos="4320"/>
              <w:tab w:val="right" w:pos="8640"/>
            </w:tabs>
            <w:spacing w:before="109"/>
            <w:rPr>
              <w:noProof/>
              <w:sz w:val="17"/>
            </w:rPr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3F48CF0F" w14:textId="77777777" w:rsidR="00956345" w:rsidRPr="00B4798F" w:rsidRDefault="00956345" w:rsidP="00B4798F">
          <w:pPr>
            <w:suppressAutoHyphens/>
            <w:spacing w:before="240" w:line="240" w:lineRule="exact"/>
            <w:rPr>
              <w:spacing w:val="4"/>
              <w:w w:val="103"/>
              <w:kern w:val="14"/>
              <w:lang w:val="en-GB"/>
            </w:rPr>
          </w:pPr>
          <w:r w:rsidRPr="00B4798F">
            <w:rPr>
              <w:spacing w:val="4"/>
              <w:w w:val="103"/>
              <w:kern w:val="14"/>
              <w:lang w:val="en-GB"/>
            </w:rPr>
            <w:t>Distr.: General</w:t>
          </w:r>
        </w:p>
        <w:p w14:paraId="673C592D" w14:textId="3F51A533" w:rsidR="00956345" w:rsidRPr="00B4798F" w:rsidRDefault="00A419B7" w:rsidP="00B4798F">
          <w:pPr>
            <w:suppressAutoHyphens/>
            <w:spacing w:line="240" w:lineRule="exact"/>
            <w:rPr>
              <w:spacing w:val="4"/>
              <w:w w:val="103"/>
              <w:kern w:val="14"/>
              <w:lang w:val="en-GB"/>
            </w:rPr>
          </w:pPr>
          <w:r>
            <w:rPr>
              <w:spacing w:val="4"/>
              <w:w w:val="103"/>
              <w:kern w:val="14"/>
              <w:lang w:val="en-GB"/>
            </w:rPr>
            <w:t>13</w:t>
          </w:r>
          <w:r w:rsidR="00956345" w:rsidRPr="00B4798F">
            <w:rPr>
              <w:spacing w:val="4"/>
              <w:w w:val="103"/>
              <w:kern w:val="14"/>
              <w:lang w:val="en-GB"/>
            </w:rPr>
            <w:t xml:space="preserve"> June 2016</w:t>
          </w:r>
        </w:p>
        <w:p w14:paraId="1135EE50" w14:textId="77777777" w:rsidR="00956345" w:rsidRPr="00B4798F" w:rsidRDefault="00956345" w:rsidP="00B4798F">
          <w:pPr>
            <w:suppressAutoHyphens/>
            <w:spacing w:line="240" w:lineRule="exact"/>
            <w:rPr>
              <w:spacing w:val="4"/>
              <w:w w:val="103"/>
              <w:kern w:val="14"/>
              <w:lang w:val="en-GB"/>
            </w:rPr>
          </w:pPr>
        </w:p>
        <w:p w14:paraId="5D043A2B" w14:textId="77777777" w:rsidR="00956345" w:rsidRPr="00B4798F" w:rsidRDefault="00956345" w:rsidP="00B4798F">
          <w:pPr>
            <w:suppressAutoHyphens/>
            <w:spacing w:line="240" w:lineRule="exact"/>
            <w:rPr>
              <w:spacing w:val="4"/>
              <w:w w:val="103"/>
              <w:kern w:val="14"/>
              <w:lang w:val="en-GB"/>
            </w:rPr>
          </w:pPr>
          <w:r w:rsidRPr="00B4798F">
            <w:rPr>
              <w:spacing w:val="4"/>
              <w:w w:val="103"/>
              <w:kern w:val="14"/>
              <w:lang w:val="en-GB"/>
            </w:rPr>
            <w:t>Original: English</w:t>
          </w:r>
        </w:p>
      </w:tc>
    </w:tr>
  </w:tbl>
  <w:p w14:paraId="3D911094" w14:textId="77777777" w:rsidR="00956345" w:rsidRDefault="00956345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5B60B" w14:textId="77777777" w:rsidR="00956345" w:rsidRDefault="0095634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8930DA6" wp14:editId="4C7F813B">
              <wp:simplePos x="0" y="0"/>
              <wp:positionH relativeFrom="column">
                <wp:posOffset>-464185</wp:posOffset>
              </wp:positionH>
              <wp:positionV relativeFrom="paragraph">
                <wp:posOffset>-307340</wp:posOffset>
              </wp:positionV>
              <wp:extent cx="9610725" cy="640080"/>
              <wp:effectExtent l="0" t="0" r="952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10725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5120" w:type="dxa"/>
                            <w:tblBorders>
                              <w:bottom w:val="single" w:sz="4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838"/>
                            <w:gridCol w:w="10282"/>
                          </w:tblGrid>
                          <w:tr w:rsidR="00956345" w:rsidRPr="005841A3" w14:paraId="1D9B6290" w14:textId="77777777" w:rsidTr="00A16798">
                            <w:trPr>
                              <w:trHeight w:hRule="exact" w:val="864"/>
                            </w:trPr>
                            <w:tc>
                              <w:tcPr>
                                <w:tcW w:w="4838" w:type="dxa"/>
                                <w:tcBorders>
                                  <w:bottom w:val="single" w:sz="4" w:space="0" w:color="auto"/>
                                </w:tcBorders>
                                <w:vAlign w:val="bottom"/>
                              </w:tcPr>
                              <w:p w14:paraId="4FD95B8F" w14:textId="77777777" w:rsidR="00956345" w:rsidRPr="00F00CC8" w:rsidRDefault="00956345" w:rsidP="005841A3">
                                <w:pPr>
                                  <w:pStyle w:val="Header"/>
                                  <w:spacing w:after="80"/>
                                  <w:rPr>
                                    <w:rFonts w:ascii="Times New Roman" w:hAnsi="Times New Roman"/>
                                    <w:b/>
                                    <w:sz w:val="17"/>
                                    <w:szCs w:val="17"/>
                                  </w:rPr>
                                </w:pPr>
                                <w:r w:rsidRPr="00411D5F">
                                  <w:rPr>
                                    <w:rFonts w:ascii="Times New Roman" w:hAnsi="Times New Roman"/>
                                    <w:b/>
                                    <w:sz w:val="17"/>
                                    <w:szCs w:val="17"/>
                                  </w:rPr>
                                  <w:t>DP/DCP/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17"/>
                                    <w:szCs w:val="17"/>
                                  </w:rPr>
                                  <w:t>STP/3</w:t>
                                </w:r>
                              </w:p>
                            </w:tc>
                            <w:tc>
                              <w:tcPr>
                                <w:tcW w:w="10282" w:type="dxa"/>
                                <w:tcBorders>
                                  <w:bottom w:val="single" w:sz="4" w:space="0" w:color="auto"/>
                                </w:tcBorders>
                                <w:vAlign w:val="bottom"/>
                              </w:tcPr>
                              <w:p w14:paraId="609A6180" w14:textId="77777777" w:rsidR="00956345" w:rsidRPr="00F00CC8" w:rsidRDefault="00956345">
                                <w:pPr>
                                  <w:pStyle w:val="Header"/>
                                  <w:rPr>
                                    <w:rFonts w:ascii="Times New Roman" w:hAnsi="Times New Roman"/>
                                    <w:sz w:val="17"/>
                                    <w:szCs w:val="17"/>
                                  </w:rPr>
                                </w:pPr>
                              </w:p>
                            </w:tc>
                          </w:tr>
                        </w:tbl>
                        <w:p w14:paraId="6D20F9D6" w14:textId="77777777" w:rsidR="00956345" w:rsidRDefault="00956345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930DA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6.55pt;margin-top:-24.2pt;width:756.75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" o:allowincell="f" stroked="f">
              <v:textbox inset="0,0,0,0">
                <w:txbxContent>
                  <w:tbl>
                    <w:tblPr>
                      <w:tblW w:w="15120" w:type="dxa"/>
                      <w:tblBorders>
                        <w:bottom w:val="single" w:sz="4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838"/>
                      <w:gridCol w:w="10282"/>
                    </w:tblGrid>
                    <w:tr w:rsidR="00956345" w:rsidRPr="005841A3" w14:paraId="1D9B6290" w14:textId="77777777" w:rsidTr="00A16798">
                      <w:trPr>
                        <w:trHeight w:hRule="exact" w:val="864"/>
                      </w:trPr>
                      <w:tc>
                        <w:tcPr>
                          <w:tcW w:w="4838" w:type="dxa"/>
                          <w:tcBorders>
                            <w:bottom w:val="single" w:sz="4" w:space="0" w:color="auto"/>
                          </w:tcBorders>
                          <w:vAlign w:val="bottom"/>
                        </w:tcPr>
                        <w:p w14:paraId="4FD95B8F" w14:textId="77777777" w:rsidR="00956345" w:rsidRPr="00F00CC8" w:rsidRDefault="00956345" w:rsidP="005841A3">
                          <w:pPr>
                            <w:pStyle w:val="Header"/>
                            <w:spacing w:after="80"/>
                            <w:rPr>
                              <w:rFonts w:ascii="Times New Roman" w:hAnsi="Times New Roman"/>
                              <w:b/>
                              <w:sz w:val="17"/>
                              <w:szCs w:val="17"/>
                            </w:rPr>
                          </w:pPr>
                          <w:r w:rsidRPr="00411D5F">
                            <w:rPr>
                              <w:rFonts w:ascii="Times New Roman" w:hAnsi="Times New Roman"/>
                              <w:b/>
                              <w:sz w:val="17"/>
                              <w:szCs w:val="17"/>
                            </w:rPr>
                            <w:t>DP/DCP/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  <w:szCs w:val="17"/>
                            </w:rPr>
                            <w:t>STP/3</w:t>
                          </w:r>
                        </w:p>
                      </w:tc>
                      <w:tc>
                        <w:tcPr>
                          <w:tcW w:w="10282" w:type="dxa"/>
                          <w:tcBorders>
                            <w:bottom w:val="single" w:sz="4" w:space="0" w:color="auto"/>
                          </w:tcBorders>
                          <w:vAlign w:val="bottom"/>
                        </w:tcPr>
                        <w:p w14:paraId="609A6180" w14:textId="77777777" w:rsidR="00956345" w:rsidRPr="00F00CC8" w:rsidRDefault="00956345">
                          <w:pPr>
                            <w:pStyle w:val="Header"/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</w:pPr>
                        </w:p>
                      </w:tc>
                    </w:tr>
                  </w:tbl>
                  <w:p w14:paraId="6D20F9D6" w14:textId="77777777" w:rsidR="00956345" w:rsidRDefault="00956345"/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480" w:type="dxa"/>
      <w:tblInd w:w="-630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9642"/>
    </w:tblGrid>
    <w:tr w:rsidR="00956345" w:rsidRPr="00F01A18" w14:paraId="18728E66" w14:textId="77777777" w:rsidTr="00A16798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14:paraId="15799FB2" w14:textId="77777777" w:rsidR="00956345" w:rsidRPr="00F01A18" w:rsidRDefault="00956345" w:rsidP="00A16798">
          <w:pPr>
            <w:tabs>
              <w:tab w:val="center" w:pos="4320"/>
              <w:tab w:val="right" w:pos="8640"/>
            </w:tabs>
            <w:spacing w:after="80"/>
            <w:ind w:left="-460" w:firstLine="460"/>
            <w:rPr>
              <w:b/>
              <w:noProof/>
              <w:sz w:val="17"/>
            </w:rPr>
          </w:pPr>
        </w:p>
      </w:tc>
      <w:tc>
        <w:tcPr>
          <w:tcW w:w="9642" w:type="dxa"/>
          <w:shd w:val="clear" w:color="auto" w:fill="auto"/>
          <w:vAlign w:val="bottom"/>
        </w:tcPr>
        <w:p w14:paraId="75F022C3" w14:textId="77777777" w:rsidR="00956345" w:rsidRPr="00F01A18" w:rsidRDefault="00956345" w:rsidP="00F01A18">
          <w:pPr>
            <w:tabs>
              <w:tab w:val="center" w:pos="4320"/>
              <w:tab w:val="right" w:pos="8640"/>
            </w:tabs>
            <w:jc w:val="right"/>
            <w:rPr>
              <w:b/>
              <w:noProof/>
              <w:sz w:val="17"/>
            </w:rPr>
          </w:pPr>
          <w:r w:rsidRPr="00995A43">
            <w:rPr>
              <w:b/>
              <w:noProof/>
              <w:sz w:val="17"/>
            </w:rPr>
            <w:t>DP/DCP/STP/3</w:t>
          </w:r>
        </w:p>
      </w:tc>
    </w:tr>
  </w:tbl>
  <w:p w14:paraId="7DCDA6C2" w14:textId="77777777" w:rsidR="00956345" w:rsidRDefault="009563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F52E0"/>
    <w:multiLevelType w:val="hybridMultilevel"/>
    <w:tmpl w:val="38EC20F2"/>
    <w:lvl w:ilvl="0" w:tplc="38D6B1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E4A26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9A3B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5288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EAEC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2CD1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36B9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B2D1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1CF07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31350"/>
    <w:multiLevelType w:val="hybridMultilevel"/>
    <w:tmpl w:val="8FE0F0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3F4861"/>
    <w:multiLevelType w:val="hybridMultilevel"/>
    <w:tmpl w:val="D5D02B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81802A0"/>
    <w:multiLevelType w:val="hybridMultilevel"/>
    <w:tmpl w:val="BC38319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D6C26"/>
    <w:multiLevelType w:val="hybridMultilevel"/>
    <w:tmpl w:val="6762B67A"/>
    <w:lvl w:ilvl="0" w:tplc="CC22D8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A1298B"/>
    <w:multiLevelType w:val="hybridMultilevel"/>
    <w:tmpl w:val="0CC43C0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34170"/>
    <w:multiLevelType w:val="hybridMultilevel"/>
    <w:tmpl w:val="002A9C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E5FD5"/>
    <w:multiLevelType w:val="hybridMultilevel"/>
    <w:tmpl w:val="84B0F202"/>
    <w:lvl w:ilvl="0" w:tplc="582AC86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9F4E31"/>
    <w:multiLevelType w:val="hybridMultilevel"/>
    <w:tmpl w:val="2B248E64"/>
    <w:lvl w:ilvl="0" w:tplc="00504498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09154C"/>
    <w:multiLevelType w:val="hybridMultilevel"/>
    <w:tmpl w:val="2B248E64"/>
    <w:lvl w:ilvl="0" w:tplc="00504498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83326B"/>
    <w:multiLevelType w:val="hybridMultilevel"/>
    <w:tmpl w:val="60D8B13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975C6"/>
    <w:multiLevelType w:val="hybridMultilevel"/>
    <w:tmpl w:val="900A56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75E0F"/>
    <w:multiLevelType w:val="multilevel"/>
    <w:tmpl w:val="6B8898FE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1242"/>
        </w:tabs>
        <w:ind w:left="1242" w:hanging="432"/>
      </w:pPr>
      <w:rPr>
        <w:b w:val="0"/>
        <w:i w:val="0"/>
      </w:rPr>
    </w:lvl>
    <w:lvl w:ilvl="3">
      <w:start w:val="1"/>
      <w:numFmt w:val="lowerLetter"/>
      <w:lvlText w:val="(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(%5)"/>
      <w:lvlJc w:val="left"/>
      <w:pPr>
        <w:tabs>
          <w:tab w:val="num" w:pos="3024"/>
        </w:tabs>
        <w:ind w:left="3024" w:hanging="432"/>
      </w:pPr>
    </w:lvl>
    <w:lvl w:ilvl="5">
      <w:start w:val="1"/>
      <w:numFmt w:val="bullet"/>
      <w:lvlText w:val=""/>
      <w:lvlJc w:val="left"/>
      <w:pPr>
        <w:tabs>
          <w:tab w:val="num" w:pos="3456"/>
        </w:tabs>
        <w:ind w:left="3456" w:hanging="432"/>
      </w:pPr>
      <w:rPr>
        <w:rFonts w:ascii="Symbol" w:hAnsi="Symbol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47333B7B"/>
    <w:multiLevelType w:val="hybridMultilevel"/>
    <w:tmpl w:val="8C0E6E5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13A12"/>
    <w:multiLevelType w:val="hybridMultilevel"/>
    <w:tmpl w:val="0090D9D6"/>
    <w:lvl w:ilvl="0" w:tplc="04100017">
      <w:start w:val="1"/>
      <w:numFmt w:val="lowerLetter"/>
      <w:lvlText w:val="%1)"/>
      <w:lvlJc w:val="left"/>
      <w:pPr>
        <w:ind w:left="184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565" w:hanging="360"/>
      </w:pPr>
    </w:lvl>
    <w:lvl w:ilvl="2" w:tplc="0816001B" w:tentative="1">
      <w:start w:val="1"/>
      <w:numFmt w:val="lowerRoman"/>
      <w:lvlText w:val="%3."/>
      <w:lvlJc w:val="right"/>
      <w:pPr>
        <w:ind w:left="3285" w:hanging="180"/>
      </w:pPr>
    </w:lvl>
    <w:lvl w:ilvl="3" w:tplc="0816000F" w:tentative="1">
      <w:start w:val="1"/>
      <w:numFmt w:val="decimal"/>
      <w:lvlText w:val="%4."/>
      <w:lvlJc w:val="left"/>
      <w:pPr>
        <w:ind w:left="4005" w:hanging="360"/>
      </w:pPr>
    </w:lvl>
    <w:lvl w:ilvl="4" w:tplc="08160019" w:tentative="1">
      <w:start w:val="1"/>
      <w:numFmt w:val="lowerLetter"/>
      <w:lvlText w:val="%5."/>
      <w:lvlJc w:val="left"/>
      <w:pPr>
        <w:ind w:left="4725" w:hanging="360"/>
      </w:pPr>
    </w:lvl>
    <w:lvl w:ilvl="5" w:tplc="0816001B" w:tentative="1">
      <w:start w:val="1"/>
      <w:numFmt w:val="lowerRoman"/>
      <w:lvlText w:val="%6."/>
      <w:lvlJc w:val="right"/>
      <w:pPr>
        <w:ind w:left="5445" w:hanging="180"/>
      </w:pPr>
    </w:lvl>
    <w:lvl w:ilvl="6" w:tplc="0816000F" w:tentative="1">
      <w:start w:val="1"/>
      <w:numFmt w:val="decimal"/>
      <w:lvlText w:val="%7."/>
      <w:lvlJc w:val="left"/>
      <w:pPr>
        <w:ind w:left="6165" w:hanging="360"/>
      </w:pPr>
    </w:lvl>
    <w:lvl w:ilvl="7" w:tplc="08160019" w:tentative="1">
      <w:start w:val="1"/>
      <w:numFmt w:val="lowerLetter"/>
      <w:lvlText w:val="%8."/>
      <w:lvlJc w:val="left"/>
      <w:pPr>
        <w:ind w:left="6885" w:hanging="360"/>
      </w:pPr>
    </w:lvl>
    <w:lvl w:ilvl="8" w:tplc="0816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5" w15:restartNumberingAfterBreak="0">
    <w:nsid w:val="4E6F341D"/>
    <w:multiLevelType w:val="hybridMultilevel"/>
    <w:tmpl w:val="2B248E64"/>
    <w:lvl w:ilvl="0" w:tplc="00504498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04E7936"/>
    <w:multiLevelType w:val="hybridMultilevel"/>
    <w:tmpl w:val="10EC8B3E"/>
    <w:lvl w:ilvl="0" w:tplc="DA6AAB24">
      <w:start w:val="1"/>
      <w:numFmt w:val="decimal"/>
      <w:lvlText w:val="%1)"/>
      <w:lvlJc w:val="left"/>
      <w:pPr>
        <w:ind w:left="184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565" w:hanging="360"/>
      </w:pPr>
    </w:lvl>
    <w:lvl w:ilvl="2" w:tplc="0816001B" w:tentative="1">
      <w:start w:val="1"/>
      <w:numFmt w:val="lowerRoman"/>
      <w:lvlText w:val="%3."/>
      <w:lvlJc w:val="right"/>
      <w:pPr>
        <w:ind w:left="3285" w:hanging="180"/>
      </w:pPr>
    </w:lvl>
    <w:lvl w:ilvl="3" w:tplc="0816000F" w:tentative="1">
      <w:start w:val="1"/>
      <w:numFmt w:val="decimal"/>
      <w:lvlText w:val="%4."/>
      <w:lvlJc w:val="left"/>
      <w:pPr>
        <w:ind w:left="4005" w:hanging="360"/>
      </w:pPr>
    </w:lvl>
    <w:lvl w:ilvl="4" w:tplc="08160019" w:tentative="1">
      <w:start w:val="1"/>
      <w:numFmt w:val="lowerLetter"/>
      <w:lvlText w:val="%5."/>
      <w:lvlJc w:val="left"/>
      <w:pPr>
        <w:ind w:left="4725" w:hanging="360"/>
      </w:pPr>
    </w:lvl>
    <w:lvl w:ilvl="5" w:tplc="0816001B" w:tentative="1">
      <w:start w:val="1"/>
      <w:numFmt w:val="lowerRoman"/>
      <w:lvlText w:val="%6."/>
      <w:lvlJc w:val="right"/>
      <w:pPr>
        <w:ind w:left="5445" w:hanging="180"/>
      </w:pPr>
    </w:lvl>
    <w:lvl w:ilvl="6" w:tplc="0816000F" w:tentative="1">
      <w:start w:val="1"/>
      <w:numFmt w:val="decimal"/>
      <w:lvlText w:val="%7."/>
      <w:lvlJc w:val="left"/>
      <w:pPr>
        <w:ind w:left="6165" w:hanging="360"/>
      </w:pPr>
    </w:lvl>
    <w:lvl w:ilvl="7" w:tplc="08160019" w:tentative="1">
      <w:start w:val="1"/>
      <w:numFmt w:val="lowerLetter"/>
      <w:lvlText w:val="%8."/>
      <w:lvlJc w:val="left"/>
      <w:pPr>
        <w:ind w:left="6885" w:hanging="360"/>
      </w:pPr>
    </w:lvl>
    <w:lvl w:ilvl="8" w:tplc="0816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7" w15:restartNumberingAfterBreak="0">
    <w:nsid w:val="50CC622A"/>
    <w:multiLevelType w:val="hybridMultilevel"/>
    <w:tmpl w:val="B3183AE0"/>
    <w:lvl w:ilvl="0" w:tplc="7AEAE0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DA71DC"/>
    <w:multiLevelType w:val="hybridMultilevel"/>
    <w:tmpl w:val="2B248E64"/>
    <w:lvl w:ilvl="0" w:tplc="00504498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1DC39E0"/>
    <w:multiLevelType w:val="hybridMultilevel"/>
    <w:tmpl w:val="2B248E64"/>
    <w:lvl w:ilvl="0" w:tplc="00504498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63745FD"/>
    <w:multiLevelType w:val="hybridMultilevel"/>
    <w:tmpl w:val="3DE26E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5562588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AE55735"/>
    <w:multiLevelType w:val="hybridMultilevel"/>
    <w:tmpl w:val="6B1234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815C23"/>
    <w:multiLevelType w:val="hybridMultilevel"/>
    <w:tmpl w:val="197E648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B033B9"/>
    <w:multiLevelType w:val="hybridMultilevel"/>
    <w:tmpl w:val="900A56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CD12DA"/>
    <w:multiLevelType w:val="hybridMultilevel"/>
    <w:tmpl w:val="4C9EB0C6"/>
    <w:lvl w:ilvl="0" w:tplc="08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20112C0"/>
    <w:multiLevelType w:val="hybridMultilevel"/>
    <w:tmpl w:val="6C348716"/>
    <w:lvl w:ilvl="0" w:tplc="0712AAE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AA92CC9"/>
    <w:multiLevelType w:val="hybridMultilevel"/>
    <w:tmpl w:val="A9967C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62320F"/>
    <w:multiLevelType w:val="hybridMultilevel"/>
    <w:tmpl w:val="FE9E858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5A32C9"/>
    <w:multiLevelType w:val="hybridMultilevel"/>
    <w:tmpl w:val="94E23F2A"/>
    <w:lvl w:ilvl="0" w:tplc="A1E2EF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0E5F8A"/>
    <w:multiLevelType w:val="hybridMultilevel"/>
    <w:tmpl w:val="DFE63CA6"/>
    <w:lvl w:ilvl="0" w:tplc="0C0C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0" w15:restartNumberingAfterBreak="0">
    <w:nsid w:val="7ACF334F"/>
    <w:multiLevelType w:val="hybridMultilevel"/>
    <w:tmpl w:val="3B661E08"/>
    <w:lvl w:ilvl="0" w:tplc="2C18FF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4"/>
  </w:num>
  <w:num w:numId="4">
    <w:abstractNumId w:val="7"/>
  </w:num>
  <w:num w:numId="5">
    <w:abstractNumId w:val="1"/>
  </w:num>
  <w:num w:numId="6">
    <w:abstractNumId w:val="29"/>
  </w:num>
  <w:num w:numId="7">
    <w:abstractNumId w:val="30"/>
  </w:num>
  <w:num w:numId="8">
    <w:abstractNumId w:val="17"/>
  </w:num>
  <w:num w:numId="9">
    <w:abstractNumId w:val="19"/>
  </w:num>
  <w:num w:numId="10">
    <w:abstractNumId w:val="16"/>
  </w:num>
  <w:num w:numId="11">
    <w:abstractNumId w:val="24"/>
  </w:num>
  <w:num w:numId="12">
    <w:abstractNumId w:val="18"/>
  </w:num>
  <w:num w:numId="13">
    <w:abstractNumId w:val="8"/>
  </w:num>
  <w:num w:numId="14">
    <w:abstractNumId w:val="9"/>
  </w:num>
  <w:num w:numId="15">
    <w:abstractNumId w:val="28"/>
  </w:num>
  <w:num w:numId="16">
    <w:abstractNumId w:val="14"/>
  </w:num>
  <w:num w:numId="17">
    <w:abstractNumId w:val="15"/>
  </w:num>
  <w:num w:numId="18">
    <w:abstractNumId w:val="12"/>
  </w:num>
  <w:num w:numId="19">
    <w:abstractNumId w:val="2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1"/>
  </w:num>
  <w:num w:numId="23">
    <w:abstractNumId w:val="5"/>
  </w:num>
  <w:num w:numId="24">
    <w:abstractNumId w:val="10"/>
  </w:num>
  <w:num w:numId="25">
    <w:abstractNumId w:val="22"/>
  </w:num>
  <w:num w:numId="26">
    <w:abstractNumId w:val="13"/>
  </w:num>
  <w:num w:numId="27">
    <w:abstractNumId w:val="3"/>
  </w:num>
  <w:num w:numId="28">
    <w:abstractNumId w:val="23"/>
  </w:num>
  <w:num w:numId="29">
    <w:abstractNumId w:val="11"/>
  </w:num>
  <w:num w:numId="30">
    <w:abstractNumId w:val="0"/>
  </w:num>
  <w:num w:numId="3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formatting="1" w:enforcement="0"/>
  <w:defaultTabStop w:val="720"/>
  <w:hyphenationZone w:val="425"/>
  <w:doNotHyphenateCaps/>
  <w:evenAndOddHeader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numRestart w:val="eachSect"/>
    <w:footnote w:id="-1"/>
    <w:footnote w:id="0"/>
    <w:footnote w:id="1"/>
  </w:footnotePr>
  <w:endnotePr>
    <w:numFmt w:val="decimal"/>
    <w:numStart w:val="7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53B"/>
    <w:rsid w:val="000016B3"/>
    <w:rsid w:val="000027D2"/>
    <w:rsid w:val="000033CD"/>
    <w:rsid w:val="00004FD5"/>
    <w:rsid w:val="00005E26"/>
    <w:rsid w:val="0000651F"/>
    <w:rsid w:val="00006C55"/>
    <w:rsid w:val="00007F65"/>
    <w:rsid w:val="000130D7"/>
    <w:rsid w:val="00013508"/>
    <w:rsid w:val="00013A5F"/>
    <w:rsid w:val="000153B0"/>
    <w:rsid w:val="0001560A"/>
    <w:rsid w:val="0001594D"/>
    <w:rsid w:val="00015FDE"/>
    <w:rsid w:val="00016217"/>
    <w:rsid w:val="00016861"/>
    <w:rsid w:val="00017905"/>
    <w:rsid w:val="0002002B"/>
    <w:rsid w:val="000200CF"/>
    <w:rsid w:val="000205F1"/>
    <w:rsid w:val="000208E5"/>
    <w:rsid w:val="00022047"/>
    <w:rsid w:val="0002223F"/>
    <w:rsid w:val="00022C21"/>
    <w:rsid w:val="00024995"/>
    <w:rsid w:val="000252FE"/>
    <w:rsid w:val="00025B19"/>
    <w:rsid w:val="00026AE3"/>
    <w:rsid w:val="000274B9"/>
    <w:rsid w:val="0002758B"/>
    <w:rsid w:val="000276A0"/>
    <w:rsid w:val="00027732"/>
    <w:rsid w:val="00027F2C"/>
    <w:rsid w:val="000312B9"/>
    <w:rsid w:val="00031E8F"/>
    <w:rsid w:val="00032358"/>
    <w:rsid w:val="000324F1"/>
    <w:rsid w:val="00032A36"/>
    <w:rsid w:val="000330DB"/>
    <w:rsid w:val="00033A6A"/>
    <w:rsid w:val="00033E23"/>
    <w:rsid w:val="0003429F"/>
    <w:rsid w:val="00034792"/>
    <w:rsid w:val="0003562A"/>
    <w:rsid w:val="00035C57"/>
    <w:rsid w:val="00035E7F"/>
    <w:rsid w:val="00035F5A"/>
    <w:rsid w:val="00036095"/>
    <w:rsid w:val="00036AF4"/>
    <w:rsid w:val="00036B1B"/>
    <w:rsid w:val="00037A92"/>
    <w:rsid w:val="00037D17"/>
    <w:rsid w:val="00040029"/>
    <w:rsid w:val="00040F4B"/>
    <w:rsid w:val="00041450"/>
    <w:rsid w:val="00041753"/>
    <w:rsid w:val="00041C10"/>
    <w:rsid w:val="00042384"/>
    <w:rsid w:val="000433C7"/>
    <w:rsid w:val="00043804"/>
    <w:rsid w:val="000441A1"/>
    <w:rsid w:val="0004431D"/>
    <w:rsid w:val="00044A8B"/>
    <w:rsid w:val="00044DB5"/>
    <w:rsid w:val="0004621E"/>
    <w:rsid w:val="0005028F"/>
    <w:rsid w:val="00050869"/>
    <w:rsid w:val="00050ADF"/>
    <w:rsid w:val="00051EDD"/>
    <w:rsid w:val="00052187"/>
    <w:rsid w:val="00052E1D"/>
    <w:rsid w:val="00052E2A"/>
    <w:rsid w:val="00054F2D"/>
    <w:rsid w:val="000551B5"/>
    <w:rsid w:val="0005548B"/>
    <w:rsid w:val="00055B8D"/>
    <w:rsid w:val="000561C1"/>
    <w:rsid w:val="00056204"/>
    <w:rsid w:val="000570D1"/>
    <w:rsid w:val="000571A9"/>
    <w:rsid w:val="0005781E"/>
    <w:rsid w:val="00057B9A"/>
    <w:rsid w:val="00060290"/>
    <w:rsid w:val="000605B5"/>
    <w:rsid w:val="00061096"/>
    <w:rsid w:val="000631D3"/>
    <w:rsid w:val="000631F0"/>
    <w:rsid w:val="000637A9"/>
    <w:rsid w:val="00063E24"/>
    <w:rsid w:val="00066A6B"/>
    <w:rsid w:val="0006728A"/>
    <w:rsid w:val="000713A3"/>
    <w:rsid w:val="00072229"/>
    <w:rsid w:val="00072978"/>
    <w:rsid w:val="00073CF1"/>
    <w:rsid w:val="00073DBE"/>
    <w:rsid w:val="000741FC"/>
    <w:rsid w:val="00074BD0"/>
    <w:rsid w:val="00074D9A"/>
    <w:rsid w:val="00074DB9"/>
    <w:rsid w:val="000753C4"/>
    <w:rsid w:val="00075DF0"/>
    <w:rsid w:val="00076252"/>
    <w:rsid w:val="000762CA"/>
    <w:rsid w:val="00077522"/>
    <w:rsid w:val="000803A4"/>
    <w:rsid w:val="00080655"/>
    <w:rsid w:val="000813E8"/>
    <w:rsid w:val="0008147E"/>
    <w:rsid w:val="000821ED"/>
    <w:rsid w:val="0008339E"/>
    <w:rsid w:val="000835CE"/>
    <w:rsid w:val="0008503A"/>
    <w:rsid w:val="00086576"/>
    <w:rsid w:val="000870CA"/>
    <w:rsid w:val="00087407"/>
    <w:rsid w:val="00090500"/>
    <w:rsid w:val="00090AD1"/>
    <w:rsid w:val="00090BB3"/>
    <w:rsid w:val="00090F4F"/>
    <w:rsid w:val="000919D6"/>
    <w:rsid w:val="00091BEB"/>
    <w:rsid w:val="00091D73"/>
    <w:rsid w:val="00092879"/>
    <w:rsid w:val="00092C0A"/>
    <w:rsid w:val="000936F4"/>
    <w:rsid w:val="00093C0A"/>
    <w:rsid w:val="00094368"/>
    <w:rsid w:val="00094E87"/>
    <w:rsid w:val="00097FB2"/>
    <w:rsid w:val="000A0A3A"/>
    <w:rsid w:val="000A11FF"/>
    <w:rsid w:val="000A13C4"/>
    <w:rsid w:val="000A151D"/>
    <w:rsid w:val="000A24C5"/>
    <w:rsid w:val="000A3842"/>
    <w:rsid w:val="000A3F7F"/>
    <w:rsid w:val="000A3FAA"/>
    <w:rsid w:val="000A5BA9"/>
    <w:rsid w:val="000A6DD6"/>
    <w:rsid w:val="000A6F35"/>
    <w:rsid w:val="000A709A"/>
    <w:rsid w:val="000B1062"/>
    <w:rsid w:val="000B1123"/>
    <w:rsid w:val="000B134B"/>
    <w:rsid w:val="000B1A96"/>
    <w:rsid w:val="000B24E8"/>
    <w:rsid w:val="000B2BCB"/>
    <w:rsid w:val="000B3A13"/>
    <w:rsid w:val="000B4BB2"/>
    <w:rsid w:val="000B4EB6"/>
    <w:rsid w:val="000B6D10"/>
    <w:rsid w:val="000B7C22"/>
    <w:rsid w:val="000C1312"/>
    <w:rsid w:val="000C1442"/>
    <w:rsid w:val="000C1E98"/>
    <w:rsid w:val="000C2542"/>
    <w:rsid w:val="000C2B9C"/>
    <w:rsid w:val="000C2F93"/>
    <w:rsid w:val="000C3DA3"/>
    <w:rsid w:val="000C3DD6"/>
    <w:rsid w:val="000C3DE6"/>
    <w:rsid w:val="000C7021"/>
    <w:rsid w:val="000C76B0"/>
    <w:rsid w:val="000C7BBE"/>
    <w:rsid w:val="000D05F1"/>
    <w:rsid w:val="000D0F0E"/>
    <w:rsid w:val="000D2475"/>
    <w:rsid w:val="000D2781"/>
    <w:rsid w:val="000D3AFD"/>
    <w:rsid w:val="000D401A"/>
    <w:rsid w:val="000D41FB"/>
    <w:rsid w:val="000D42BB"/>
    <w:rsid w:val="000D442C"/>
    <w:rsid w:val="000D4EF7"/>
    <w:rsid w:val="000D5770"/>
    <w:rsid w:val="000D5BFF"/>
    <w:rsid w:val="000D6B77"/>
    <w:rsid w:val="000D7300"/>
    <w:rsid w:val="000E1843"/>
    <w:rsid w:val="000E23CF"/>
    <w:rsid w:val="000E29BE"/>
    <w:rsid w:val="000E2ECD"/>
    <w:rsid w:val="000E4F88"/>
    <w:rsid w:val="000E4FF0"/>
    <w:rsid w:val="000E612D"/>
    <w:rsid w:val="000E6899"/>
    <w:rsid w:val="000E745A"/>
    <w:rsid w:val="000E7E9E"/>
    <w:rsid w:val="000F0044"/>
    <w:rsid w:val="000F3300"/>
    <w:rsid w:val="000F3467"/>
    <w:rsid w:val="000F370C"/>
    <w:rsid w:val="000F3D68"/>
    <w:rsid w:val="000F408B"/>
    <w:rsid w:val="000F41EC"/>
    <w:rsid w:val="000F5383"/>
    <w:rsid w:val="000F600D"/>
    <w:rsid w:val="000F64CA"/>
    <w:rsid w:val="000F66A3"/>
    <w:rsid w:val="000F6C49"/>
    <w:rsid w:val="000F703B"/>
    <w:rsid w:val="000F70FF"/>
    <w:rsid w:val="000F7A10"/>
    <w:rsid w:val="0010005E"/>
    <w:rsid w:val="001006C4"/>
    <w:rsid w:val="00100768"/>
    <w:rsid w:val="0010108C"/>
    <w:rsid w:val="0010120B"/>
    <w:rsid w:val="001024A1"/>
    <w:rsid w:val="00102F08"/>
    <w:rsid w:val="001036F4"/>
    <w:rsid w:val="00105161"/>
    <w:rsid w:val="001062F1"/>
    <w:rsid w:val="00106EF8"/>
    <w:rsid w:val="001101A2"/>
    <w:rsid w:val="00110833"/>
    <w:rsid w:val="0011094D"/>
    <w:rsid w:val="00111445"/>
    <w:rsid w:val="00111489"/>
    <w:rsid w:val="00111797"/>
    <w:rsid w:val="00111B19"/>
    <w:rsid w:val="00112B0B"/>
    <w:rsid w:val="00113345"/>
    <w:rsid w:val="001141F0"/>
    <w:rsid w:val="00114A64"/>
    <w:rsid w:val="00114CAA"/>
    <w:rsid w:val="00114DAF"/>
    <w:rsid w:val="00116114"/>
    <w:rsid w:val="00116C1A"/>
    <w:rsid w:val="00117F1F"/>
    <w:rsid w:val="0012229E"/>
    <w:rsid w:val="00123017"/>
    <w:rsid w:val="00123849"/>
    <w:rsid w:val="00123B1C"/>
    <w:rsid w:val="00123EB1"/>
    <w:rsid w:val="00125010"/>
    <w:rsid w:val="00125B82"/>
    <w:rsid w:val="001267D8"/>
    <w:rsid w:val="0012726A"/>
    <w:rsid w:val="00127BC1"/>
    <w:rsid w:val="001305E6"/>
    <w:rsid w:val="00131698"/>
    <w:rsid w:val="001326E6"/>
    <w:rsid w:val="00132F1E"/>
    <w:rsid w:val="00133259"/>
    <w:rsid w:val="0013385A"/>
    <w:rsid w:val="00134909"/>
    <w:rsid w:val="00136E66"/>
    <w:rsid w:val="0013761A"/>
    <w:rsid w:val="001378A5"/>
    <w:rsid w:val="00140190"/>
    <w:rsid w:val="00140C42"/>
    <w:rsid w:val="00142E55"/>
    <w:rsid w:val="00143710"/>
    <w:rsid w:val="00143A3C"/>
    <w:rsid w:val="0014423A"/>
    <w:rsid w:val="001447A0"/>
    <w:rsid w:val="0014498D"/>
    <w:rsid w:val="00145BAD"/>
    <w:rsid w:val="00147076"/>
    <w:rsid w:val="001471A7"/>
    <w:rsid w:val="001473C9"/>
    <w:rsid w:val="0015044F"/>
    <w:rsid w:val="001506F6"/>
    <w:rsid w:val="001530B7"/>
    <w:rsid w:val="001539D8"/>
    <w:rsid w:val="00154427"/>
    <w:rsid w:val="0015461A"/>
    <w:rsid w:val="001547D3"/>
    <w:rsid w:val="001558E9"/>
    <w:rsid w:val="001559BD"/>
    <w:rsid w:val="00156A94"/>
    <w:rsid w:val="00156FF8"/>
    <w:rsid w:val="00157F79"/>
    <w:rsid w:val="00161A80"/>
    <w:rsid w:val="001626EF"/>
    <w:rsid w:val="00163E84"/>
    <w:rsid w:val="001659D1"/>
    <w:rsid w:val="0016687D"/>
    <w:rsid w:val="001668AA"/>
    <w:rsid w:val="001675B1"/>
    <w:rsid w:val="0016763D"/>
    <w:rsid w:val="0016789D"/>
    <w:rsid w:val="00167C87"/>
    <w:rsid w:val="001705C7"/>
    <w:rsid w:val="00170C7D"/>
    <w:rsid w:val="00174CF4"/>
    <w:rsid w:val="00175251"/>
    <w:rsid w:val="00176482"/>
    <w:rsid w:val="001769B4"/>
    <w:rsid w:val="00177E7E"/>
    <w:rsid w:val="001800CF"/>
    <w:rsid w:val="00181BC5"/>
    <w:rsid w:val="00183238"/>
    <w:rsid w:val="001842B8"/>
    <w:rsid w:val="00185895"/>
    <w:rsid w:val="00186B0F"/>
    <w:rsid w:val="001876C5"/>
    <w:rsid w:val="00187BF8"/>
    <w:rsid w:val="00187D68"/>
    <w:rsid w:val="001906B5"/>
    <w:rsid w:val="00190A83"/>
    <w:rsid w:val="001912E4"/>
    <w:rsid w:val="00194163"/>
    <w:rsid w:val="00194CAC"/>
    <w:rsid w:val="00194FEB"/>
    <w:rsid w:val="001970A4"/>
    <w:rsid w:val="001970C6"/>
    <w:rsid w:val="001971A7"/>
    <w:rsid w:val="00197395"/>
    <w:rsid w:val="00197AD1"/>
    <w:rsid w:val="001A01A7"/>
    <w:rsid w:val="001A788E"/>
    <w:rsid w:val="001A78D8"/>
    <w:rsid w:val="001B0020"/>
    <w:rsid w:val="001B05AF"/>
    <w:rsid w:val="001B1944"/>
    <w:rsid w:val="001B2C2E"/>
    <w:rsid w:val="001B3F87"/>
    <w:rsid w:val="001B4026"/>
    <w:rsid w:val="001B598C"/>
    <w:rsid w:val="001B71CA"/>
    <w:rsid w:val="001B76A6"/>
    <w:rsid w:val="001C07F8"/>
    <w:rsid w:val="001C190F"/>
    <w:rsid w:val="001C3944"/>
    <w:rsid w:val="001C5C71"/>
    <w:rsid w:val="001C6A8D"/>
    <w:rsid w:val="001C6C08"/>
    <w:rsid w:val="001D0315"/>
    <w:rsid w:val="001D0E67"/>
    <w:rsid w:val="001D2056"/>
    <w:rsid w:val="001D2C6F"/>
    <w:rsid w:val="001D35BE"/>
    <w:rsid w:val="001D3970"/>
    <w:rsid w:val="001D3E68"/>
    <w:rsid w:val="001D42D1"/>
    <w:rsid w:val="001D64E5"/>
    <w:rsid w:val="001D6760"/>
    <w:rsid w:val="001D6EB8"/>
    <w:rsid w:val="001E05EC"/>
    <w:rsid w:val="001E0DAB"/>
    <w:rsid w:val="001E1147"/>
    <w:rsid w:val="001E2D28"/>
    <w:rsid w:val="001E3ABD"/>
    <w:rsid w:val="001E3DDD"/>
    <w:rsid w:val="001E41F6"/>
    <w:rsid w:val="001E4256"/>
    <w:rsid w:val="001E4531"/>
    <w:rsid w:val="001E4809"/>
    <w:rsid w:val="001E4F4F"/>
    <w:rsid w:val="001E510F"/>
    <w:rsid w:val="001E51B8"/>
    <w:rsid w:val="001E5FB1"/>
    <w:rsid w:val="001E786A"/>
    <w:rsid w:val="001F04AB"/>
    <w:rsid w:val="001F161F"/>
    <w:rsid w:val="001F27F4"/>
    <w:rsid w:val="001F3265"/>
    <w:rsid w:val="001F3DC0"/>
    <w:rsid w:val="001F46EB"/>
    <w:rsid w:val="001F4C5A"/>
    <w:rsid w:val="001F6772"/>
    <w:rsid w:val="001F7421"/>
    <w:rsid w:val="001F7D72"/>
    <w:rsid w:val="00200195"/>
    <w:rsid w:val="00200B5F"/>
    <w:rsid w:val="00201EEF"/>
    <w:rsid w:val="00202613"/>
    <w:rsid w:val="00202E78"/>
    <w:rsid w:val="002047C8"/>
    <w:rsid w:val="00204855"/>
    <w:rsid w:val="002052B3"/>
    <w:rsid w:val="002058F9"/>
    <w:rsid w:val="00205F9B"/>
    <w:rsid w:val="00207614"/>
    <w:rsid w:val="002078FF"/>
    <w:rsid w:val="0021100F"/>
    <w:rsid w:val="00211FAD"/>
    <w:rsid w:val="00212A1E"/>
    <w:rsid w:val="00212B1F"/>
    <w:rsid w:val="00213D7C"/>
    <w:rsid w:val="00214513"/>
    <w:rsid w:val="002151E2"/>
    <w:rsid w:val="002155B7"/>
    <w:rsid w:val="00216390"/>
    <w:rsid w:val="00216521"/>
    <w:rsid w:val="002166F1"/>
    <w:rsid w:val="002168F0"/>
    <w:rsid w:val="0021766A"/>
    <w:rsid w:val="002200D5"/>
    <w:rsid w:val="00220830"/>
    <w:rsid w:val="002214E5"/>
    <w:rsid w:val="00221999"/>
    <w:rsid w:val="002225D3"/>
    <w:rsid w:val="00222A35"/>
    <w:rsid w:val="0022301D"/>
    <w:rsid w:val="002238EC"/>
    <w:rsid w:val="00224605"/>
    <w:rsid w:val="00224B2C"/>
    <w:rsid w:val="00225F1B"/>
    <w:rsid w:val="00226E7F"/>
    <w:rsid w:val="002279CD"/>
    <w:rsid w:val="00227E55"/>
    <w:rsid w:val="0023092C"/>
    <w:rsid w:val="00230C9A"/>
    <w:rsid w:val="00232AA0"/>
    <w:rsid w:val="00233830"/>
    <w:rsid w:val="00234CDF"/>
    <w:rsid w:val="00236130"/>
    <w:rsid w:val="00236B91"/>
    <w:rsid w:val="00241F37"/>
    <w:rsid w:val="002424C0"/>
    <w:rsid w:val="00242CAA"/>
    <w:rsid w:val="0024328C"/>
    <w:rsid w:val="00243868"/>
    <w:rsid w:val="00243AD0"/>
    <w:rsid w:val="00245124"/>
    <w:rsid w:val="002457B7"/>
    <w:rsid w:val="00245960"/>
    <w:rsid w:val="00245D74"/>
    <w:rsid w:val="00246936"/>
    <w:rsid w:val="00246DDF"/>
    <w:rsid w:val="0025028A"/>
    <w:rsid w:val="00250965"/>
    <w:rsid w:val="00250B59"/>
    <w:rsid w:val="00251109"/>
    <w:rsid w:val="00251EA0"/>
    <w:rsid w:val="0025288F"/>
    <w:rsid w:val="00253853"/>
    <w:rsid w:val="0025476C"/>
    <w:rsid w:val="00256AC4"/>
    <w:rsid w:val="002573CC"/>
    <w:rsid w:val="00257C14"/>
    <w:rsid w:val="002602EC"/>
    <w:rsid w:val="00260EA3"/>
    <w:rsid w:val="00260FAA"/>
    <w:rsid w:val="00262338"/>
    <w:rsid w:val="00262454"/>
    <w:rsid w:val="00263938"/>
    <w:rsid w:val="002641EA"/>
    <w:rsid w:val="002644C8"/>
    <w:rsid w:val="002646D7"/>
    <w:rsid w:val="00264B2D"/>
    <w:rsid w:val="00265DF2"/>
    <w:rsid w:val="0026668B"/>
    <w:rsid w:val="0026679A"/>
    <w:rsid w:val="002671D7"/>
    <w:rsid w:val="00267E67"/>
    <w:rsid w:val="002700B3"/>
    <w:rsid w:val="00270F54"/>
    <w:rsid w:val="00271F3B"/>
    <w:rsid w:val="0027259C"/>
    <w:rsid w:val="00272629"/>
    <w:rsid w:val="00273543"/>
    <w:rsid w:val="00274C82"/>
    <w:rsid w:val="0027654D"/>
    <w:rsid w:val="00277975"/>
    <w:rsid w:val="00280590"/>
    <w:rsid w:val="002810DF"/>
    <w:rsid w:val="002812AB"/>
    <w:rsid w:val="002816D8"/>
    <w:rsid w:val="002826CC"/>
    <w:rsid w:val="002829DF"/>
    <w:rsid w:val="00282A8C"/>
    <w:rsid w:val="00283A98"/>
    <w:rsid w:val="00283B30"/>
    <w:rsid w:val="002854EE"/>
    <w:rsid w:val="0028565C"/>
    <w:rsid w:val="00285BCC"/>
    <w:rsid w:val="00286E2B"/>
    <w:rsid w:val="0028726E"/>
    <w:rsid w:val="002878CF"/>
    <w:rsid w:val="00290640"/>
    <w:rsid w:val="00290EB3"/>
    <w:rsid w:val="00292846"/>
    <w:rsid w:val="00292A90"/>
    <w:rsid w:val="00292C87"/>
    <w:rsid w:val="00292D76"/>
    <w:rsid w:val="0029379D"/>
    <w:rsid w:val="00294479"/>
    <w:rsid w:val="00295278"/>
    <w:rsid w:val="00296A15"/>
    <w:rsid w:val="00296C76"/>
    <w:rsid w:val="002A036F"/>
    <w:rsid w:val="002A2F08"/>
    <w:rsid w:val="002A3641"/>
    <w:rsid w:val="002A4894"/>
    <w:rsid w:val="002A495F"/>
    <w:rsid w:val="002A560B"/>
    <w:rsid w:val="002A706F"/>
    <w:rsid w:val="002A70EA"/>
    <w:rsid w:val="002A735D"/>
    <w:rsid w:val="002A7363"/>
    <w:rsid w:val="002A7703"/>
    <w:rsid w:val="002A78D6"/>
    <w:rsid w:val="002A7F43"/>
    <w:rsid w:val="002B0328"/>
    <w:rsid w:val="002B0653"/>
    <w:rsid w:val="002B3246"/>
    <w:rsid w:val="002B365E"/>
    <w:rsid w:val="002B3D8A"/>
    <w:rsid w:val="002B489A"/>
    <w:rsid w:val="002B5A90"/>
    <w:rsid w:val="002B5C4A"/>
    <w:rsid w:val="002B6341"/>
    <w:rsid w:val="002B78C7"/>
    <w:rsid w:val="002B7DA8"/>
    <w:rsid w:val="002C0526"/>
    <w:rsid w:val="002C0A9F"/>
    <w:rsid w:val="002C12D8"/>
    <w:rsid w:val="002C2788"/>
    <w:rsid w:val="002C27A8"/>
    <w:rsid w:val="002C2A27"/>
    <w:rsid w:val="002C333E"/>
    <w:rsid w:val="002C36C8"/>
    <w:rsid w:val="002C3B98"/>
    <w:rsid w:val="002C4C14"/>
    <w:rsid w:val="002C51A0"/>
    <w:rsid w:val="002C53F9"/>
    <w:rsid w:val="002C5A8B"/>
    <w:rsid w:val="002D0584"/>
    <w:rsid w:val="002D12F1"/>
    <w:rsid w:val="002D2BC1"/>
    <w:rsid w:val="002D2E2A"/>
    <w:rsid w:val="002D3270"/>
    <w:rsid w:val="002D4E91"/>
    <w:rsid w:val="002D5295"/>
    <w:rsid w:val="002D52BF"/>
    <w:rsid w:val="002D6446"/>
    <w:rsid w:val="002D68FA"/>
    <w:rsid w:val="002D7ECA"/>
    <w:rsid w:val="002E0141"/>
    <w:rsid w:val="002E0B5D"/>
    <w:rsid w:val="002E1495"/>
    <w:rsid w:val="002E16EC"/>
    <w:rsid w:val="002E2900"/>
    <w:rsid w:val="002E2A77"/>
    <w:rsid w:val="002E3ABF"/>
    <w:rsid w:val="002E3C0D"/>
    <w:rsid w:val="002E43EC"/>
    <w:rsid w:val="002E5472"/>
    <w:rsid w:val="002E5B3C"/>
    <w:rsid w:val="002E7A79"/>
    <w:rsid w:val="002F049A"/>
    <w:rsid w:val="002F08D9"/>
    <w:rsid w:val="002F2453"/>
    <w:rsid w:val="002F27D3"/>
    <w:rsid w:val="002F2C43"/>
    <w:rsid w:val="002F2C6E"/>
    <w:rsid w:val="002F2DB5"/>
    <w:rsid w:val="002F322B"/>
    <w:rsid w:val="002F3C88"/>
    <w:rsid w:val="002F3CCA"/>
    <w:rsid w:val="002F3E2C"/>
    <w:rsid w:val="002F4067"/>
    <w:rsid w:val="002F4EA7"/>
    <w:rsid w:val="002F5397"/>
    <w:rsid w:val="002F58AA"/>
    <w:rsid w:val="002F593E"/>
    <w:rsid w:val="002F7339"/>
    <w:rsid w:val="002F7461"/>
    <w:rsid w:val="002F7783"/>
    <w:rsid w:val="0030032D"/>
    <w:rsid w:val="003025E2"/>
    <w:rsid w:val="00303145"/>
    <w:rsid w:val="00303990"/>
    <w:rsid w:val="003057F1"/>
    <w:rsid w:val="00306B25"/>
    <w:rsid w:val="00306D24"/>
    <w:rsid w:val="0030722C"/>
    <w:rsid w:val="00307712"/>
    <w:rsid w:val="00313564"/>
    <w:rsid w:val="00313C86"/>
    <w:rsid w:val="0031404A"/>
    <w:rsid w:val="00314164"/>
    <w:rsid w:val="003141A3"/>
    <w:rsid w:val="00314B7C"/>
    <w:rsid w:val="00314E49"/>
    <w:rsid w:val="0031524C"/>
    <w:rsid w:val="00315445"/>
    <w:rsid w:val="003155C1"/>
    <w:rsid w:val="003169DD"/>
    <w:rsid w:val="0031701C"/>
    <w:rsid w:val="00317183"/>
    <w:rsid w:val="0031742F"/>
    <w:rsid w:val="00317AF8"/>
    <w:rsid w:val="0032061F"/>
    <w:rsid w:val="003208EF"/>
    <w:rsid w:val="00320F5D"/>
    <w:rsid w:val="0032188F"/>
    <w:rsid w:val="00322E95"/>
    <w:rsid w:val="00322FDC"/>
    <w:rsid w:val="003231BF"/>
    <w:rsid w:val="00324378"/>
    <w:rsid w:val="0032470B"/>
    <w:rsid w:val="00324846"/>
    <w:rsid w:val="00324ABD"/>
    <w:rsid w:val="00324D9B"/>
    <w:rsid w:val="003272A6"/>
    <w:rsid w:val="003273CB"/>
    <w:rsid w:val="00330EEA"/>
    <w:rsid w:val="0033125E"/>
    <w:rsid w:val="00331AD7"/>
    <w:rsid w:val="00332667"/>
    <w:rsid w:val="00332EDD"/>
    <w:rsid w:val="003333D1"/>
    <w:rsid w:val="003336E6"/>
    <w:rsid w:val="003338E5"/>
    <w:rsid w:val="00333D40"/>
    <w:rsid w:val="003347B1"/>
    <w:rsid w:val="00335202"/>
    <w:rsid w:val="003362C4"/>
    <w:rsid w:val="0033704F"/>
    <w:rsid w:val="0033718C"/>
    <w:rsid w:val="00340E02"/>
    <w:rsid w:val="00341D1E"/>
    <w:rsid w:val="00343431"/>
    <w:rsid w:val="00343E6E"/>
    <w:rsid w:val="003441FB"/>
    <w:rsid w:val="003450B9"/>
    <w:rsid w:val="003450C8"/>
    <w:rsid w:val="00346006"/>
    <w:rsid w:val="0034758E"/>
    <w:rsid w:val="00350540"/>
    <w:rsid w:val="00350926"/>
    <w:rsid w:val="00350981"/>
    <w:rsid w:val="00350A4F"/>
    <w:rsid w:val="003516AA"/>
    <w:rsid w:val="00351E5C"/>
    <w:rsid w:val="0035279E"/>
    <w:rsid w:val="003552B8"/>
    <w:rsid w:val="0035579E"/>
    <w:rsid w:val="0035580F"/>
    <w:rsid w:val="00355E4E"/>
    <w:rsid w:val="003561C2"/>
    <w:rsid w:val="00357441"/>
    <w:rsid w:val="00357CB4"/>
    <w:rsid w:val="003604EE"/>
    <w:rsid w:val="00360C83"/>
    <w:rsid w:val="00361CFB"/>
    <w:rsid w:val="0036286B"/>
    <w:rsid w:val="00363043"/>
    <w:rsid w:val="00363371"/>
    <w:rsid w:val="00364989"/>
    <w:rsid w:val="00364EC1"/>
    <w:rsid w:val="00365045"/>
    <w:rsid w:val="00365FBA"/>
    <w:rsid w:val="003664C0"/>
    <w:rsid w:val="003677DD"/>
    <w:rsid w:val="003717F3"/>
    <w:rsid w:val="00373150"/>
    <w:rsid w:val="003733E8"/>
    <w:rsid w:val="003737E0"/>
    <w:rsid w:val="003748A1"/>
    <w:rsid w:val="00374984"/>
    <w:rsid w:val="00375B73"/>
    <w:rsid w:val="003761F2"/>
    <w:rsid w:val="00376A05"/>
    <w:rsid w:val="00376FC9"/>
    <w:rsid w:val="003774FE"/>
    <w:rsid w:val="0037797C"/>
    <w:rsid w:val="0038062A"/>
    <w:rsid w:val="00382C2C"/>
    <w:rsid w:val="00382E1A"/>
    <w:rsid w:val="00383276"/>
    <w:rsid w:val="00383B0D"/>
    <w:rsid w:val="00384007"/>
    <w:rsid w:val="003847ED"/>
    <w:rsid w:val="00385747"/>
    <w:rsid w:val="00390B73"/>
    <w:rsid w:val="00390E30"/>
    <w:rsid w:val="003911C6"/>
    <w:rsid w:val="003919AC"/>
    <w:rsid w:val="00391BDF"/>
    <w:rsid w:val="00393ABE"/>
    <w:rsid w:val="00393B34"/>
    <w:rsid w:val="00394400"/>
    <w:rsid w:val="0039458D"/>
    <w:rsid w:val="00394D61"/>
    <w:rsid w:val="0039596E"/>
    <w:rsid w:val="00395AD2"/>
    <w:rsid w:val="00395D93"/>
    <w:rsid w:val="00395E12"/>
    <w:rsid w:val="003961E6"/>
    <w:rsid w:val="0039735C"/>
    <w:rsid w:val="003A1F5A"/>
    <w:rsid w:val="003A25B2"/>
    <w:rsid w:val="003A2ECE"/>
    <w:rsid w:val="003A33EF"/>
    <w:rsid w:val="003A4252"/>
    <w:rsid w:val="003A45EE"/>
    <w:rsid w:val="003A5189"/>
    <w:rsid w:val="003A51B2"/>
    <w:rsid w:val="003A539A"/>
    <w:rsid w:val="003A5D25"/>
    <w:rsid w:val="003A5DDC"/>
    <w:rsid w:val="003A62A4"/>
    <w:rsid w:val="003A694A"/>
    <w:rsid w:val="003A76BE"/>
    <w:rsid w:val="003A7BD9"/>
    <w:rsid w:val="003A7D86"/>
    <w:rsid w:val="003A7ECD"/>
    <w:rsid w:val="003B0AA1"/>
    <w:rsid w:val="003B0BCE"/>
    <w:rsid w:val="003B243D"/>
    <w:rsid w:val="003B304F"/>
    <w:rsid w:val="003B3271"/>
    <w:rsid w:val="003B3B07"/>
    <w:rsid w:val="003B429B"/>
    <w:rsid w:val="003B4F04"/>
    <w:rsid w:val="003B578B"/>
    <w:rsid w:val="003B5D18"/>
    <w:rsid w:val="003B6029"/>
    <w:rsid w:val="003B795D"/>
    <w:rsid w:val="003B79DC"/>
    <w:rsid w:val="003C1822"/>
    <w:rsid w:val="003C1B1B"/>
    <w:rsid w:val="003C26A6"/>
    <w:rsid w:val="003C2D1E"/>
    <w:rsid w:val="003C3121"/>
    <w:rsid w:val="003C32E0"/>
    <w:rsid w:val="003C5115"/>
    <w:rsid w:val="003C5C11"/>
    <w:rsid w:val="003C5D70"/>
    <w:rsid w:val="003C6A5A"/>
    <w:rsid w:val="003C6AAD"/>
    <w:rsid w:val="003D02DC"/>
    <w:rsid w:val="003D1D4D"/>
    <w:rsid w:val="003D215A"/>
    <w:rsid w:val="003D265A"/>
    <w:rsid w:val="003D36A9"/>
    <w:rsid w:val="003D37DD"/>
    <w:rsid w:val="003D43A7"/>
    <w:rsid w:val="003D47C6"/>
    <w:rsid w:val="003D6098"/>
    <w:rsid w:val="003D64C8"/>
    <w:rsid w:val="003D6BFE"/>
    <w:rsid w:val="003D7E38"/>
    <w:rsid w:val="003D7E85"/>
    <w:rsid w:val="003D7EAC"/>
    <w:rsid w:val="003E10B6"/>
    <w:rsid w:val="003E379A"/>
    <w:rsid w:val="003E4239"/>
    <w:rsid w:val="003E52B0"/>
    <w:rsid w:val="003E5A53"/>
    <w:rsid w:val="003E5F1E"/>
    <w:rsid w:val="003E64DC"/>
    <w:rsid w:val="003E6C6C"/>
    <w:rsid w:val="003E7A43"/>
    <w:rsid w:val="003F0B58"/>
    <w:rsid w:val="003F0D40"/>
    <w:rsid w:val="003F2236"/>
    <w:rsid w:val="003F27B7"/>
    <w:rsid w:val="003F3BB6"/>
    <w:rsid w:val="003F4051"/>
    <w:rsid w:val="003F45FE"/>
    <w:rsid w:val="003F4A3F"/>
    <w:rsid w:val="003F5041"/>
    <w:rsid w:val="003F51F5"/>
    <w:rsid w:val="003F5812"/>
    <w:rsid w:val="003F759B"/>
    <w:rsid w:val="003F7706"/>
    <w:rsid w:val="003F7B91"/>
    <w:rsid w:val="003F7E52"/>
    <w:rsid w:val="00400E4A"/>
    <w:rsid w:val="00401E9A"/>
    <w:rsid w:val="004026EA"/>
    <w:rsid w:val="00402AAB"/>
    <w:rsid w:val="00402E9A"/>
    <w:rsid w:val="00403FA8"/>
    <w:rsid w:val="00404213"/>
    <w:rsid w:val="004048AC"/>
    <w:rsid w:val="00404B8E"/>
    <w:rsid w:val="004068C2"/>
    <w:rsid w:val="004068DF"/>
    <w:rsid w:val="00406970"/>
    <w:rsid w:val="00406E58"/>
    <w:rsid w:val="00410E6E"/>
    <w:rsid w:val="00411B66"/>
    <w:rsid w:val="00411D5F"/>
    <w:rsid w:val="00414000"/>
    <w:rsid w:val="00414639"/>
    <w:rsid w:val="004151A6"/>
    <w:rsid w:val="00415997"/>
    <w:rsid w:val="00415E7F"/>
    <w:rsid w:val="00417D10"/>
    <w:rsid w:val="00420288"/>
    <w:rsid w:val="00421303"/>
    <w:rsid w:val="00421C78"/>
    <w:rsid w:val="004224CE"/>
    <w:rsid w:val="00422A81"/>
    <w:rsid w:val="00424743"/>
    <w:rsid w:val="004254DB"/>
    <w:rsid w:val="00427EEA"/>
    <w:rsid w:val="0043065A"/>
    <w:rsid w:val="00430705"/>
    <w:rsid w:val="00431836"/>
    <w:rsid w:val="00432283"/>
    <w:rsid w:val="0043278E"/>
    <w:rsid w:val="004347AB"/>
    <w:rsid w:val="004360AC"/>
    <w:rsid w:val="00436207"/>
    <w:rsid w:val="00436B83"/>
    <w:rsid w:val="004405F9"/>
    <w:rsid w:val="00441061"/>
    <w:rsid w:val="0044207F"/>
    <w:rsid w:val="00445ABB"/>
    <w:rsid w:val="00447060"/>
    <w:rsid w:val="00447E7B"/>
    <w:rsid w:val="004500CF"/>
    <w:rsid w:val="00450138"/>
    <w:rsid w:val="00450C70"/>
    <w:rsid w:val="0045124D"/>
    <w:rsid w:val="004512AE"/>
    <w:rsid w:val="00453344"/>
    <w:rsid w:val="00454E76"/>
    <w:rsid w:val="00457080"/>
    <w:rsid w:val="00460186"/>
    <w:rsid w:val="00460891"/>
    <w:rsid w:val="00460DBB"/>
    <w:rsid w:val="00460E09"/>
    <w:rsid w:val="00463496"/>
    <w:rsid w:val="00464A60"/>
    <w:rsid w:val="00464DEB"/>
    <w:rsid w:val="00464FB2"/>
    <w:rsid w:val="0046542F"/>
    <w:rsid w:val="00465D82"/>
    <w:rsid w:val="00467327"/>
    <w:rsid w:val="0046745E"/>
    <w:rsid w:val="00467B40"/>
    <w:rsid w:val="00467FF0"/>
    <w:rsid w:val="004712E5"/>
    <w:rsid w:val="00472DE3"/>
    <w:rsid w:val="004736BE"/>
    <w:rsid w:val="00475526"/>
    <w:rsid w:val="0047556D"/>
    <w:rsid w:val="00475789"/>
    <w:rsid w:val="00476170"/>
    <w:rsid w:val="0047744A"/>
    <w:rsid w:val="0048142F"/>
    <w:rsid w:val="00481467"/>
    <w:rsid w:val="00481A2C"/>
    <w:rsid w:val="004820B0"/>
    <w:rsid w:val="00482E2F"/>
    <w:rsid w:val="00484FDB"/>
    <w:rsid w:val="004859B4"/>
    <w:rsid w:val="004869B7"/>
    <w:rsid w:val="00486ACD"/>
    <w:rsid w:val="00486D85"/>
    <w:rsid w:val="0049001A"/>
    <w:rsid w:val="004909B3"/>
    <w:rsid w:val="00490BD1"/>
    <w:rsid w:val="004911CE"/>
    <w:rsid w:val="00491B8F"/>
    <w:rsid w:val="004920B1"/>
    <w:rsid w:val="00492874"/>
    <w:rsid w:val="00492C65"/>
    <w:rsid w:val="00492D90"/>
    <w:rsid w:val="00492E3D"/>
    <w:rsid w:val="00493D7E"/>
    <w:rsid w:val="00493E42"/>
    <w:rsid w:val="0049403F"/>
    <w:rsid w:val="00494349"/>
    <w:rsid w:val="0049483F"/>
    <w:rsid w:val="00497085"/>
    <w:rsid w:val="004973BE"/>
    <w:rsid w:val="004976BB"/>
    <w:rsid w:val="004976F7"/>
    <w:rsid w:val="004A0D1A"/>
    <w:rsid w:val="004A0F27"/>
    <w:rsid w:val="004A0F37"/>
    <w:rsid w:val="004A0F68"/>
    <w:rsid w:val="004A1876"/>
    <w:rsid w:val="004A2830"/>
    <w:rsid w:val="004A35C8"/>
    <w:rsid w:val="004A3608"/>
    <w:rsid w:val="004A45F8"/>
    <w:rsid w:val="004A4A69"/>
    <w:rsid w:val="004A4B00"/>
    <w:rsid w:val="004A4FBD"/>
    <w:rsid w:val="004A5191"/>
    <w:rsid w:val="004A6E26"/>
    <w:rsid w:val="004A7810"/>
    <w:rsid w:val="004A7E93"/>
    <w:rsid w:val="004B2747"/>
    <w:rsid w:val="004B296F"/>
    <w:rsid w:val="004B2D48"/>
    <w:rsid w:val="004B3B59"/>
    <w:rsid w:val="004B3CFB"/>
    <w:rsid w:val="004B551B"/>
    <w:rsid w:val="004B5B8A"/>
    <w:rsid w:val="004B5D6B"/>
    <w:rsid w:val="004B61F9"/>
    <w:rsid w:val="004B76F8"/>
    <w:rsid w:val="004C1B12"/>
    <w:rsid w:val="004C1E80"/>
    <w:rsid w:val="004C1FA6"/>
    <w:rsid w:val="004C2CF9"/>
    <w:rsid w:val="004C30ED"/>
    <w:rsid w:val="004C494E"/>
    <w:rsid w:val="004C4FC0"/>
    <w:rsid w:val="004C536D"/>
    <w:rsid w:val="004C5C8A"/>
    <w:rsid w:val="004C5CFD"/>
    <w:rsid w:val="004C5D75"/>
    <w:rsid w:val="004C6173"/>
    <w:rsid w:val="004C6E50"/>
    <w:rsid w:val="004D12C0"/>
    <w:rsid w:val="004D1649"/>
    <w:rsid w:val="004D23E9"/>
    <w:rsid w:val="004D3713"/>
    <w:rsid w:val="004D3C10"/>
    <w:rsid w:val="004D54B8"/>
    <w:rsid w:val="004D7E99"/>
    <w:rsid w:val="004E1622"/>
    <w:rsid w:val="004E17D4"/>
    <w:rsid w:val="004E2BDB"/>
    <w:rsid w:val="004E3530"/>
    <w:rsid w:val="004E37D1"/>
    <w:rsid w:val="004E539C"/>
    <w:rsid w:val="004E6813"/>
    <w:rsid w:val="004E7264"/>
    <w:rsid w:val="004F04A1"/>
    <w:rsid w:val="004F10BA"/>
    <w:rsid w:val="004F247D"/>
    <w:rsid w:val="004F2529"/>
    <w:rsid w:val="004F26ED"/>
    <w:rsid w:val="004F335F"/>
    <w:rsid w:val="004F5FB4"/>
    <w:rsid w:val="004F664E"/>
    <w:rsid w:val="004F681D"/>
    <w:rsid w:val="004F7AD6"/>
    <w:rsid w:val="00500C1D"/>
    <w:rsid w:val="00501A50"/>
    <w:rsid w:val="00501F05"/>
    <w:rsid w:val="00502857"/>
    <w:rsid w:val="00503563"/>
    <w:rsid w:val="005044A9"/>
    <w:rsid w:val="00505994"/>
    <w:rsid w:val="00505FD4"/>
    <w:rsid w:val="00506E25"/>
    <w:rsid w:val="00507C89"/>
    <w:rsid w:val="00510809"/>
    <w:rsid w:val="0051132C"/>
    <w:rsid w:val="00511622"/>
    <w:rsid w:val="00511C94"/>
    <w:rsid w:val="00512B8F"/>
    <w:rsid w:val="00513483"/>
    <w:rsid w:val="00513C30"/>
    <w:rsid w:val="005145F0"/>
    <w:rsid w:val="005148F8"/>
    <w:rsid w:val="00514A55"/>
    <w:rsid w:val="00514D09"/>
    <w:rsid w:val="00514DCD"/>
    <w:rsid w:val="00514EF5"/>
    <w:rsid w:val="00515315"/>
    <w:rsid w:val="005157AA"/>
    <w:rsid w:val="00516199"/>
    <w:rsid w:val="00517476"/>
    <w:rsid w:val="0051782D"/>
    <w:rsid w:val="00520F4E"/>
    <w:rsid w:val="00522A54"/>
    <w:rsid w:val="00522BCD"/>
    <w:rsid w:val="00522FB1"/>
    <w:rsid w:val="0052315E"/>
    <w:rsid w:val="005232D3"/>
    <w:rsid w:val="00524258"/>
    <w:rsid w:val="00524967"/>
    <w:rsid w:val="00525281"/>
    <w:rsid w:val="00525D3A"/>
    <w:rsid w:val="005261F4"/>
    <w:rsid w:val="00526C3A"/>
    <w:rsid w:val="00527C5A"/>
    <w:rsid w:val="00530780"/>
    <w:rsid w:val="00530922"/>
    <w:rsid w:val="00530ED3"/>
    <w:rsid w:val="00532738"/>
    <w:rsid w:val="00533325"/>
    <w:rsid w:val="00533D6A"/>
    <w:rsid w:val="00534169"/>
    <w:rsid w:val="0053438E"/>
    <w:rsid w:val="00534CD3"/>
    <w:rsid w:val="005355EE"/>
    <w:rsid w:val="00535B16"/>
    <w:rsid w:val="005366D0"/>
    <w:rsid w:val="00537E27"/>
    <w:rsid w:val="00540B4D"/>
    <w:rsid w:val="00540FFA"/>
    <w:rsid w:val="005414F7"/>
    <w:rsid w:val="00541CE2"/>
    <w:rsid w:val="00542930"/>
    <w:rsid w:val="00542951"/>
    <w:rsid w:val="005435B3"/>
    <w:rsid w:val="005442A3"/>
    <w:rsid w:val="00544BB4"/>
    <w:rsid w:val="00544E96"/>
    <w:rsid w:val="00545B6E"/>
    <w:rsid w:val="00550849"/>
    <w:rsid w:val="00552489"/>
    <w:rsid w:val="005525EF"/>
    <w:rsid w:val="005527C6"/>
    <w:rsid w:val="0055288F"/>
    <w:rsid w:val="00552EAE"/>
    <w:rsid w:val="00554918"/>
    <w:rsid w:val="00554BF3"/>
    <w:rsid w:val="00555CDB"/>
    <w:rsid w:val="005564C5"/>
    <w:rsid w:val="0055655F"/>
    <w:rsid w:val="0055657D"/>
    <w:rsid w:val="00556DDF"/>
    <w:rsid w:val="00560D0D"/>
    <w:rsid w:val="00560EDF"/>
    <w:rsid w:val="005621D0"/>
    <w:rsid w:val="005651D7"/>
    <w:rsid w:val="00565FB1"/>
    <w:rsid w:val="005662FB"/>
    <w:rsid w:val="00567781"/>
    <w:rsid w:val="00567ECC"/>
    <w:rsid w:val="0057101B"/>
    <w:rsid w:val="005713B1"/>
    <w:rsid w:val="00571501"/>
    <w:rsid w:val="00571C04"/>
    <w:rsid w:val="005724D3"/>
    <w:rsid w:val="0057274A"/>
    <w:rsid w:val="005729A1"/>
    <w:rsid w:val="00573B5A"/>
    <w:rsid w:val="0057580F"/>
    <w:rsid w:val="00577065"/>
    <w:rsid w:val="00577430"/>
    <w:rsid w:val="00581B23"/>
    <w:rsid w:val="005826B7"/>
    <w:rsid w:val="00583090"/>
    <w:rsid w:val="005835F4"/>
    <w:rsid w:val="00583C2B"/>
    <w:rsid w:val="00583EFE"/>
    <w:rsid w:val="005841A3"/>
    <w:rsid w:val="0058474F"/>
    <w:rsid w:val="00585BB5"/>
    <w:rsid w:val="00586FA8"/>
    <w:rsid w:val="00587C22"/>
    <w:rsid w:val="00590EAE"/>
    <w:rsid w:val="00590F5A"/>
    <w:rsid w:val="0059112A"/>
    <w:rsid w:val="00593202"/>
    <w:rsid w:val="00593216"/>
    <w:rsid w:val="005945AC"/>
    <w:rsid w:val="00594BC3"/>
    <w:rsid w:val="00594D43"/>
    <w:rsid w:val="00595A1C"/>
    <w:rsid w:val="005967E4"/>
    <w:rsid w:val="00596CA7"/>
    <w:rsid w:val="00596DC8"/>
    <w:rsid w:val="00596E16"/>
    <w:rsid w:val="00597634"/>
    <w:rsid w:val="005A0D9B"/>
    <w:rsid w:val="005A0F42"/>
    <w:rsid w:val="005A16A3"/>
    <w:rsid w:val="005A1D7E"/>
    <w:rsid w:val="005A253A"/>
    <w:rsid w:val="005A351B"/>
    <w:rsid w:val="005A3A58"/>
    <w:rsid w:val="005A5757"/>
    <w:rsid w:val="005A6461"/>
    <w:rsid w:val="005A6B42"/>
    <w:rsid w:val="005A7967"/>
    <w:rsid w:val="005B1D87"/>
    <w:rsid w:val="005B4421"/>
    <w:rsid w:val="005B45EE"/>
    <w:rsid w:val="005B54F4"/>
    <w:rsid w:val="005B589E"/>
    <w:rsid w:val="005B6247"/>
    <w:rsid w:val="005B7929"/>
    <w:rsid w:val="005C25D1"/>
    <w:rsid w:val="005C464B"/>
    <w:rsid w:val="005C6F14"/>
    <w:rsid w:val="005C74A0"/>
    <w:rsid w:val="005D052C"/>
    <w:rsid w:val="005D0DF9"/>
    <w:rsid w:val="005D16FE"/>
    <w:rsid w:val="005D29F4"/>
    <w:rsid w:val="005D2EE1"/>
    <w:rsid w:val="005D3875"/>
    <w:rsid w:val="005D4084"/>
    <w:rsid w:val="005D4777"/>
    <w:rsid w:val="005D4C2B"/>
    <w:rsid w:val="005D4C74"/>
    <w:rsid w:val="005D5F13"/>
    <w:rsid w:val="005D60A7"/>
    <w:rsid w:val="005E0265"/>
    <w:rsid w:val="005E0652"/>
    <w:rsid w:val="005E06E3"/>
    <w:rsid w:val="005E1B4F"/>
    <w:rsid w:val="005E2217"/>
    <w:rsid w:val="005E22FF"/>
    <w:rsid w:val="005E2D68"/>
    <w:rsid w:val="005E3E35"/>
    <w:rsid w:val="005E4741"/>
    <w:rsid w:val="005E57FF"/>
    <w:rsid w:val="005E6E8F"/>
    <w:rsid w:val="005E70FC"/>
    <w:rsid w:val="005E7953"/>
    <w:rsid w:val="005E7E82"/>
    <w:rsid w:val="005F04D0"/>
    <w:rsid w:val="005F1054"/>
    <w:rsid w:val="005F1477"/>
    <w:rsid w:val="005F1696"/>
    <w:rsid w:val="005F17E5"/>
    <w:rsid w:val="005F18E0"/>
    <w:rsid w:val="005F1A4F"/>
    <w:rsid w:val="005F1DDA"/>
    <w:rsid w:val="005F1E3B"/>
    <w:rsid w:val="005F3CC1"/>
    <w:rsid w:val="005F6C28"/>
    <w:rsid w:val="005F6C55"/>
    <w:rsid w:val="005F6E36"/>
    <w:rsid w:val="005F7AB6"/>
    <w:rsid w:val="005F7E3C"/>
    <w:rsid w:val="00600FA8"/>
    <w:rsid w:val="0060218E"/>
    <w:rsid w:val="00602ACE"/>
    <w:rsid w:val="00603B44"/>
    <w:rsid w:val="00605E1D"/>
    <w:rsid w:val="006063DA"/>
    <w:rsid w:val="00606B9B"/>
    <w:rsid w:val="00606CE3"/>
    <w:rsid w:val="00607C05"/>
    <w:rsid w:val="006109B9"/>
    <w:rsid w:val="00611DD3"/>
    <w:rsid w:val="00611EF0"/>
    <w:rsid w:val="00612219"/>
    <w:rsid w:val="00612609"/>
    <w:rsid w:val="00612E04"/>
    <w:rsid w:val="00612FA3"/>
    <w:rsid w:val="0061409A"/>
    <w:rsid w:val="00614FAD"/>
    <w:rsid w:val="00615EB2"/>
    <w:rsid w:val="00616C14"/>
    <w:rsid w:val="006173A4"/>
    <w:rsid w:val="00617C44"/>
    <w:rsid w:val="00617D30"/>
    <w:rsid w:val="006206DE"/>
    <w:rsid w:val="00621231"/>
    <w:rsid w:val="0062208F"/>
    <w:rsid w:val="006234A7"/>
    <w:rsid w:val="00623A7F"/>
    <w:rsid w:val="00623C80"/>
    <w:rsid w:val="00624560"/>
    <w:rsid w:val="00624AAF"/>
    <w:rsid w:val="00624CB7"/>
    <w:rsid w:val="00624DD1"/>
    <w:rsid w:val="00625013"/>
    <w:rsid w:val="00625917"/>
    <w:rsid w:val="00625FFB"/>
    <w:rsid w:val="006263C8"/>
    <w:rsid w:val="0062643E"/>
    <w:rsid w:val="0062789F"/>
    <w:rsid w:val="00630710"/>
    <w:rsid w:val="0063096E"/>
    <w:rsid w:val="00632D97"/>
    <w:rsid w:val="006330D9"/>
    <w:rsid w:val="00633349"/>
    <w:rsid w:val="00633451"/>
    <w:rsid w:val="00633D61"/>
    <w:rsid w:val="0063402B"/>
    <w:rsid w:val="00635A86"/>
    <w:rsid w:val="00636069"/>
    <w:rsid w:val="00636570"/>
    <w:rsid w:val="00637269"/>
    <w:rsid w:val="00637901"/>
    <w:rsid w:val="00637E1B"/>
    <w:rsid w:val="006402DF"/>
    <w:rsid w:val="0064164B"/>
    <w:rsid w:val="006432AA"/>
    <w:rsid w:val="0064335B"/>
    <w:rsid w:val="00644468"/>
    <w:rsid w:val="00645AB1"/>
    <w:rsid w:val="00645CFC"/>
    <w:rsid w:val="00645F5E"/>
    <w:rsid w:val="00646A2B"/>
    <w:rsid w:val="00647B1E"/>
    <w:rsid w:val="00647C55"/>
    <w:rsid w:val="0065008B"/>
    <w:rsid w:val="00650BAE"/>
    <w:rsid w:val="00651A86"/>
    <w:rsid w:val="00653A3B"/>
    <w:rsid w:val="00653FD9"/>
    <w:rsid w:val="006542EC"/>
    <w:rsid w:val="0065433E"/>
    <w:rsid w:val="006548E1"/>
    <w:rsid w:val="00654BE7"/>
    <w:rsid w:val="00656328"/>
    <w:rsid w:val="00656999"/>
    <w:rsid w:val="00660279"/>
    <w:rsid w:val="00660B1C"/>
    <w:rsid w:val="006622B9"/>
    <w:rsid w:val="0066366C"/>
    <w:rsid w:val="0066371E"/>
    <w:rsid w:val="00665652"/>
    <w:rsid w:val="00665F12"/>
    <w:rsid w:val="00666805"/>
    <w:rsid w:val="00670D10"/>
    <w:rsid w:val="006724AD"/>
    <w:rsid w:val="0067314A"/>
    <w:rsid w:val="0067358A"/>
    <w:rsid w:val="00673920"/>
    <w:rsid w:val="00673D1E"/>
    <w:rsid w:val="00673FF4"/>
    <w:rsid w:val="0067576D"/>
    <w:rsid w:val="00675AEE"/>
    <w:rsid w:val="00676D43"/>
    <w:rsid w:val="006772B3"/>
    <w:rsid w:val="006777DA"/>
    <w:rsid w:val="00677A8F"/>
    <w:rsid w:val="00677ED7"/>
    <w:rsid w:val="00677F8A"/>
    <w:rsid w:val="00680126"/>
    <w:rsid w:val="006804BC"/>
    <w:rsid w:val="00680A22"/>
    <w:rsid w:val="00680B4F"/>
    <w:rsid w:val="006815E3"/>
    <w:rsid w:val="00681CA2"/>
    <w:rsid w:val="006821E3"/>
    <w:rsid w:val="006837BB"/>
    <w:rsid w:val="00683AD6"/>
    <w:rsid w:val="006842AE"/>
    <w:rsid w:val="006845B3"/>
    <w:rsid w:val="00686376"/>
    <w:rsid w:val="00687169"/>
    <w:rsid w:val="0068782E"/>
    <w:rsid w:val="00687AE7"/>
    <w:rsid w:val="0069097D"/>
    <w:rsid w:val="00691501"/>
    <w:rsid w:val="00692B23"/>
    <w:rsid w:val="00693CD8"/>
    <w:rsid w:val="00694155"/>
    <w:rsid w:val="00694571"/>
    <w:rsid w:val="00695667"/>
    <w:rsid w:val="00696332"/>
    <w:rsid w:val="006966D3"/>
    <w:rsid w:val="0069770C"/>
    <w:rsid w:val="00697766"/>
    <w:rsid w:val="006A01C1"/>
    <w:rsid w:val="006A1037"/>
    <w:rsid w:val="006A14E1"/>
    <w:rsid w:val="006A2979"/>
    <w:rsid w:val="006A3E07"/>
    <w:rsid w:val="006A422D"/>
    <w:rsid w:val="006A55AE"/>
    <w:rsid w:val="006A5773"/>
    <w:rsid w:val="006A5804"/>
    <w:rsid w:val="006A58F0"/>
    <w:rsid w:val="006A5E8F"/>
    <w:rsid w:val="006A6D52"/>
    <w:rsid w:val="006B0372"/>
    <w:rsid w:val="006B0764"/>
    <w:rsid w:val="006B0C50"/>
    <w:rsid w:val="006B199E"/>
    <w:rsid w:val="006B1DF6"/>
    <w:rsid w:val="006B2E3C"/>
    <w:rsid w:val="006B4467"/>
    <w:rsid w:val="006B4471"/>
    <w:rsid w:val="006B662A"/>
    <w:rsid w:val="006B6B5F"/>
    <w:rsid w:val="006B6C46"/>
    <w:rsid w:val="006B6E78"/>
    <w:rsid w:val="006B7B9D"/>
    <w:rsid w:val="006C0039"/>
    <w:rsid w:val="006C1455"/>
    <w:rsid w:val="006C1BC8"/>
    <w:rsid w:val="006C2585"/>
    <w:rsid w:val="006C2C85"/>
    <w:rsid w:val="006C3D19"/>
    <w:rsid w:val="006C4008"/>
    <w:rsid w:val="006C5931"/>
    <w:rsid w:val="006C644A"/>
    <w:rsid w:val="006C64B1"/>
    <w:rsid w:val="006C651E"/>
    <w:rsid w:val="006C660E"/>
    <w:rsid w:val="006C73EF"/>
    <w:rsid w:val="006C7E84"/>
    <w:rsid w:val="006D1723"/>
    <w:rsid w:val="006D1ACE"/>
    <w:rsid w:val="006D1DBB"/>
    <w:rsid w:val="006D2234"/>
    <w:rsid w:val="006D4511"/>
    <w:rsid w:val="006D586E"/>
    <w:rsid w:val="006D5D3F"/>
    <w:rsid w:val="006D60ED"/>
    <w:rsid w:val="006D7BA8"/>
    <w:rsid w:val="006E011A"/>
    <w:rsid w:val="006E1166"/>
    <w:rsid w:val="006E1629"/>
    <w:rsid w:val="006E2C2A"/>
    <w:rsid w:val="006E2C7E"/>
    <w:rsid w:val="006E596E"/>
    <w:rsid w:val="006F033F"/>
    <w:rsid w:val="006F0A22"/>
    <w:rsid w:val="006F153D"/>
    <w:rsid w:val="006F2D7D"/>
    <w:rsid w:val="006F33B8"/>
    <w:rsid w:val="006F4C9C"/>
    <w:rsid w:val="006F5170"/>
    <w:rsid w:val="006F5A44"/>
    <w:rsid w:val="006F5B62"/>
    <w:rsid w:val="006F640F"/>
    <w:rsid w:val="006F74B6"/>
    <w:rsid w:val="006F762A"/>
    <w:rsid w:val="00701B6B"/>
    <w:rsid w:val="0070384F"/>
    <w:rsid w:val="00703A9E"/>
    <w:rsid w:val="00703D6D"/>
    <w:rsid w:val="00704152"/>
    <w:rsid w:val="00704FB5"/>
    <w:rsid w:val="00706B71"/>
    <w:rsid w:val="00707864"/>
    <w:rsid w:val="00710C1E"/>
    <w:rsid w:val="00711F2C"/>
    <w:rsid w:val="0071246A"/>
    <w:rsid w:val="007129D6"/>
    <w:rsid w:val="00713493"/>
    <w:rsid w:val="00713494"/>
    <w:rsid w:val="00713A80"/>
    <w:rsid w:val="00714031"/>
    <w:rsid w:val="0071466E"/>
    <w:rsid w:val="00714A6C"/>
    <w:rsid w:val="00714CD3"/>
    <w:rsid w:val="00715326"/>
    <w:rsid w:val="007157FE"/>
    <w:rsid w:val="00715E43"/>
    <w:rsid w:val="00717A84"/>
    <w:rsid w:val="007206A8"/>
    <w:rsid w:val="0072116D"/>
    <w:rsid w:val="0072166B"/>
    <w:rsid w:val="00721821"/>
    <w:rsid w:val="0072422D"/>
    <w:rsid w:val="00724296"/>
    <w:rsid w:val="0072477D"/>
    <w:rsid w:val="00725B78"/>
    <w:rsid w:val="00725F25"/>
    <w:rsid w:val="00726C44"/>
    <w:rsid w:val="00727082"/>
    <w:rsid w:val="00727C6D"/>
    <w:rsid w:val="00731D2A"/>
    <w:rsid w:val="0073233C"/>
    <w:rsid w:val="00732D0C"/>
    <w:rsid w:val="00733EAD"/>
    <w:rsid w:val="0073419C"/>
    <w:rsid w:val="00734630"/>
    <w:rsid w:val="00734F54"/>
    <w:rsid w:val="00736AC7"/>
    <w:rsid w:val="007421BE"/>
    <w:rsid w:val="00743880"/>
    <w:rsid w:val="00743A57"/>
    <w:rsid w:val="00744110"/>
    <w:rsid w:val="00744595"/>
    <w:rsid w:val="00745D0F"/>
    <w:rsid w:val="0074697A"/>
    <w:rsid w:val="00747A52"/>
    <w:rsid w:val="00750A41"/>
    <w:rsid w:val="007512C6"/>
    <w:rsid w:val="007518F3"/>
    <w:rsid w:val="00751AC2"/>
    <w:rsid w:val="00751C12"/>
    <w:rsid w:val="00752691"/>
    <w:rsid w:val="007528F2"/>
    <w:rsid w:val="00752B2E"/>
    <w:rsid w:val="00753D91"/>
    <w:rsid w:val="0075449E"/>
    <w:rsid w:val="007547EF"/>
    <w:rsid w:val="00755166"/>
    <w:rsid w:val="00755C52"/>
    <w:rsid w:val="00755E61"/>
    <w:rsid w:val="00756900"/>
    <w:rsid w:val="00756E3A"/>
    <w:rsid w:val="00760261"/>
    <w:rsid w:val="0076057A"/>
    <w:rsid w:val="00761595"/>
    <w:rsid w:val="00761EED"/>
    <w:rsid w:val="0076211C"/>
    <w:rsid w:val="00763700"/>
    <w:rsid w:val="00763FCB"/>
    <w:rsid w:val="007640A2"/>
    <w:rsid w:val="0076427C"/>
    <w:rsid w:val="00764AF2"/>
    <w:rsid w:val="00764E4B"/>
    <w:rsid w:val="0076510E"/>
    <w:rsid w:val="00765217"/>
    <w:rsid w:val="00765414"/>
    <w:rsid w:val="007659AA"/>
    <w:rsid w:val="0076709B"/>
    <w:rsid w:val="007677BD"/>
    <w:rsid w:val="00770F03"/>
    <w:rsid w:val="00771CE2"/>
    <w:rsid w:val="0077266C"/>
    <w:rsid w:val="00773B4A"/>
    <w:rsid w:val="007746EA"/>
    <w:rsid w:val="00775066"/>
    <w:rsid w:val="00775DBD"/>
    <w:rsid w:val="00776406"/>
    <w:rsid w:val="007765DE"/>
    <w:rsid w:val="00776669"/>
    <w:rsid w:val="00777305"/>
    <w:rsid w:val="00777C40"/>
    <w:rsid w:val="0078005A"/>
    <w:rsid w:val="007802B3"/>
    <w:rsid w:val="00781B6F"/>
    <w:rsid w:val="00781F9C"/>
    <w:rsid w:val="00782678"/>
    <w:rsid w:val="00782DFD"/>
    <w:rsid w:val="00783442"/>
    <w:rsid w:val="00783B5F"/>
    <w:rsid w:val="0078429E"/>
    <w:rsid w:val="00784AC9"/>
    <w:rsid w:val="00785474"/>
    <w:rsid w:val="00785D40"/>
    <w:rsid w:val="007870F2"/>
    <w:rsid w:val="00787178"/>
    <w:rsid w:val="007871C6"/>
    <w:rsid w:val="00787B99"/>
    <w:rsid w:val="00792783"/>
    <w:rsid w:val="00792F16"/>
    <w:rsid w:val="0079421C"/>
    <w:rsid w:val="0079439C"/>
    <w:rsid w:val="0079526D"/>
    <w:rsid w:val="00795A2C"/>
    <w:rsid w:val="00797390"/>
    <w:rsid w:val="007A02E6"/>
    <w:rsid w:val="007A05B6"/>
    <w:rsid w:val="007A1298"/>
    <w:rsid w:val="007A1C0A"/>
    <w:rsid w:val="007A1C59"/>
    <w:rsid w:val="007A31C3"/>
    <w:rsid w:val="007A368E"/>
    <w:rsid w:val="007A374A"/>
    <w:rsid w:val="007A3C5E"/>
    <w:rsid w:val="007A41FB"/>
    <w:rsid w:val="007A446A"/>
    <w:rsid w:val="007A469E"/>
    <w:rsid w:val="007A4CCB"/>
    <w:rsid w:val="007A4CFC"/>
    <w:rsid w:val="007A5B41"/>
    <w:rsid w:val="007A6422"/>
    <w:rsid w:val="007A7B6E"/>
    <w:rsid w:val="007B244D"/>
    <w:rsid w:val="007B5CFA"/>
    <w:rsid w:val="007C0199"/>
    <w:rsid w:val="007C0244"/>
    <w:rsid w:val="007C2618"/>
    <w:rsid w:val="007C2752"/>
    <w:rsid w:val="007C31E2"/>
    <w:rsid w:val="007C3648"/>
    <w:rsid w:val="007C36F0"/>
    <w:rsid w:val="007C3923"/>
    <w:rsid w:val="007C5CE1"/>
    <w:rsid w:val="007C6F85"/>
    <w:rsid w:val="007C7193"/>
    <w:rsid w:val="007C75E0"/>
    <w:rsid w:val="007C7C5A"/>
    <w:rsid w:val="007D09BE"/>
    <w:rsid w:val="007D1033"/>
    <w:rsid w:val="007D16B1"/>
    <w:rsid w:val="007D19E4"/>
    <w:rsid w:val="007D29FA"/>
    <w:rsid w:val="007D3D81"/>
    <w:rsid w:val="007D56D5"/>
    <w:rsid w:val="007D5B04"/>
    <w:rsid w:val="007D7400"/>
    <w:rsid w:val="007D7761"/>
    <w:rsid w:val="007D79FF"/>
    <w:rsid w:val="007E00EE"/>
    <w:rsid w:val="007E02A7"/>
    <w:rsid w:val="007E06BA"/>
    <w:rsid w:val="007E3247"/>
    <w:rsid w:val="007E468A"/>
    <w:rsid w:val="007E5B2D"/>
    <w:rsid w:val="007E5E1B"/>
    <w:rsid w:val="007E6573"/>
    <w:rsid w:val="007E7F4C"/>
    <w:rsid w:val="007F2E51"/>
    <w:rsid w:val="007F3018"/>
    <w:rsid w:val="007F47D0"/>
    <w:rsid w:val="007F54C9"/>
    <w:rsid w:val="007F5DD2"/>
    <w:rsid w:val="007F696E"/>
    <w:rsid w:val="007F6AEF"/>
    <w:rsid w:val="007F6F60"/>
    <w:rsid w:val="007F7D93"/>
    <w:rsid w:val="007F7F04"/>
    <w:rsid w:val="0080160C"/>
    <w:rsid w:val="008049C0"/>
    <w:rsid w:val="0080583A"/>
    <w:rsid w:val="008060C3"/>
    <w:rsid w:val="008063A1"/>
    <w:rsid w:val="00807F00"/>
    <w:rsid w:val="00810506"/>
    <w:rsid w:val="00812843"/>
    <w:rsid w:val="008134BD"/>
    <w:rsid w:val="00813BD4"/>
    <w:rsid w:val="008143CC"/>
    <w:rsid w:val="00814656"/>
    <w:rsid w:val="00816F96"/>
    <w:rsid w:val="008177AB"/>
    <w:rsid w:val="00817989"/>
    <w:rsid w:val="00820E45"/>
    <w:rsid w:val="00820EC1"/>
    <w:rsid w:val="00821704"/>
    <w:rsid w:val="00821E2C"/>
    <w:rsid w:val="00822835"/>
    <w:rsid w:val="0082312E"/>
    <w:rsid w:val="00823D50"/>
    <w:rsid w:val="00823F79"/>
    <w:rsid w:val="0082580F"/>
    <w:rsid w:val="00826491"/>
    <w:rsid w:val="00826758"/>
    <w:rsid w:val="008268C7"/>
    <w:rsid w:val="0082746E"/>
    <w:rsid w:val="0082775F"/>
    <w:rsid w:val="00827F90"/>
    <w:rsid w:val="00830652"/>
    <w:rsid w:val="00831BFF"/>
    <w:rsid w:val="00832C7E"/>
    <w:rsid w:val="00832F46"/>
    <w:rsid w:val="008353E0"/>
    <w:rsid w:val="00836090"/>
    <w:rsid w:val="008365F0"/>
    <w:rsid w:val="0083683B"/>
    <w:rsid w:val="008403B2"/>
    <w:rsid w:val="00840F17"/>
    <w:rsid w:val="00841534"/>
    <w:rsid w:val="00842A4B"/>
    <w:rsid w:val="0084359D"/>
    <w:rsid w:val="008447DD"/>
    <w:rsid w:val="00845367"/>
    <w:rsid w:val="0084578B"/>
    <w:rsid w:val="008462F1"/>
    <w:rsid w:val="00850FA0"/>
    <w:rsid w:val="00850FDE"/>
    <w:rsid w:val="00851DB1"/>
    <w:rsid w:val="00852876"/>
    <w:rsid w:val="00852B73"/>
    <w:rsid w:val="00853C0A"/>
    <w:rsid w:val="0085404D"/>
    <w:rsid w:val="008543F5"/>
    <w:rsid w:val="00854490"/>
    <w:rsid w:val="008548D3"/>
    <w:rsid w:val="00854BB9"/>
    <w:rsid w:val="008560A7"/>
    <w:rsid w:val="00856256"/>
    <w:rsid w:val="008572C4"/>
    <w:rsid w:val="0085733E"/>
    <w:rsid w:val="008604A8"/>
    <w:rsid w:val="00860754"/>
    <w:rsid w:val="008613B7"/>
    <w:rsid w:val="00861AFA"/>
    <w:rsid w:val="00862229"/>
    <w:rsid w:val="008626A0"/>
    <w:rsid w:val="00863BEF"/>
    <w:rsid w:val="00863C61"/>
    <w:rsid w:val="00864DA0"/>
    <w:rsid w:val="00865522"/>
    <w:rsid w:val="00865ADF"/>
    <w:rsid w:val="0086644C"/>
    <w:rsid w:val="008666B5"/>
    <w:rsid w:val="00866942"/>
    <w:rsid w:val="00867677"/>
    <w:rsid w:val="00867CEB"/>
    <w:rsid w:val="008703B3"/>
    <w:rsid w:val="0087072B"/>
    <w:rsid w:val="00870B34"/>
    <w:rsid w:val="00870CFE"/>
    <w:rsid w:val="00870DDA"/>
    <w:rsid w:val="008713D4"/>
    <w:rsid w:val="0087442B"/>
    <w:rsid w:val="00875CCB"/>
    <w:rsid w:val="0087643D"/>
    <w:rsid w:val="00876815"/>
    <w:rsid w:val="00876947"/>
    <w:rsid w:val="00876985"/>
    <w:rsid w:val="00876C4A"/>
    <w:rsid w:val="008771B5"/>
    <w:rsid w:val="0087753C"/>
    <w:rsid w:val="00880825"/>
    <w:rsid w:val="00881ED3"/>
    <w:rsid w:val="008827EC"/>
    <w:rsid w:val="00882931"/>
    <w:rsid w:val="00883780"/>
    <w:rsid w:val="008839A6"/>
    <w:rsid w:val="00883B99"/>
    <w:rsid w:val="00883FEF"/>
    <w:rsid w:val="00885066"/>
    <w:rsid w:val="0088665E"/>
    <w:rsid w:val="00887231"/>
    <w:rsid w:val="00891958"/>
    <w:rsid w:val="00891AB8"/>
    <w:rsid w:val="008923C8"/>
    <w:rsid w:val="00892D3D"/>
    <w:rsid w:val="00893260"/>
    <w:rsid w:val="008932A8"/>
    <w:rsid w:val="008942F7"/>
    <w:rsid w:val="00894A9E"/>
    <w:rsid w:val="00894D9F"/>
    <w:rsid w:val="008950F6"/>
    <w:rsid w:val="008958BF"/>
    <w:rsid w:val="0089619B"/>
    <w:rsid w:val="00896815"/>
    <w:rsid w:val="008972FB"/>
    <w:rsid w:val="0089730A"/>
    <w:rsid w:val="008A00CC"/>
    <w:rsid w:val="008A0744"/>
    <w:rsid w:val="008A0A6E"/>
    <w:rsid w:val="008A0D0F"/>
    <w:rsid w:val="008A18A1"/>
    <w:rsid w:val="008A2D42"/>
    <w:rsid w:val="008A2FB3"/>
    <w:rsid w:val="008A3949"/>
    <w:rsid w:val="008A398B"/>
    <w:rsid w:val="008A441F"/>
    <w:rsid w:val="008A507A"/>
    <w:rsid w:val="008A5601"/>
    <w:rsid w:val="008A5628"/>
    <w:rsid w:val="008A57F8"/>
    <w:rsid w:val="008A59AD"/>
    <w:rsid w:val="008A5BFC"/>
    <w:rsid w:val="008A6435"/>
    <w:rsid w:val="008B0BAA"/>
    <w:rsid w:val="008B0EEB"/>
    <w:rsid w:val="008B14E9"/>
    <w:rsid w:val="008B1797"/>
    <w:rsid w:val="008B4167"/>
    <w:rsid w:val="008B51FD"/>
    <w:rsid w:val="008B6034"/>
    <w:rsid w:val="008B6035"/>
    <w:rsid w:val="008C0B4C"/>
    <w:rsid w:val="008C1012"/>
    <w:rsid w:val="008C1939"/>
    <w:rsid w:val="008C1992"/>
    <w:rsid w:val="008C1CE1"/>
    <w:rsid w:val="008C3396"/>
    <w:rsid w:val="008C3F32"/>
    <w:rsid w:val="008C56C1"/>
    <w:rsid w:val="008C5A36"/>
    <w:rsid w:val="008C621C"/>
    <w:rsid w:val="008C697C"/>
    <w:rsid w:val="008C71C2"/>
    <w:rsid w:val="008C7397"/>
    <w:rsid w:val="008C75ED"/>
    <w:rsid w:val="008C7649"/>
    <w:rsid w:val="008D0721"/>
    <w:rsid w:val="008D2D0B"/>
    <w:rsid w:val="008D56B3"/>
    <w:rsid w:val="008D5B30"/>
    <w:rsid w:val="008D61AC"/>
    <w:rsid w:val="008D63AB"/>
    <w:rsid w:val="008D6BCF"/>
    <w:rsid w:val="008D7C76"/>
    <w:rsid w:val="008E0991"/>
    <w:rsid w:val="008E2163"/>
    <w:rsid w:val="008E248F"/>
    <w:rsid w:val="008E338E"/>
    <w:rsid w:val="008E3D7D"/>
    <w:rsid w:val="008E413A"/>
    <w:rsid w:val="008E4CFC"/>
    <w:rsid w:val="008E54C6"/>
    <w:rsid w:val="008E57FE"/>
    <w:rsid w:val="008E5AAA"/>
    <w:rsid w:val="008E5C5D"/>
    <w:rsid w:val="008E6C74"/>
    <w:rsid w:val="008E7F53"/>
    <w:rsid w:val="008F098C"/>
    <w:rsid w:val="008F1994"/>
    <w:rsid w:val="008F2665"/>
    <w:rsid w:val="008F4E39"/>
    <w:rsid w:val="008F6376"/>
    <w:rsid w:val="008F6963"/>
    <w:rsid w:val="008F6ADB"/>
    <w:rsid w:val="00900074"/>
    <w:rsid w:val="00900F84"/>
    <w:rsid w:val="00901591"/>
    <w:rsid w:val="00901759"/>
    <w:rsid w:val="009019FB"/>
    <w:rsid w:val="00901BA4"/>
    <w:rsid w:val="00901BCE"/>
    <w:rsid w:val="009031AC"/>
    <w:rsid w:val="00903E47"/>
    <w:rsid w:val="00905579"/>
    <w:rsid w:val="0090594B"/>
    <w:rsid w:val="00905B05"/>
    <w:rsid w:val="00906B54"/>
    <w:rsid w:val="0090753C"/>
    <w:rsid w:val="00907736"/>
    <w:rsid w:val="00907919"/>
    <w:rsid w:val="009105EC"/>
    <w:rsid w:val="00911915"/>
    <w:rsid w:val="00911B66"/>
    <w:rsid w:val="00913E55"/>
    <w:rsid w:val="00914C4F"/>
    <w:rsid w:val="00915330"/>
    <w:rsid w:val="009153EE"/>
    <w:rsid w:val="00915645"/>
    <w:rsid w:val="00915B33"/>
    <w:rsid w:val="00916E69"/>
    <w:rsid w:val="00917525"/>
    <w:rsid w:val="0091777D"/>
    <w:rsid w:val="00917D4E"/>
    <w:rsid w:val="0092057D"/>
    <w:rsid w:val="0092179B"/>
    <w:rsid w:val="009218DE"/>
    <w:rsid w:val="00922D00"/>
    <w:rsid w:val="009233E6"/>
    <w:rsid w:val="00924E10"/>
    <w:rsid w:val="00925451"/>
    <w:rsid w:val="00926640"/>
    <w:rsid w:val="00926661"/>
    <w:rsid w:val="009266DA"/>
    <w:rsid w:val="00930677"/>
    <w:rsid w:val="00930C3A"/>
    <w:rsid w:val="00930DE8"/>
    <w:rsid w:val="009318DD"/>
    <w:rsid w:val="00931C61"/>
    <w:rsid w:val="00931C7F"/>
    <w:rsid w:val="00932425"/>
    <w:rsid w:val="00932742"/>
    <w:rsid w:val="00932A0A"/>
    <w:rsid w:val="00935413"/>
    <w:rsid w:val="00935F5D"/>
    <w:rsid w:val="009368E0"/>
    <w:rsid w:val="00940536"/>
    <w:rsid w:val="00940BF1"/>
    <w:rsid w:val="00941226"/>
    <w:rsid w:val="009418E9"/>
    <w:rsid w:val="009421F1"/>
    <w:rsid w:val="009424CB"/>
    <w:rsid w:val="0094260B"/>
    <w:rsid w:val="00942661"/>
    <w:rsid w:val="00943A19"/>
    <w:rsid w:val="00943FF9"/>
    <w:rsid w:val="00945307"/>
    <w:rsid w:val="0094558D"/>
    <w:rsid w:val="00946FCE"/>
    <w:rsid w:val="0094703B"/>
    <w:rsid w:val="009501C5"/>
    <w:rsid w:val="00950F55"/>
    <w:rsid w:val="009515BC"/>
    <w:rsid w:val="00951828"/>
    <w:rsid w:val="00951B2B"/>
    <w:rsid w:val="00952C77"/>
    <w:rsid w:val="00953ED0"/>
    <w:rsid w:val="0095452E"/>
    <w:rsid w:val="0095492E"/>
    <w:rsid w:val="00955F7D"/>
    <w:rsid w:val="009562E2"/>
    <w:rsid w:val="00956345"/>
    <w:rsid w:val="009572CC"/>
    <w:rsid w:val="00957DA9"/>
    <w:rsid w:val="00960186"/>
    <w:rsid w:val="0096242F"/>
    <w:rsid w:val="00962FF5"/>
    <w:rsid w:val="00964A4E"/>
    <w:rsid w:val="009654E9"/>
    <w:rsid w:val="00965B02"/>
    <w:rsid w:val="00965C07"/>
    <w:rsid w:val="00966D83"/>
    <w:rsid w:val="00970A72"/>
    <w:rsid w:val="00970E6B"/>
    <w:rsid w:val="00971847"/>
    <w:rsid w:val="009725E5"/>
    <w:rsid w:val="009727F6"/>
    <w:rsid w:val="00972964"/>
    <w:rsid w:val="00973605"/>
    <w:rsid w:val="00973C19"/>
    <w:rsid w:val="00974F3B"/>
    <w:rsid w:val="00975CBD"/>
    <w:rsid w:val="009761E3"/>
    <w:rsid w:val="00976B38"/>
    <w:rsid w:val="0097733E"/>
    <w:rsid w:val="00977566"/>
    <w:rsid w:val="0097762F"/>
    <w:rsid w:val="00977DA3"/>
    <w:rsid w:val="00977FDB"/>
    <w:rsid w:val="00980DCD"/>
    <w:rsid w:val="009812C4"/>
    <w:rsid w:val="009816B8"/>
    <w:rsid w:val="0098766F"/>
    <w:rsid w:val="00990100"/>
    <w:rsid w:val="00990235"/>
    <w:rsid w:val="00990FCE"/>
    <w:rsid w:val="00991715"/>
    <w:rsid w:val="00991E1C"/>
    <w:rsid w:val="00992665"/>
    <w:rsid w:val="0099270F"/>
    <w:rsid w:val="00993912"/>
    <w:rsid w:val="00994050"/>
    <w:rsid w:val="00994D73"/>
    <w:rsid w:val="00995A43"/>
    <w:rsid w:val="00995E79"/>
    <w:rsid w:val="009962CF"/>
    <w:rsid w:val="00996B4D"/>
    <w:rsid w:val="009975C0"/>
    <w:rsid w:val="009A0C93"/>
    <w:rsid w:val="009A13B3"/>
    <w:rsid w:val="009A182D"/>
    <w:rsid w:val="009A2DEE"/>
    <w:rsid w:val="009A4C11"/>
    <w:rsid w:val="009A4D85"/>
    <w:rsid w:val="009A4D95"/>
    <w:rsid w:val="009A5815"/>
    <w:rsid w:val="009A5DB1"/>
    <w:rsid w:val="009A7306"/>
    <w:rsid w:val="009A7C5A"/>
    <w:rsid w:val="009A7E51"/>
    <w:rsid w:val="009B050C"/>
    <w:rsid w:val="009B0D06"/>
    <w:rsid w:val="009B15CF"/>
    <w:rsid w:val="009B21B9"/>
    <w:rsid w:val="009B240D"/>
    <w:rsid w:val="009B2995"/>
    <w:rsid w:val="009B2E26"/>
    <w:rsid w:val="009B3081"/>
    <w:rsid w:val="009B3DBB"/>
    <w:rsid w:val="009B434E"/>
    <w:rsid w:val="009B48D5"/>
    <w:rsid w:val="009B4CD0"/>
    <w:rsid w:val="009B5677"/>
    <w:rsid w:val="009C093A"/>
    <w:rsid w:val="009C21C6"/>
    <w:rsid w:val="009C2BA5"/>
    <w:rsid w:val="009C383B"/>
    <w:rsid w:val="009C3A80"/>
    <w:rsid w:val="009C5238"/>
    <w:rsid w:val="009C5458"/>
    <w:rsid w:val="009C7F97"/>
    <w:rsid w:val="009D003E"/>
    <w:rsid w:val="009D0781"/>
    <w:rsid w:val="009D0D65"/>
    <w:rsid w:val="009D12B4"/>
    <w:rsid w:val="009D2135"/>
    <w:rsid w:val="009D255C"/>
    <w:rsid w:val="009D2F2D"/>
    <w:rsid w:val="009D2FA7"/>
    <w:rsid w:val="009D4CAE"/>
    <w:rsid w:val="009D54D5"/>
    <w:rsid w:val="009D552D"/>
    <w:rsid w:val="009D55F9"/>
    <w:rsid w:val="009D5A11"/>
    <w:rsid w:val="009D765B"/>
    <w:rsid w:val="009D7760"/>
    <w:rsid w:val="009D7B13"/>
    <w:rsid w:val="009E16E6"/>
    <w:rsid w:val="009E1983"/>
    <w:rsid w:val="009E1CAB"/>
    <w:rsid w:val="009E237C"/>
    <w:rsid w:val="009E27CA"/>
    <w:rsid w:val="009E2953"/>
    <w:rsid w:val="009E30CE"/>
    <w:rsid w:val="009E345B"/>
    <w:rsid w:val="009E3C2D"/>
    <w:rsid w:val="009E45EC"/>
    <w:rsid w:val="009E5435"/>
    <w:rsid w:val="009E5B8D"/>
    <w:rsid w:val="009E76D9"/>
    <w:rsid w:val="009F04C3"/>
    <w:rsid w:val="009F0760"/>
    <w:rsid w:val="009F5159"/>
    <w:rsid w:val="009F582D"/>
    <w:rsid w:val="009F6523"/>
    <w:rsid w:val="009F6F7B"/>
    <w:rsid w:val="009F7044"/>
    <w:rsid w:val="009F7BA6"/>
    <w:rsid w:val="00A00057"/>
    <w:rsid w:val="00A00485"/>
    <w:rsid w:val="00A01971"/>
    <w:rsid w:val="00A01999"/>
    <w:rsid w:val="00A01A5F"/>
    <w:rsid w:val="00A020BC"/>
    <w:rsid w:val="00A02C96"/>
    <w:rsid w:val="00A02CEE"/>
    <w:rsid w:val="00A02E65"/>
    <w:rsid w:val="00A0340A"/>
    <w:rsid w:val="00A0440C"/>
    <w:rsid w:val="00A0585F"/>
    <w:rsid w:val="00A05922"/>
    <w:rsid w:val="00A06091"/>
    <w:rsid w:val="00A0627E"/>
    <w:rsid w:val="00A0686B"/>
    <w:rsid w:val="00A0687F"/>
    <w:rsid w:val="00A0694A"/>
    <w:rsid w:val="00A10A30"/>
    <w:rsid w:val="00A1137C"/>
    <w:rsid w:val="00A113D7"/>
    <w:rsid w:val="00A11959"/>
    <w:rsid w:val="00A11F0F"/>
    <w:rsid w:val="00A13B52"/>
    <w:rsid w:val="00A1513E"/>
    <w:rsid w:val="00A1544C"/>
    <w:rsid w:val="00A156D9"/>
    <w:rsid w:val="00A16126"/>
    <w:rsid w:val="00A16798"/>
    <w:rsid w:val="00A16E21"/>
    <w:rsid w:val="00A1703C"/>
    <w:rsid w:val="00A22F50"/>
    <w:rsid w:val="00A232BB"/>
    <w:rsid w:val="00A24133"/>
    <w:rsid w:val="00A243E6"/>
    <w:rsid w:val="00A24F33"/>
    <w:rsid w:val="00A2501A"/>
    <w:rsid w:val="00A253D6"/>
    <w:rsid w:val="00A25439"/>
    <w:rsid w:val="00A26098"/>
    <w:rsid w:val="00A262BF"/>
    <w:rsid w:val="00A26C46"/>
    <w:rsid w:val="00A26C8C"/>
    <w:rsid w:val="00A27809"/>
    <w:rsid w:val="00A30252"/>
    <w:rsid w:val="00A30407"/>
    <w:rsid w:val="00A3171B"/>
    <w:rsid w:val="00A317B0"/>
    <w:rsid w:val="00A31D25"/>
    <w:rsid w:val="00A324A2"/>
    <w:rsid w:val="00A32540"/>
    <w:rsid w:val="00A34591"/>
    <w:rsid w:val="00A34E44"/>
    <w:rsid w:val="00A352A2"/>
    <w:rsid w:val="00A3639D"/>
    <w:rsid w:val="00A3640F"/>
    <w:rsid w:val="00A372B6"/>
    <w:rsid w:val="00A40CE2"/>
    <w:rsid w:val="00A419B7"/>
    <w:rsid w:val="00A43770"/>
    <w:rsid w:val="00A43BFF"/>
    <w:rsid w:val="00A447A5"/>
    <w:rsid w:val="00A457CA"/>
    <w:rsid w:val="00A460E9"/>
    <w:rsid w:val="00A47176"/>
    <w:rsid w:val="00A475C5"/>
    <w:rsid w:val="00A4768C"/>
    <w:rsid w:val="00A5008F"/>
    <w:rsid w:val="00A509F6"/>
    <w:rsid w:val="00A50A68"/>
    <w:rsid w:val="00A50D3B"/>
    <w:rsid w:val="00A512F7"/>
    <w:rsid w:val="00A51530"/>
    <w:rsid w:val="00A518AA"/>
    <w:rsid w:val="00A52CA3"/>
    <w:rsid w:val="00A53006"/>
    <w:rsid w:val="00A53A3B"/>
    <w:rsid w:val="00A5574A"/>
    <w:rsid w:val="00A562A3"/>
    <w:rsid w:val="00A56348"/>
    <w:rsid w:val="00A563AC"/>
    <w:rsid w:val="00A564D4"/>
    <w:rsid w:val="00A5703F"/>
    <w:rsid w:val="00A57D39"/>
    <w:rsid w:val="00A57E53"/>
    <w:rsid w:val="00A6276D"/>
    <w:rsid w:val="00A62BD3"/>
    <w:rsid w:val="00A62DFD"/>
    <w:rsid w:val="00A64516"/>
    <w:rsid w:val="00A65316"/>
    <w:rsid w:val="00A66DEA"/>
    <w:rsid w:val="00A66E26"/>
    <w:rsid w:val="00A67311"/>
    <w:rsid w:val="00A70581"/>
    <w:rsid w:val="00A70F69"/>
    <w:rsid w:val="00A72611"/>
    <w:rsid w:val="00A73ABB"/>
    <w:rsid w:val="00A7403E"/>
    <w:rsid w:val="00A761A8"/>
    <w:rsid w:val="00A764C0"/>
    <w:rsid w:val="00A76D2C"/>
    <w:rsid w:val="00A77746"/>
    <w:rsid w:val="00A7798C"/>
    <w:rsid w:val="00A8014A"/>
    <w:rsid w:val="00A806AA"/>
    <w:rsid w:val="00A8141D"/>
    <w:rsid w:val="00A81B8B"/>
    <w:rsid w:val="00A82991"/>
    <w:rsid w:val="00A839EE"/>
    <w:rsid w:val="00A83BF6"/>
    <w:rsid w:val="00A8519B"/>
    <w:rsid w:val="00A85A9B"/>
    <w:rsid w:val="00A86411"/>
    <w:rsid w:val="00A87411"/>
    <w:rsid w:val="00A87F31"/>
    <w:rsid w:val="00A9090B"/>
    <w:rsid w:val="00A90D27"/>
    <w:rsid w:val="00A9103B"/>
    <w:rsid w:val="00A9126D"/>
    <w:rsid w:val="00A91284"/>
    <w:rsid w:val="00A91333"/>
    <w:rsid w:val="00A918A7"/>
    <w:rsid w:val="00A91A4D"/>
    <w:rsid w:val="00A92871"/>
    <w:rsid w:val="00A92CD3"/>
    <w:rsid w:val="00A940CD"/>
    <w:rsid w:val="00A94426"/>
    <w:rsid w:val="00A955EB"/>
    <w:rsid w:val="00A9635E"/>
    <w:rsid w:val="00A9702B"/>
    <w:rsid w:val="00AA0C72"/>
    <w:rsid w:val="00AA1F49"/>
    <w:rsid w:val="00AA209E"/>
    <w:rsid w:val="00AA3A2E"/>
    <w:rsid w:val="00AA4099"/>
    <w:rsid w:val="00AA46AA"/>
    <w:rsid w:val="00AA52DB"/>
    <w:rsid w:val="00AA6913"/>
    <w:rsid w:val="00AA7E93"/>
    <w:rsid w:val="00AB03E6"/>
    <w:rsid w:val="00AB13D3"/>
    <w:rsid w:val="00AB2190"/>
    <w:rsid w:val="00AB25AE"/>
    <w:rsid w:val="00AB39EB"/>
    <w:rsid w:val="00AB3BAD"/>
    <w:rsid w:val="00AB3F27"/>
    <w:rsid w:val="00AB3FD9"/>
    <w:rsid w:val="00AB4498"/>
    <w:rsid w:val="00AB6A73"/>
    <w:rsid w:val="00AB7A06"/>
    <w:rsid w:val="00AB7DE7"/>
    <w:rsid w:val="00AC0027"/>
    <w:rsid w:val="00AC1BE7"/>
    <w:rsid w:val="00AC275F"/>
    <w:rsid w:val="00AC3F73"/>
    <w:rsid w:val="00AC48F1"/>
    <w:rsid w:val="00AC50A4"/>
    <w:rsid w:val="00AC58CD"/>
    <w:rsid w:val="00AC5A95"/>
    <w:rsid w:val="00AC6074"/>
    <w:rsid w:val="00AC6471"/>
    <w:rsid w:val="00AC7513"/>
    <w:rsid w:val="00AD0675"/>
    <w:rsid w:val="00AD1751"/>
    <w:rsid w:val="00AD2448"/>
    <w:rsid w:val="00AD2B6E"/>
    <w:rsid w:val="00AD30B2"/>
    <w:rsid w:val="00AD32CC"/>
    <w:rsid w:val="00AD3443"/>
    <w:rsid w:val="00AD4B3C"/>
    <w:rsid w:val="00AD4DE5"/>
    <w:rsid w:val="00AD5CC5"/>
    <w:rsid w:val="00AD5D26"/>
    <w:rsid w:val="00AD68A5"/>
    <w:rsid w:val="00AD7462"/>
    <w:rsid w:val="00AD7D75"/>
    <w:rsid w:val="00AE1068"/>
    <w:rsid w:val="00AE185D"/>
    <w:rsid w:val="00AE1BFE"/>
    <w:rsid w:val="00AE209E"/>
    <w:rsid w:val="00AE341F"/>
    <w:rsid w:val="00AE3842"/>
    <w:rsid w:val="00AE3D83"/>
    <w:rsid w:val="00AE485C"/>
    <w:rsid w:val="00AE4F3B"/>
    <w:rsid w:val="00AE5166"/>
    <w:rsid w:val="00AE52FA"/>
    <w:rsid w:val="00AE5CC7"/>
    <w:rsid w:val="00AE6E9E"/>
    <w:rsid w:val="00AE78CA"/>
    <w:rsid w:val="00AE7D4F"/>
    <w:rsid w:val="00AE7FE4"/>
    <w:rsid w:val="00AF06DD"/>
    <w:rsid w:val="00AF0BF7"/>
    <w:rsid w:val="00AF17D3"/>
    <w:rsid w:val="00AF1D77"/>
    <w:rsid w:val="00AF2104"/>
    <w:rsid w:val="00AF2839"/>
    <w:rsid w:val="00AF2AE3"/>
    <w:rsid w:val="00AF3498"/>
    <w:rsid w:val="00AF37D5"/>
    <w:rsid w:val="00AF38BA"/>
    <w:rsid w:val="00AF38DE"/>
    <w:rsid w:val="00AF3E5E"/>
    <w:rsid w:val="00AF4BB7"/>
    <w:rsid w:val="00AF4F67"/>
    <w:rsid w:val="00AF5811"/>
    <w:rsid w:val="00AF6509"/>
    <w:rsid w:val="00AF7074"/>
    <w:rsid w:val="00AF7FC3"/>
    <w:rsid w:val="00B0073D"/>
    <w:rsid w:val="00B00BBE"/>
    <w:rsid w:val="00B0162B"/>
    <w:rsid w:val="00B02C4D"/>
    <w:rsid w:val="00B02D97"/>
    <w:rsid w:val="00B030B2"/>
    <w:rsid w:val="00B0456E"/>
    <w:rsid w:val="00B04D25"/>
    <w:rsid w:val="00B05D55"/>
    <w:rsid w:val="00B067B4"/>
    <w:rsid w:val="00B06A05"/>
    <w:rsid w:val="00B06BF6"/>
    <w:rsid w:val="00B06F7F"/>
    <w:rsid w:val="00B07469"/>
    <w:rsid w:val="00B100F0"/>
    <w:rsid w:val="00B11586"/>
    <w:rsid w:val="00B11BDC"/>
    <w:rsid w:val="00B11E27"/>
    <w:rsid w:val="00B11F95"/>
    <w:rsid w:val="00B12DF1"/>
    <w:rsid w:val="00B12FD0"/>
    <w:rsid w:val="00B139CA"/>
    <w:rsid w:val="00B1402E"/>
    <w:rsid w:val="00B14EA9"/>
    <w:rsid w:val="00B15CCE"/>
    <w:rsid w:val="00B15F09"/>
    <w:rsid w:val="00B15FA9"/>
    <w:rsid w:val="00B16A81"/>
    <w:rsid w:val="00B210A6"/>
    <w:rsid w:val="00B21D50"/>
    <w:rsid w:val="00B22450"/>
    <w:rsid w:val="00B22C5C"/>
    <w:rsid w:val="00B22F9B"/>
    <w:rsid w:val="00B23279"/>
    <w:rsid w:val="00B23747"/>
    <w:rsid w:val="00B24090"/>
    <w:rsid w:val="00B24B60"/>
    <w:rsid w:val="00B257E3"/>
    <w:rsid w:val="00B260C7"/>
    <w:rsid w:val="00B27494"/>
    <w:rsid w:val="00B279B9"/>
    <w:rsid w:val="00B31426"/>
    <w:rsid w:val="00B31C2C"/>
    <w:rsid w:val="00B33280"/>
    <w:rsid w:val="00B3333D"/>
    <w:rsid w:val="00B344E9"/>
    <w:rsid w:val="00B34F48"/>
    <w:rsid w:val="00B3508F"/>
    <w:rsid w:val="00B35567"/>
    <w:rsid w:val="00B35CC8"/>
    <w:rsid w:val="00B3727A"/>
    <w:rsid w:val="00B40C7D"/>
    <w:rsid w:val="00B41184"/>
    <w:rsid w:val="00B4231B"/>
    <w:rsid w:val="00B43B58"/>
    <w:rsid w:val="00B43FB5"/>
    <w:rsid w:val="00B44B49"/>
    <w:rsid w:val="00B44D2B"/>
    <w:rsid w:val="00B45338"/>
    <w:rsid w:val="00B4798F"/>
    <w:rsid w:val="00B47ABB"/>
    <w:rsid w:val="00B47CFF"/>
    <w:rsid w:val="00B5025C"/>
    <w:rsid w:val="00B519E9"/>
    <w:rsid w:val="00B51BA0"/>
    <w:rsid w:val="00B535BD"/>
    <w:rsid w:val="00B53701"/>
    <w:rsid w:val="00B548DD"/>
    <w:rsid w:val="00B54D47"/>
    <w:rsid w:val="00B56A26"/>
    <w:rsid w:val="00B6023E"/>
    <w:rsid w:val="00B6110A"/>
    <w:rsid w:val="00B61428"/>
    <w:rsid w:val="00B6176A"/>
    <w:rsid w:val="00B6301A"/>
    <w:rsid w:val="00B64CAD"/>
    <w:rsid w:val="00B64CE8"/>
    <w:rsid w:val="00B65790"/>
    <w:rsid w:val="00B66721"/>
    <w:rsid w:val="00B66751"/>
    <w:rsid w:val="00B67AA6"/>
    <w:rsid w:val="00B67B40"/>
    <w:rsid w:val="00B67BAB"/>
    <w:rsid w:val="00B67E07"/>
    <w:rsid w:val="00B67F68"/>
    <w:rsid w:val="00B7066C"/>
    <w:rsid w:val="00B70AC3"/>
    <w:rsid w:val="00B70C24"/>
    <w:rsid w:val="00B717D8"/>
    <w:rsid w:val="00B724B8"/>
    <w:rsid w:val="00B726B7"/>
    <w:rsid w:val="00B72DF3"/>
    <w:rsid w:val="00B74146"/>
    <w:rsid w:val="00B75422"/>
    <w:rsid w:val="00B76F6C"/>
    <w:rsid w:val="00B76FFC"/>
    <w:rsid w:val="00B8080B"/>
    <w:rsid w:val="00B811EF"/>
    <w:rsid w:val="00B81FEF"/>
    <w:rsid w:val="00B83E85"/>
    <w:rsid w:val="00B85467"/>
    <w:rsid w:val="00B85975"/>
    <w:rsid w:val="00B8611F"/>
    <w:rsid w:val="00B86221"/>
    <w:rsid w:val="00B8655B"/>
    <w:rsid w:val="00B86901"/>
    <w:rsid w:val="00B86D94"/>
    <w:rsid w:val="00B86EF1"/>
    <w:rsid w:val="00B876A5"/>
    <w:rsid w:val="00B90674"/>
    <w:rsid w:val="00B90A5E"/>
    <w:rsid w:val="00B910A5"/>
    <w:rsid w:val="00B921E5"/>
    <w:rsid w:val="00B94323"/>
    <w:rsid w:val="00B961B7"/>
    <w:rsid w:val="00B96267"/>
    <w:rsid w:val="00B963D4"/>
    <w:rsid w:val="00B9772B"/>
    <w:rsid w:val="00B97B7A"/>
    <w:rsid w:val="00BA04E1"/>
    <w:rsid w:val="00BA1498"/>
    <w:rsid w:val="00BA2182"/>
    <w:rsid w:val="00BA2406"/>
    <w:rsid w:val="00BA2607"/>
    <w:rsid w:val="00BA27DC"/>
    <w:rsid w:val="00BA2DEF"/>
    <w:rsid w:val="00BA42FB"/>
    <w:rsid w:val="00BA4E60"/>
    <w:rsid w:val="00BA4FF2"/>
    <w:rsid w:val="00BA516F"/>
    <w:rsid w:val="00BA59B1"/>
    <w:rsid w:val="00BA628C"/>
    <w:rsid w:val="00BA65E6"/>
    <w:rsid w:val="00BA6E86"/>
    <w:rsid w:val="00BA7059"/>
    <w:rsid w:val="00BA716D"/>
    <w:rsid w:val="00BA72A4"/>
    <w:rsid w:val="00BB0051"/>
    <w:rsid w:val="00BB02C6"/>
    <w:rsid w:val="00BB1082"/>
    <w:rsid w:val="00BB2127"/>
    <w:rsid w:val="00BB2442"/>
    <w:rsid w:val="00BB3476"/>
    <w:rsid w:val="00BB3805"/>
    <w:rsid w:val="00BB52A5"/>
    <w:rsid w:val="00BB5809"/>
    <w:rsid w:val="00BB6740"/>
    <w:rsid w:val="00BB6C42"/>
    <w:rsid w:val="00BB7EA1"/>
    <w:rsid w:val="00BB7F81"/>
    <w:rsid w:val="00BC0089"/>
    <w:rsid w:val="00BC045C"/>
    <w:rsid w:val="00BC197F"/>
    <w:rsid w:val="00BC1D34"/>
    <w:rsid w:val="00BC2625"/>
    <w:rsid w:val="00BC269B"/>
    <w:rsid w:val="00BC27D2"/>
    <w:rsid w:val="00BC2CE1"/>
    <w:rsid w:val="00BC4310"/>
    <w:rsid w:val="00BC44BB"/>
    <w:rsid w:val="00BC46B5"/>
    <w:rsid w:val="00BC4B18"/>
    <w:rsid w:val="00BD10F4"/>
    <w:rsid w:val="00BD1E80"/>
    <w:rsid w:val="00BD35E1"/>
    <w:rsid w:val="00BD4CDF"/>
    <w:rsid w:val="00BD54FC"/>
    <w:rsid w:val="00BD5579"/>
    <w:rsid w:val="00BD63C3"/>
    <w:rsid w:val="00BD73D2"/>
    <w:rsid w:val="00BD76A4"/>
    <w:rsid w:val="00BD7813"/>
    <w:rsid w:val="00BE0EC6"/>
    <w:rsid w:val="00BE1C8A"/>
    <w:rsid w:val="00BE3873"/>
    <w:rsid w:val="00BE3FC7"/>
    <w:rsid w:val="00BE43B4"/>
    <w:rsid w:val="00BE4857"/>
    <w:rsid w:val="00BE52F7"/>
    <w:rsid w:val="00BE54A1"/>
    <w:rsid w:val="00BE5847"/>
    <w:rsid w:val="00BE5BE0"/>
    <w:rsid w:val="00BE5D10"/>
    <w:rsid w:val="00BE70E8"/>
    <w:rsid w:val="00BE78E5"/>
    <w:rsid w:val="00BF088F"/>
    <w:rsid w:val="00BF0E76"/>
    <w:rsid w:val="00BF1499"/>
    <w:rsid w:val="00BF1A56"/>
    <w:rsid w:val="00BF1BDA"/>
    <w:rsid w:val="00BF1EB3"/>
    <w:rsid w:val="00BF272B"/>
    <w:rsid w:val="00BF299D"/>
    <w:rsid w:val="00BF2B3E"/>
    <w:rsid w:val="00BF2DAF"/>
    <w:rsid w:val="00BF399E"/>
    <w:rsid w:val="00BF39BE"/>
    <w:rsid w:val="00BF44DC"/>
    <w:rsid w:val="00BF4B37"/>
    <w:rsid w:val="00BF4E1B"/>
    <w:rsid w:val="00BF62E6"/>
    <w:rsid w:val="00BF66E0"/>
    <w:rsid w:val="00BF733B"/>
    <w:rsid w:val="00C0183F"/>
    <w:rsid w:val="00C02C19"/>
    <w:rsid w:val="00C03356"/>
    <w:rsid w:val="00C0480F"/>
    <w:rsid w:val="00C04F20"/>
    <w:rsid w:val="00C054FA"/>
    <w:rsid w:val="00C07100"/>
    <w:rsid w:val="00C1043C"/>
    <w:rsid w:val="00C1134E"/>
    <w:rsid w:val="00C12A51"/>
    <w:rsid w:val="00C12F80"/>
    <w:rsid w:val="00C130B0"/>
    <w:rsid w:val="00C139CC"/>
    <w:rsid w:val="00C1569B"/>
    <w:rsid w:val="00C1591E"/>
    <w:rsid w:val="00C17147"/>
    <w:rsid w:val="00C17903"/>
    <w:rsid w:val="00C20D36"/>
    <w:rsid w:val="00C21038"/>
    <w:rsid w:val="00C22127"/>
    <w:rsid w:val="00C2351C"/>
    <w:rsid w:val="00C2396B"/>
    <w:rsid w:val="00C24505"/>
    <w:rsid w:val="00C258A3"/>
    <w:rsid w:val="00C267A4"/>
    <w:rsid w:val="00C276E3"/>
    <w:rsid w:val="00C27AD1"/>
    <w:rsid w:val="00C30625"/>
    <w:rsid w:val="00C30BA6"/>
    <w:rsid w:val="00C31467"/>
    <w:rsid w:val="00C329F8"/>
    <w:rsid w:val="00C338EC"/>
    <w:rsid w:val="00C34C75"/>
    <w:rsid w:val="00C34CCB"/>
    <w:rsid w:val="00C3531C"/>
    <w:rsid w:val="00C35FB2"/>
    <w:rsid w:val="00C36696"/>
    <w:rsid w:val="00C36720"/>
    <w:rsid w:val="00C36C75"/>
    <w:rsid w:val="00C37518"/>
    <w:rsid w:val="00C37CC7"/>
    <w:rsid w:val="00C37F00"/>
    <w:rsid w:val="00C42A3A"/>
    <w:rsid w:val="00C435B0"/>
    <w:rsid w:val="00C43C7A"/>
    <w:rsid w:val="00C45179"/>
    <w:rsid w:val="00C4517F"/>
    <w:rsid w:val="00C45232"/>
    <w:rsid w:val="00C46E94"/>
    <w:rsid w:val="00C50224"/>
    <w:rsid w:val="00C50231"/>
    <w:rsid w:val="00C504E5"/>
    <w:rsid w:val="00C50921"/>
    <w:rsid w:val="00C50B1B"/>
    <w:rsid w:val="00C51AAA"/>
    <w:rsid w:val="00C526A1"/>
    <w:rsid w:val="00C52BA5"/>
    <w:rsid w:val="00C53D05"/>
    <w:rsid w:val="00C54D8C"/>
    <w:rsid w:val="00C5549E"/>
    <w:rsid w:val="00C55F1D"/>
    <w:rsid w:val="00C57369"/>
    <w:rsid w:val="00C60895"/>
    <w:rsid w:val="00C61478"/>
    <w:rsid w:val="00C62177"/>
    <w:rsid w:val="00C621D5"/>
    <w:rsid w:val="00C64643"/>
    <w:rsid w:val="00C647E9"/>
    <w:rsid w:val="00C65969"/>
    <w:rsid w:val="00C66CEF"/>
    <w:rsid w:val="00C670FE"/>
    <w:rsid w:val="00C6772A"/>
    <w:rsid w:val="00C67E1C"/>
    <w:rsid w:val="00C67EA4"/>
    <w:rsid w:val="00C67F29"/>
    <w:rsid w:val="00C70AF1"/>
    <w:rsid w:val="00C72C92"/>
    <w:rsid w:val="00C7320F"/>
    <w:rsid w:val="00C73851"/>
    <w:rsid w:val="00C752FB"/>
    <w:rsid w:val="00C75492"/>
    <w:rsid w:val="00C75AF3"/>
    <w:rsid w:val="00C76569"/>
    <w:rsid w:val="00C76B5B"/>
    <w:rsid w:val="00C76C00"/>
    <w:rsid w:val="00C77152"/>
    <w:rsid w:val="00C77234"/>
    <w:rsid w:val="00C8091E"/>
    <w:rsid w:val="00C810D6"/>
    <w:rsid w:val="00C8146C"/>
    <w:rsid w:val="00C81C77"/>
    <w:rsid w:val="00C81D92"/>
    <w:rsid w:val="00C826CC"/>
    <w:rsid w:val="00C83AEE"/>
    <w:rsid w:val="00C8436F"/>
    <w:rsid w:val="00C846DD"/>
    <w:rsid w:val="00C85CA6"/>
    <w:rsid w:val="00C86D68"/>
    <w:rsid w:val="00C9147E"/>
    <w:rsid w:val="00C924D2"/>
    <w:rsid w:val="00C925ED"/>
    <w:rsid w:val="00C930B4"/>
    <w:rsid w:val="00C9339F"/>
    <w:rsid w:val="00C94329"/>
    <w:rsid w:val="00C94408"/>
    <w:rsid w:val="00C951D1"/>
    <w:rsid w:val="00C96A10"/>
    <w:rsid w:val="00C9753B"/>
    <w:rsid w:val="00C97C32"/>
    <w:rsid w:val="00C97FE2"/>
    <w:rsid w:val="00CA0021"/>
    <w:rsid w:val="00CA0601"/>
    <w:rsid w:val="00CA0B09"/>
    <w:rsid w:val="00CA1963"/>
    <w:rsid w:val="00CA19CD"/>
    <w:rsid w:val="00CA22F4"/>
    <w:rsid w:val="00CA28F9"/>
    <w:rsid w:val="00CA4A62"/>
    <w:rsid w:val="00CA4B5C"/>
    <w:rsid w:val="00CA4CF8"/>
    <w:rsid w:val="00CA6091"/>
    <w:rsid w:val="00CA61FD"/>
    <w:rsid w:val="00CA753A"/>
    <w:rsid w:val="00CA7E60"/>
    <w:rsid w:val="00CB17D1"/>
    <w:rsid w:val="00CB2757"/>
    <w:rsid w:val="00CB2DFF"/>
    <w:rsid w:val="00CB2FE7"/>
    <w:rsid w:val="00CB315C"/>
    <w:rsid w:val="00CB3B57"/>
    <w:rsid w:val="00CB40A6"/>
    <w:rsid w:val="00CB42AE"/>
    <w:rsid w:val="00CB51F2"/>
    <w:rsid w:val="00CB5D8A"/>
    <w:rsid w:val="00CB6410"/>
    <w:rsid w:val="00CB6768"/>
    <w:rsid w:val="00CB67AE"/>
    <w:rsid w:val="00CB6B6F"/>
    <w:rsid w:val="00CC00C8"/>
    <w:rsid w:val="00CC0F6C"/>
    <w:rsid w:val="00CC17DB"/>
    <w:rsid w:val="00CC1B33"/>
    <w:rsid w:val="00CC2F01"/>
    <w:rsid w:val="00CC503B"/>
    <w:rsid w:val="00CC6453"/>
    <w:rsid w:val="00CC7946"/>
    <w:rsid w:val="00CC7BA5"/>
    <w:rsid w:val="00CD1ACF"/>
    <w:rsid w:val="00CD29A1"/>
    <w:rsid w:val="00CD2D8A"/>
    <w:rsid w:val="00CD31EA"/>
    <w:rsid w:val="00CD33AA"/>
    <w:rsid w:val="00CD34BF"/>
    <w:rsid w:val="00CD421C"/>
    <w:rsid w:val="00CD671B"/>
    <w:rsid w:val="00CD692F"/>
    <w:rsid w:val="00CD7271"/>
    <w:rsid w:val="00CE0392"/>
    <w:rsid w:val="00CE1A06"/>
    <w:rsid w:val="00CE1EAD"/>
    <w:rsid w:val="00CE2949"/>
    <w:rsid w:val="00CE34FE"/>
    <w:rsid w:val="00CE5481"/>
    <w:rsid w:val="00CE5866"/>
    <w:rsid w:val="00CE7A8A"/>
    <w:rsid w:val="00CF0045"/>
    <w:rsid w:val="00CF1216"/>
    <w:rsid w:val="00CF121D"/>
    <w:rsid w:val="00CF1E5F"/>
    <w:rsid w:val="00CF2A55"/>
    <w:rsid w:val="00CF2B42"/>
    <w:rsid w:val="00CF457F"/>
    <w:rsid w:val="00CF65AD"/>
    <w:rsid w:val="00CF663D"/>
    <w:rsid w:val="00CF7194"/>
    <w:rsid w:val="00CF7C90"/>
    <w:rsid w:val="00CF7EA0"/>
    <w:rsid w:val="00D00600"/>
    <w:rsid w:val="00D03204"/>
    <w:rsid w:val="00D0329F"/>
    <w:rsid w:val="00D0354A"/>
    <w:rsid w:val="00D04CEC"/>
    <w:rsid w:val="00D06276"/>
    <w:rsid w:val="00D06299"/>
    <w:rsid w:val="00D06DD4"/>
    <w:rsid w:val="00D06DEF"/>
    <w:rsid w:val="00D07D65"/>
    <w:rsid w:val="00D07E15"/>
    <w:rsid w:val="00D1045D"/>
    <w:rsid w:val="00D1133E"/>
    <w:rsid w:val="00D11D51"/>
    <w:rsid w:val="00D133AA"/>
    <w:rsid w:val="00D138DE"/>
    <w:rsid w:val="00D13B0B"/>
    <w:rsid w:val="00D13CCF"/>
    <w:rsid w:val="00D1460E"/>
    <w:rsid w:val="00D14803"/>
    <w:rsid w:val="00D14CF7"/>
    <w:rsid w:val="00D1535D"/>
    <w:rsid w:val="00D15C5B"/>
    <w:rsid w:val="00D15E67"/>
    <w:rsid w:val="00D15E72"/>
    <w:rsid w:val="00D16208"/>
    <w:rsid w:val="00D1727E"/>
    <w:rsid w:val="00D20ABB"/>
    <w:rsid w:val="00D2145C"/>
    <w:rsid w:val="00D225A9"/>
    <w:rsid w:val="00D22AFD"/>
    <w:rsid w:val="00D22EED"/>
    <w:rsid w:val="00D231BD"/>
    <w:rsid w:val="00D248FA"/>
    <w:rsid w:val="00D24AEE"/>
    <w:rsid w:val="00D25CC9"/>
    <w:rsid w:val="00D269F9"/>
    <w:rsid w:val="00D26EC9"/>
    <w:rsid w:val="00D3073E"/>
    <w:rsid w:val="00D31094"/>
    <w:rsid w:val="00D31676"/>
    <w:rsid w:val="00D316C8"/>
    <w:rsid w:val="00D323B3"/>
    <w:rsid w:val="00D32E62"/>
    <w:rsid w:val="00D337D5"/>
    <w:rsid w:val="00D33A6B"/>
    <w:rsid w:val="00D34415"/>
    <w:rsid w:val="00D34817"/>
    <w:rsid w:val="00D3537B"/>
    <w:rsid w:val="00D35641"/>
    <w:rsid w:val="00D365BB"/>
    <w:rsid w:val="00D3729F"/>
    <w:rsid w:val="00D372DF"/>
    <w:rsid w:val="00D3795A"/>
    <w:rsid w:val="00D37AB5"/>
    <w:rsid w:val="00D37E2D"/>
    <w:rsid w:val="00D40C74"/>
    <w:rsid w:val="00D4150C"/>
    <w:rsid w:val="00D41ACB"/>
    <w:rsid w:val="00D42111"/>
    <w:rsid w:val="00D4243A"/>
    <w:rsid w:val="00D4287C"/>
    <w:rsid w:val="00D42BEA"/>
    <w:rsid w:val="00D42D47"/>
    <w:rsid w:val="00D43282"/>
    <w:rsid w:val="00D43EA4"/>
    <w:rsid w:val="00D440D4"/>
    <w:rsid w:val="00D44508"/>
    <w:rsid w:val="00D446D7"/>
    <w:rsid w:val="00D47810"/>
    <w:rsid w:val="00D4788C"/>
    <w:rsid w:val="00D50A83"/>
    <w:rsid w:val="00D50D9E"/>
    <w:rsid w:val="00D50F28"/>
    <w:rsid w:val="00D5128E"/>
    <w:rsid w:val="00D52DD3"/>
    <w:rsid w:val="00D52FD0"/>
    <w:rsid w:val="00D53850"/>
    <w:rsid w:val="00D54385"/>
    <w:rsid w:val="00D55B7A"/>
    <w:rsid w:val="00D57417"/>
    <w:rsid w:val="00D57B3C"/>
    <w:rsid w:val="00D57BA8"/>
    <w:rsid w:val="00D60175"/>
    <w:rsid w:val="00D6104B"/>
    <w:rsid w:val="00D616DB"/>
    <w:rsid w:val="00D61757"/>
    <w:rsid w:val="00D6259C"/>
    <w:rsid w:val="00D62ECB"/>
    <w:rsid w:val="00D63B91"/>
    <w:rsid w:val="00D64A3C"/>
    <w:rsid w:val="00D64A4A"/>
    <w:rsid w:val="00D64E5F"/>
    <w:rsid w:val="00D65E9A"/>
    <w:rsid w:val="00D6679C"/>
    <w:rsid w:val="00D70E25"/>
    <w:rsid w:val="00D7116B"/>
    <w:rsid w:val="00D728BD"/>
    <w:rsid w:val="00D73EE6"/>
    <w:rsid w:val="00D742D2"/>
    <w:rsid w:val="00D744DC"/>
    <w:rsid w:val="00D75CF7"/>
    <w:rsid w:val="00D76D22"/>
    <w:rsid w:val="00D776C3"/>
    <w:rsid w:val="00D80153"/>
    <w:rsid w:val="00D80E10"/>
    <w:rsid w:val="00D81AC7"/>
    <w:rsid w:val="00D82377"/>
    <w:rsid w:val="00D82690"/>
    <w:rsid w:val="00D83018"/>
    <w:rsid w:val="00D8495C"/>
    <w:rsid w:val="00D8572B"/>
    <w:rsid w:val="00D85948"/>
    <w:rsid w:val="00D85D94"/>
    <w:rsid w:val="00D86737"/>
    <w:rsid w:val="00D8696A"/>
    <w:rsid w:val="00D9153B"/>
    <w:rsid w:val="00D92375"/>
    <w:rsid w:val="00D93DEF"/>
    <w:rsid w:val="00D94C0E"/>
    <w:rsid w:val="00D95903"/>
    <w:rsid w:val="00D95D78"/>
    <w:rsid w:val="00D95DE7"/>
    <w:rsid w:val="00D96E9C"/>
    <w:rsid w:val="00D97453"/>
    <w:rsid w:val="00DA0810"/>
    <w:rsid w:val="00DA1E31"/>
    <w:rsid w:val="00DA2D5E"/>
    <w:rsid w:val="00DA3D96"/>
    <w:rsid w:val="00DA3D98"/>
    <w:rsid w:val="00DA3FCE"/>
    <w:rsid w:val="00DA4E1C"/>
    <w:rsid w:val="00DB0939"/>
    <w:rsid w:val="00DB2574"/>
    <w:rsid w:val="00DB2B31"/>
    <w:rsid w:val="00DB3383"/>
    <w:rsid w:val="00DB3C76"/>
    <w:rsid w:val="00DB4203"/>
    <w:rsid w:val="00DB4310"/>
    <w:rsid w:val="00DB6048"/>
    <w:rsid w:val="00DB7CA1"/>
    <w:rsid w:val="00DC1125"/>
    <w:rsid w:val="00DC145E"/>
    <w:rsid w:val="00DC1714"/>
    <w:rsid w:val="00DC1900"/>
    <w:rsid w:val="00DC25DA"/>
    <w:rsid w:val="00DC41B3"/>
    <w:rsid w:val="00DC5149"/>
    <w:rsid w:val="00DC5D60"/>
    <w:rsid w:val="00DD182C"/>
    <w:rsid w:val="00DD2D9A"/>
    <w:rsid w:val="00DD32DF"/>
    <w:rsid w:val="00DD3A2C"/>
    <w:rsid w:val="00DD3C08"/>
    <w:rsid w:val="00DD4D18"/>
    <w:rsid w:val="00DD5071"/>
    <w:rsid w:val="00DD5F30"/>
    <w:rsid w:val="00DD6EB4"/>
    <w:rsid w:val="00DE0476"/>
    <w:rsid w:val="00DE22CC"/>
    <w:rsid w:val="00DE2AAC"/>
    <w:rsid w:val="00DE2D52"/>
    <w:rsid w:val="00DE3133"/>
    <w:rsid w:val="00DE3559"/>
    <w:rsid w:val="00DE4821"/>
    <w:rsid w:val="00DE4AE3"/>
    <w:rsid w:val="00DE4E23"/>
    <w:rsid w:val="00DE5E95"/>
    <w:rsid w:val="00DE64F2"/>
    <w:rsid w:val="00DF02B4"/>
    <w:rsid w:val="00DF1125"/>
    <w:rsid w:val="00DF1705"/>
    <w:rsid w:val="00DF2102"/>
    <w:rsid w:val="00DF2430"/>
    <w:rsid w:val="00DF27AC"/>
    <w:rsid w:val="00DF3588"/>
    <w:rsid w:val="00DF399A"/>
    <w:rsid w:val="00DF4719"/>
    <w:rsid w:val="00DF5F1B"/>
    <w:rsid w:val="00DF6280"/>
    <w:rsid w:val="00DF7AED"/>
    <w:rsid w:val="00DF7B14"/>
    <w:rsid w:val="00E00009"/>
    <w:rsid w:val="00E009DD"/>
    <w:rsid w:val="00E01EF4"/>
    <w:rsid w:val="00E02CF2"/>
    <w:rsid w:val="00E04260"/>
    <w:rsid w:val="00E04947"/>
    <w:rsid w:val="00E0610A"/>
    <w:rsid w:val="00E069F7"/>
    <w:rsid w:val="00E06C35"/>
    <w:rsid w:val="00E06D0B"/>
    <w:rsid w:val="00E0710D"/>
    <w:rsid w:val="00E07C3E"/>
    <w:rsid w:val="00E07F71"/>
    <w:rsid w:val="00E07FBC"/>
    <w:rsid w:val="00E1091C"/>
    <w:rsid w:val="00E114D8"/>
    <w:rsid w:val="00E120C1"/>
    <w:rsid w:val="00E12FA8"/>
    <w:rsid w:val="00E1347F"/>
    <w:rsid w:val="00E13B58"/>
    <w:rsid w:val="00E144BF"/>
    <w:rsid w:val="00E1455E"/>
    <w:rsid w:val="00E15DA7"/>
    <w:rsid w:val="00E1621B"/>
    <w:rsid w:val="00E167A9"/>
    <w:rsid w:val="00E17520"/>
    <w:rsid w:val="00E177A9"/>
    <w:rsid w:val="00E178B9"/>
    <w:rsid w:val="00E17B2A"/>
    <w:rsid w:val="00E17B7D"/>
    <w:rsid w:val="00E20732"/>
    <w:rsid w:val="00E21114"/>
    <w:rsid w:val="00E22B84"/>
    <w:rsid w:val="00E22EE7"/>
    <w:rsid w:val="00E248E2"/>
    <w:rsid w:val="00E24B5F"/>
    <w:rsid w:val="00E26045"/>
    <w:rsid w:val="00E26BDB"/>
    <w:rsid w:val="00E27304"/>
    <w:rsid w:val="00E27473"/>
    <w:rsid w:val="00E276B5"/>
    <w:rsid w:val="00E3055C"/>
    <w:rsid w:val="00E32F5D"/>
    <w:rsid w:val="00E337F5"/>
    <w:rsid w:val="00E339E4"/>
    <w:rsid w:val="00E34C90"/>
    <w:rsid w:val="00E34EBC"/>
    <w:rsid w:val="00E36767"/>
    <w:rsid w:val="00E37211"/>
    <w:rsid w:val="00E37848"/>
    <w:rsid w:val="00E3791C"/>
    <w:rsid w:val="00E37FEC"/>
    <w:rsid w:val="00E4034D"/>
    <w:rsid w:val="00E404B3"/>
    <w:rsid w:val="00E40B51"/>
    <w:rsid w:val="00E40BA9"/>
    <w:rsid w:val="00E415F8"/>
    <w:rsid w:val="00E41EE7"/>
    <w:rsid w:val="00E42084"/>
    <w:rsid w:val="00E4231F"/>
    <w:rsid w:val="00E42ADA"/>
    <w:rsid w:val="00E43BAA"/>
    <w:rsid w:val="00E44C77"/>
    <w:rsid w:val="00E478E8"/>
    <w:rsid w:val="00E47912"/>
    <w:rsid w:val="00E53593"/>
    <w:rsid w:val="00E54542"/>
    <w:rsid w:val="00E559EA"/>
    <w:rsid w:val="00E56232"/>
    <w:rsid w:val="00E5696D"/>
    <w:rsid w:val="00E56AA9"/>
    <w:rsid w:val="00E56E45"/>
    <w:rsid w:val="00E57B88"/>
    <w:rsid w:val="00E603B5"/>
    <w:rsid w:val="00E60EF1"/>
    <w:rsid w:val="00E6161C"/>
    <w:rsid w:val="00E61F1A"/>
    <w:rsid w:val="00E62BE9"/>
    <w:rsid w:val="00E62DEC"/>
    <w:rsid w:val="00E62FCE"/>
    <w:rsid w:val="00E63227"/>
    <w:rsid w:val="00E63233"/>
    <w:rsid w:val="00E636BC"/>
    <w:rsid w:val="00E63AB6"/>
    <w:rsid w:val="00E64180"/>
    <w:rsid w:val="00E64366"/>
    <w:rsid w:val="00E64B84"/>
    <w:rsid w:val="00E65F8A"/>
    <w:rsid w:val="00E66953"/>
    <w:rsid w:val="00E67486"/>
    <w:rsid w:val="00E6760A"/>
    <w:rsid w:val="00E71478"/>
    <w:rsid w:val="00E72013"/>
    <w:rsid w:val="00E727CE"/>
    <w:rsid w:val="00E731F4"/>
    <w:rsid w:val="00E749E1"/>
    <w:rsid w:val="00E74A8B"/>
    <w:rsid w:val="00E74EEC"/>
    <w:rsid w:val="00E75120"/>
    <w:rsid w:val="00E755D9"/>
    <w:rsid w:val="00E77B31"/>
    <w:rsid w:val="00E8007A"/>
    <w:rsid w:val="00E80578"/>
    <w:rsid w:val="00E80B43"/>
    <w:rsid w:val="00E812A3"/>
    <w:rsid w:val="00E81D5A"/>
    <w:rsid w:val="00E82EE4"/>
    <w:rsid w:val="00E833CB"/>
    <w:rsid w:val="00E83995"/>
    <w:rsid w:val="00E83CBA"/>
    <w:rsid w:val="00E83D2E"/>
    <w:rsid w:val="00E83FB2"/>
    <w:rsid w:val="00E87839"/>
    <w:rsid w:val="00E90615"/>
    <w:rsid w:val="00E90BD1"/>
    <w:rsid w:val="00E90F6C"/>
    <w:rsid w:val="00E9159F"/>
    <w:rsid w:val="00E91604"/>
    <w:rsid w:val="00E9183C"/>
    <w:rsid w:val="00E91C5E"/>
    <w:rsid w:val="00E91FE0"/>
    <w:rsid w:val="00E93050"/>
    <w:rsid w:val="00E94A1C"/>
    <w:rsid w:val="00E95AC2"/>
    <w:rsid w:val="00E96EC5"/>
    <w:rsid w:val="00E97167"/>
    <w:rsid w:val="00E97589"/>
    <w:rsid w:val="00E97B49"/>
    <w:rsid w:val="00EA0169"/>
    <w:rsid w:val="00EA0757"/>
    <w:rsid w:val="00EA3781"/>
    <w:rsid w:val="00EA5023"/>
    <w:rsid w:val="00EA5E5F"/>
    <w:rsid w:val="00EA635F"/>
    <w:rsid w:val="00EA6B35"/>
    <w:rsid w:val="00EA6BA9"/>
    <w:rsid w:val="00EA6D9F"/>
    <w:rsid w:val="00EA7061"/>
    <w:rsid w:val="00EB0C5E"/>
    <w:rsid w:val="00EB13FE"/>
    <w:rsid w:val="00EB1727"/>
    <w:rsid w:val="00EB2376"/>
    <w:rsid w:val="00EB254B"/>
    <w:rsid w:val="00EB2E23"/>
    <w:rsid w:val="00EB34EB"/>
    <w:rsid w:val="00EB3623"/>
    <w:rsid w:val="00EB39F1"/>
    <w:rsid w:val="00EB452D"/>
    <w:rsid w:val="00EB5313"/>
    <w:rsid w:val="00EB5434"/>
    <w:rsid w:val="00EB5D6C"/>
    <w:rsid w:val="00EB63DC"/>
    <w:rsid w:val="00EB76D6"/>
    <w:rsid w:val="00EC0178"/>
    <w:rsid w:val="00EC049F"/>
    <w:rsid w:val="00EC2460"/>
    <w:rsid w:val="00EC2568"/>
    <w:rsid w:val="00EC3143"/>
    <w:rsid w:val="00EC5E96"/>
    <w:rsid w:val="00EC6750"/>
    <w:rsid w:val="00EC7188"/>
    <w:rsid w:val="00EC79C6"/>
    <w:rsid w:val="00EC7A10"/>
    <w:rsid w:val="00ED024E"/>
    <w:rsid w:val="00ED113F"/>
    <w:rsid w:val="00ED194C"/>
    <w:rsid w:val="00ED2488"/>
    <w:rsid w:val="00ED2C26"/>
    <w:rsid w:val="00ED5725"/>
    <w:rsid w:val="00ED5EC2"/>
    <w:rsid w:val="00EE044D"/>
    <w:rsid w:val="00EE0DF2"/>
    <w:rsid w:val="00EE1DA1"/>
    <w:rsid w:val="00EE1F8E"/>
    <w:rsid w:val="00EE2129"/>
    <w:rsid w:val="00EE21DD"/>
    <w:rsid w:val="00EE3FB5"/>
    <w:rsid w:val="00EE56DF"/>
    <w:rsid w:val="00EE65A3"/>
    <w:rsid w:val="00EE65B4"/>
    <w:rsid w:val="00EE7778"/>
    <w:rsid w:val="00EF1A24"/>
    <w:rsid w:val="00EF1BF1"/>
    <w:rsid w:val="00EF1E49"/>
    <w:rsid w:val="00EF26AF"/>
    <w:rsid w:val="00EF2999"/>
    <w:rsid w:val="00EF2C5E"/>
    <w:rsid w:val="00EF2F33"/>
    <w:rsid w:val="00EF5D4D"/>
    <w:rsid w:val="00EF5F92"/>
    <w:rsid w:val="00EF64FA"/>
    <w:rsid w:val="00EF71E1"/>
    <w:rsid w:val="00EF7387"/>
    <w:rsid w:val="00F00CC8"/>
    <w:rsid w:val="00F01762"/>
    <w:rsid w:val="00F01953"/>
    <w:rsid w:val="00F01A18"/>
    <w:rsid w:val="00F01A5C"/>
    <w:rsid w:val="00F01D25"/>
    <w:rsid w:val="00F02387"/>
    <w:rsid w:val="00F0264E"/>
    <w:rsid w:val="00F02777"/>
    <w:rsid w:val="00F031C8"/>
    <w:rsid w:val="00F045A1"/>
    <w:rsid w:val="00F058BA"/>
    <w:rsid w:val="00F05EAF"/>
    <w:rsid w:val="00F06037"/>
    <w:rsid w:val="00F06D7C"/>
    <w:rsid w:val="00F07089"/>
    <w:rsid w:val="00F10169"/>
    <w:rsid w:val="00F1049D"/>
    <w:rsid w:val="00F10708"/>
    <w:rsid w:val="00F114CE"/>
    <w:rsid w:val="00F119F0"/>
    <w:rsid w:val="00F120C2"/>
    <w:rsid w:val="00F147FD"/>
    <w:rsid w:val="00F15408"/>
    <w:rsid w:val="00F15FC1"/>
    <w:rsid w:val="00F17762"/>
    <w:rsid w:val="00F20868"/>
    <w:rsid w:val="00F226C2"/>
    <w:rsid w:val="00F23C5A"/>
    <w:rsid w:val="00F23E91"/>
    <w:rsid w:val="00F24776"/>
    <w:rsid w:val="00F24AC2"/>
    <w:rsid w:val="00F255F9"/>
    <w:rsid w:val="00F25DE2"/>
    <w:rsid w:val="00F26722"/>
    <w:rsid w:val="00F277D4"/>
    <w:rsid w:val="00F2790A"/>
    <w:rsid w:val="00F27A2B"/>
    <w:rsid w:val="00F27C91"/>
    <w:rsid w:val="00F27CE1"/>
    <w:rsid w:val="00F30829"/>
    <w:rsid w:val="00F31104"/>
    <w:rsid w:val="00F34E93"/>
    <w:rsid w:val="00F36AC7"/>
    <w:rsid w:val="00F36D19"/>
    <w:rsid w:val="00F376D7"/>
    <w:rsid w:val="00F40B38"/>
    <w:rsid w:val="00F40FAA"/>
    <w:rsid w:val="00F415DF"/>
    <w:rsid w:val="00F41601"/>
    <w:rsid w:val="00F42439"/>
    <w:rsid w:val="00F42745"/>
    <w:rsid w:val="00F4424F"/>
    <w:rsid w:val="00F445F4"/>
    <w:rsid w:val="00F4474B"/>
    <w:rsid w:val="00F4577A"/>
    <w:rsid w:val="00F513E5"/>
    <w:rsid w:val="00F5219B"/>
    <w:rsid w:val="00F52D7D"/>
    <w:rsid w:val="00F53074"/>
    <w:rsid w:val="00F53138"/>
    <w:rsid w:val="00F534C0"/>
    <w:rsid w:val="00F5523B"/>
    <w:rsid w:val="00F553CC"/>
    <w:rsid w:val="00F554B4"/>
    <w:rsid w:val="00F55743"/>
    <w:rsid w:val="00F57CF3"/>
    <w:rsid w:val="00F60015"/>
    <w:rsid w:val="00F60746"/>
    <w:rsid w:val="00F61455"/>
    <w:rsid w:val="00F623B6"/>
    <w:rsid w:val="00F6280F"/>
    <w:rsid w:val="00F62819"/>
    <w:rsid w:val="00F6394B"/>
    <w:rsid w:val="00F640CE"/>
    <w:rsid w:val="00F64365"/>
    <w:rsid w:val="00F6651C"/>
    <w:rsid w:val="00F66FB2"/>
    <w:rsid w:val="00F67B82"/>
    <w:rsid w:val="00F707A8"/>
    <w:rsid w:val="00F70839"/>
    <w:rsid w:val="00F708D9"/>
    <w:rsid w:val="00F720FB"/>
    <w:rsid w:val="00F72E89"/>
    <w:rsid w:val="00F738A9"/>
    <w:rsid w:val="00F73AB4"/>
    <w:rsid w:val="00F73B14"/>
    <w:rsid w:val="00F7434C"/>
    <w:rsid w:val="00F74C41"/>
    <w:rsid w:val="00F766DD"/>
    <w:rsid w:val="00F768F2"/>
    <w:rsid w:val="00F76A7F"/>
    <w:rsid w:val="00F77338"/>
    <w:rsid w:val="00F80602"/>
    <w:rsid w:val="00F81376"/>
    <w:rsid w:val="00F8163D"/>
    <w:rsid w:val="00F82914"/>
    <w:rsid w:val="00F8487C"/>
    <w:rsid w:val="00F84C20"/>
    <w:rsid w:val="00F853BF"/>
    <w:rsid w:val="00F85F43"/>
    <w:rsid w:val="00F871F4"/>
    <w:rsid w:val="00F91EDF"/>
    <w:rsid w:val="00F92112"/>
    <w:rsid w:val="00F9230A"/>
    <w:rsid w:val="00F92366"/>
    <w:rsid w:val="00F92753"/>
    <w:rsid w:val="00F942B6"/>
    <w:rsid w:val="00F94A71"/>
    <w:rsid w:val="00F9598E"/>
    <w:rsid w:val="00F95C33"/>
    <w:rsid w:val="00F95CCF"/>
    <w:rsid w:val="00F9600D"/>
    <w:rsid w:val="00F96B32"/>
    <w:rsid w:val="00F97169"/>
    <w:rsid w:val="00F9735A"/>
    <w:rsid w:val="00F979AB"/>
    <w:rsid w:val="00FA1B4C"/>
    <w:rsid w:val="00FA1FF0"/>
    <w:rsid w:val="00FA20D1"/>
    <w:rsid w:val="00FA2964"/>
    <w:rsid w:val="00FA2A03"/>
    <w:rsid w:val="00FA3701"/>
    <w:rsid w:val="00FA3898"/>
    <w:rsid w:val="00FA42F4"/>
    <w:rsid w:val="00FA55B3"/>
    <w:rsid w:val="00FA7743"/>
    <w:rsid w:val="00FB0730"/>
    <w:rsid w:val="00FB0BC1"/>
    <w:rsid w:val="00FB0E81"/>
    <w:rsid w:val="00FB14A0"/>
    <w:rsid w:val="00FB3118"/>
    <w:rsid w:val="00FB3D99"/>
    <w:rsid w:val="00FB42E0"/>
    <w:rsid w:val="00FB4E4A"/>
    <w:rsid w:val="00FB7568"/>
    <w:rsid w:val="00FB7F35"/>
    <w:rsid w:val="00FC0024"/>
    <w:rsid w:val="00FC0189"/>
    <w:rsid w:val="00FC107A"/>
    <w:rsid w:val="00FC11D6"/>
    <w:rsid w:val="00FC135D"/>
    <w:rsid w:val="00FC1FCB"/>
    <w:rsid w:val="00FC297F"/>
    <w:rsid w:val="00FC386D"/>
    <w:rsid w:val="00FC48DD"/>
    <w:rsid w:val="00FC540E"/>
    <w:rsid w:val="00FC569E"/>
    <w:rsid w:val="00FC67E5"/>
    <w:rsid w:val="00FC682E"/>
    <w:rsid w:val="00FC6BFF"/>
    <w:rsid w:val="00FC79F8"/>
    <w:rsid w:val="00FD04EB"/>
    <w:rsid w:val="00FD131D"/>
    <w:rsid w:val="00FD199A"/>
    <w:rsid w:val="00FD5177"/>
    <w:rsid w:val="00FD6717"/>
    <w:rsid w:val="00FD6992"/>
    <w:rsid w:val="00FE02CC"/>
    <w:rsid w:val="00FE06F9"/>
    <w:rsid w:val="00FE16F1"/>
    <w:rsid w:val="00FE2ED8"/>
    <w:rsid w:val="00FE35E1"/>
    <w:rsid w:val="00FE3AB2"/>
    <w:rsid w:val="00FE3B38"/>
    <w:rsid w:val="00FE469E"/>
    <w:rsid w:val="00FE5E75"/>
    <w:rsid w:val="00FE6D86"/>
    <w:rsid w:val="00FF0070"/>
    <w:rsid w:val="00FF0144"/>
    <w:rsid w:val="00FF01B1"/>
    <w:rsid w:val="00FF0DA7"/>
    <w:rsid w:val="00FF18A2"/>
    <w:rsid w:val="00FF3276"/>
    <w:rsid w:val="00FF37D3"/>
    <w:rsid w:val="00FF3D40"/>
    <w:rsid w:val="00FF5B26"/>
    <w:rsid w:val="00FF5C04"/>
    <w:rsid w:val="00FF7005"/>
    <w:rsid w:val="00FF7538"/>
    <w:rsid w:val="00FF77DD"/>
    <w:rsid w:val="00FF7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92863F"/>
  <w15:docId w15:val="{E2E93831-9352-4D85-8B05-54722F5D6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locked="1" w:semiHidden="1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/>
    <w:lsdException w:name="List 2" w:semiHidden="1" w:unhideWhenUsed="1"/>
    <w:lsdException w:name="List 3" w:semiHidden="1" w:unhideWhenUsed="1"/>
    <w:lsdException w:name="List 4" w:locked="1"/>
    <w:lsdException w:name="List 5" w:lock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4F4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9153B"/>
    <w:pPr>
      <w:keepNext/>
      <w:widowControl w:val="0"/>
      <w:suppressAutoHyphens/>
      <w:outlineLvl w:val="0"/>
    </w:pPr>
    <w:rPr>
      <w:rFonts w:ascii="Courier" w:hAnsi="Courier"/>
      <w:b/>
      <w:spacing w:val="-3"/>
      <w:sz w:val="28"/>
    </w:rPr>
  </w:style>
  <w:style w:type="paragraph" w:styleId="Heading2">
    <w:name w:val="heading 2"/>
    <w:basedOn w:val="Normal"/>
    <w:next w:val="Normal"/>
    <w:qFormat/>
    <w:rsid w:val="00D9153B"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D9153B"/>
    <w:pPr>
      <w:keepNext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9153B"/>
    <w:pPr>
      <w:widowControl w:val="0"/>
      <w:tabs>
        <w:tab w:val="center" w:pos="4320"/>
        <w:tab w:val="right" w:pos="8640"/>
      </w:tabs>
    </w:pPr>
    <w:rPr>
      <w:rFonts w:ascii="Courier" w:hAnsi="Courier"/>
      <w:sz w:val="22"/>
    </w:rPr>
  </w:style>
  <w:style w:type="paragraph" w:styleId="FootnoteText">
    <w:name w:val="footnote text"/>
    <w:aliases w:val="single space,fn,ALTS FOOTNOTE,FOOTNOTES,Footnote Text1,Fodnotetekst Tegn,footnote text Char,Fodnotetekst Tegn Char,single space Char,footnote text Char Char Char,Fodnotetekst Tegn Char1,single space Char1,ADB,Geneva 9,Font: Geneva 9"/>
    <w:basedOn w:val="Normal"/>
    <w:link w:val="FootnoteTextChar"/>
    <w:uiPriority w:val="99"/>
    <w:qFormat/>
    <w:rsid w:val="00D9153B"/>
    <w:pPr>
      <w:widowControl w:val="0"/>
    </w:pPr>
    <w:rPr>
      <w:rFonts w:ascii="Courier" w:hAnsi="Courier"/>
    </w:rPr>
  </w:style>
  <w:style w:type="paragraph" w:styleId="Subtitle">
    <w:name w:val="Subtitle"/>
    <w:basedOn w:val="Normal"/>
    <w:link w:val="SubtitleChar"/>
    <w:qFormat/>
    <w:rsid w:val="00D9153B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styleId="FootnoteReference">
    <w:name w:val="footnote reference"/>
    <w:aliases w:val="ftref,(NECG) Footnote Reference,Ref,de nota al pie,note bp,BVI fnr,16 Point,Superscript 6 Point,Footnote Reference Number,Footnote Reference_LVL6,Footnote Reference_LVL61,Footnote Reference_LVL62,Footnote Reference_LVL63"/>
    <w:link w:val="BVIfnr"/>
    <w:uiPriority w:val="99"/>
    <w:rsid w:val="00D9153B"/>
    <w:rPr>
      <w:vertAlign w:val="superscript"/>
    </w:rPr>
  </w:style>
  <w:style w:type="paragraph" w:styleId="Footer">
    <w:name w:val="footer"/>
    <w:basedOn w:val="Normal"/>
    <w:link w:val="FooterChar"/>
    <w:uiPriority w:val="99"/>
    <w:rsid w:val="00D9153B"/>
    <w:pPr>
      <w:tabs>
        <w:tab w:val="center" w:pos="4320"/>
        <w:tab w:val="right" w:pos="8640"/>
      </w:tabs>
    </w:pPr>
  </w:style>
  <w:style w:type="paragraph" w:customStyle="1" w:styleId="HCh">
    <w:name w:val="_ H _Ch"/>
    <w:basedOn w:val="Normal"/>
    <w:next w:val="Normal"/>
    <w:rsid w:val="00D9153B"/>
    <w:pPr>
      <w:keepNext/>
      <w:keepLines/>
      <w:suppressAutoHyphens/>
      <w:spacing w:line="300" w:lineRule="exact"/>
      <w:outlineLvl w:val="0"/>
    </w:pPr>
    <w:rPr>
      <w:b/>
      <w:spacing w:val="-2"/>
      <w:w w:val="103"/>
      <w:kern w:val="14"/>
      <w:sz w:val="28"/>
      <w:lang w:val="en-GB"/>
    </w:rPr>
  </w:style>
  <w:style w:type="paragraph" w:customStyle="1" w:styleId="SingleTxt">
    <w:name w:val="__Single Txt"/>
    <w:basedOn w:val="Normal"/>
    <w:rsid w:val="00D9153B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spacing w:val="4"/>
      <w:w w:val="103"/>
      <w:kern w:val="14"/>
      <w:lang w:val="en-GB"/>
    </w:rPr>
  </w:style>
  <w:style w:type="paragraph" w:customStyle="1" w:styleId="XLarge">
    <w:name w:val="XLarge"/>
    <w:basedOn w:val="Normal"/>
    <w:rsid w:val="00D9153B"/>
    <w:pPr>
      <w:keepNext/>
      <w:keepLines/>
      <w:tabs>
        <w:tab w:val="right" w:leader="dot" w:pos="360"/>
      </w:tabs>
      <w:suppressAutoHyphens/>
      <w:spacing w:line="390" w:lineRule="exact"/>
      <w:outlineLvl w:val="0"/>
    </w:pPr>
    <w:rPr>
      <w:b/>
      <w:spacing w:val="-4"/>
      <w:w w:val="98"/>
      <w:kern w:val="14"/>
      <w:sz w:val="40"/>
      <w:lang w:val="en-GB"/>
    </w:rPr>
  </w:style>
  <w:style w:type="paragraph" w:styleId="BalloonText">
    <w:name w:val="Balloon Text"/>
    <w:basedOn w:val="Normal"/>
    <w:semiHidden/>
    <w:rsid w:val="005D4084"/>
    <w:rPr>
      <w:rFonts w:ascii="Tahoma" w:hAnsi="Tahoma" w:cs="Tahoma"/>
      <w:sz w:val="16"/>
      <w:szCs w:val="16"/>
    </w:rPr>
  </w:style>
  <w:style w:type="character" w:styleId="Hyperlink">
    <w:name w:val="Hyperlink"/>
    <w:rsid w:val="0079421C"/>
    <w:rPr>
      <w:color w:val="336699"/>
      <w:u w:val="none"/>
      <w:effect w:val="none"/>
    </w:rPr>
  </w:style>
  <w:style w:type="paragraph" w:styleId="ListParagraph">
    <w:name w:val="List Paragraph"/>
    <w:aliases w:val="Left Bullet L1"/>
    <w:basedOn w:val="Normal"/>
    <w:link w:val="ListParagraphChar"/>
    <w:uiPriority w:val="34"/>
    <w:qFormat/>
    <w:rsid w:val="00896815"/>
    <w:pPr>
      <w:ind w:left="720"/>
    </w:pPr>
  </w:style>
  <w:style w:type="paragraph" w:styleId="DocumentMap">
    <w:name w:val="Document Map"/>
    <w:basedOn w:val="Normal"/>
    <w:link w:val="DocumentMapChar"/>
    <w:semiHidden/>
    <w:rsid w:val="00993912"/>
    <w:rPr>
      <w:rFonts w:ascii="Tahoma" w:hAnsi="Tahoma"/>
      <w:sz w:val="16"/>
    </w:rPr>
  </w:style>
  <w:style w:type="character" w:customStyle="1" w:styleId="DocumentMapChar">
    <w:name w:val="Document Map Char"/>
    <w:link w:val="DocumentMap"/>
    <w:locked/>
    <w:rsid w:val="00993912"/>
    <w:rPr>
      <w:rFonts w:ascii="Tahoma" w:hAnsi="Tahoma"/>
      <w:sz w:val="16"/>
    </w:rPr>
  </w:style>
  <w:style w:type="character" w:styleId="CommentReference">
    <w:name w:val="annotation reference"/>
    <w:uiPriority w:val="99"/>
    <w:semiHidden/>
    <w:rsid w:val="00400E4A"/>
    <w:rPr>
      <w:sz w:val="6"/>
    </w:rPr>
  </w:style>
  <w:style w:type="character" w:customStyle="1" w:styleId="FooterChar">
    <w:name w:val="Footer Char"/>
    <w:link w:val="Footer"/>
    <w:uiPriority w:val="99"/>
    <w:locked/>
    <w:rsid w:val="005841A3"/>
  </w:style>
  <w:style w:type="paragraph" w:styleId="CommentText">
    <w:name w:val="annotation text"/>
    <w:basedOn w:val="Normal"/>
    <w:link w:val="CommentTextChar"/>
    <w:uiPriority w:val="99"/>
    <w:rsid w:val="008543F5"/>
  </w:style>
  <w:style w:type="character" w:customStyle="1" w:styleId="CommentTextChar">
    <w:name w:val="Comment Text Char"/>
    <w:link w:val="CommentText"/>
    <w:uiPriority w:val="99"/>
    <w:locked/>
    <w:rsid w:val="008543F5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543F5"/>
    <w:rPr>
      <w:b/>
    </w:rPr>
  </w:style>
  <w:style w:type="character" w:customStyle="1" w:styleId="CommentSubjectChar">
    <w:name w:val="Comment Subject Char"/>
    <w:link w:val="CommentSubject"/>
    <w:locked/>
    <w:rsid w:val="008543F5"/>
    <w:rPr>
      <w:b/>
    </w:rPr>
  </w:style>
  <w:style w:type="character" w:customStyle="1" w:styleId="Heading1Char">
    <w:name w:val="Heading 1 Char"/>
    <w:link w:val="Heading1"/>
    <w:locked/>
    <w:rsid w:val="001D42D1"/>
    <w:rPr>
      <w:rFonts w:ascii="Courier" w:hAnsi="Courier"/>
      <w:b/>
      <w:spacing w:val="-3"/>
      <w:sz w:val="28"/>
    </w:rPr>
  </w:style>
  <w:style w:type="character" w:customStyle="1" w:styleId="HeaderChar">
    <w:name w:val="Header Char"/>
    <w:link w:val="Header"/>
    <w:locked/>
    <w:rsid w:val="00852876"/>
    <w:rPr>
      <w:rFonts w:ascii="Courier" w:hAnsi="Courier"/>
      <w:sz w:val="22"/>
    </w:rPr>
  </w:style>
  <w:style w:type="character" w:styleId="PageNumber">
    <w:name w:val="page number"/>
    <w:semiHidden/>
    <w:rsid w:val="00D6679C"/>
    <w:rPr>
      <w:rFonts w:cs="Times New Roman"/>
    </w:rPr>
  </w:style>
  <w:style w:type="character" w:customStyle="1" w:styleId="SubtitleChar">
    <w:name w:val="Subtitle Char"/>
    <w:link w:val="Subtitle"/>
    <w:locked/>
    <w:rsid w:val="00D6679C"/>
    <w:rPr>
      <w:rFonts w:ascii="Arial" w:hAnsi="Arial" w:cs="Arial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semiHidden/>
    <w:rsid w:val="00D6679C"/>
    <w:rPr>
      <w:b/>
      <w:bCs/>
      <w:sz w:val="24"/>
    </w:rPr>
  </w:style>
  <w:style w:type="character" w:customStyle="1" w:styleId="BodyTextChar">
    <w:name w:val="Body Text Char"/>
    <w:link w:val="BodyText"/>
    <w:semiHidden/>
    <w:locked/>
    <w:rsid w:val="00D6679C"/>
    <w:rPr>
      <w:rFonts w:cs="Times New Roman"/>
      <w:b/>
      <w:bCs/>
      <w:sz w:val="24"/>
      <w:lang w:val="en-US" w:eastAsia="en-US"/>
    </w:rPr>
  </w:style>
  <w:style w:type="paragraph" w:styleId="BodyText2">
    <w:name w:val="Body Text 2"/>
    <w:basedOn w:val="Normal"/>
    <w:link w:val="BodyText2Char"/>
    <w:semiHidden/>
    <w:rsid w:val="00D6679C"/>
    <w:rPr>
      <w:sz w:val="24"/>
    </w:rPr>
  </w:style>
  <w:style w:type="character" w:customStyle="1" w:styleId="BodyText2Char">
    <w:name w:val="Body Text 2 Char"/>
    <w:link w:val="BodyText2"/>
    <w:semiHidden/>
    <w:locked/>
    <w:rsid w:val="00D6679C"/>
    <w:rPr>
      <w:rFonts w:cs="Times New Roman"/>
      <w:sz w:val="24"/>
      <w:lang w:val="en-US" w:eastAsia="en-US"/>
    </w:rPr>
  </w:style>
  <w:style w:type="paragraph" w:styleId="BodyText3">
    <w:name w:val="Body Text 3"/>
    <w:basedOn w:val="Normal"/>
    <w:link w:val="BodyText3Char"/>
    <w:semiHidden/>
    <w:rsid w:val="00D6679C"/>
    <w:pPr>
      <w:tabs>
        <w:tab w:val="left" w:pos="-720"/>
        <w:tab w:val="left" w:pos="0"/>
        <w:tab w:val="left" w:pos="607"/>
        <w:tab w:val="left" w:pos="1180"/>
        <w:tab w:val="left" w:pos="1411"/>
        <w:tab w:val="left" w:pos="2116"/>
        <w:tab w:val="left" w:pos="2822"/>
        <w:tab w:val="left" w:pos="3528"/>
        <w:tab w:val="left" w:pos="4233"/>
        <w:tab w:val="left" w:pos="4939"/>
        <w:tab w:val="left" w:pos="5762"/>
        <w:tab w:val="left" w:pos="6468"/>
        <w:tab w:val="left" w:pos="7173"/>
        <w:tab w:val="left" w:pos="7879"/>
        <w:tab w:val="left" w:pos="8584"/>
        <w:tab w:val="left" w:pos="9290"/>
        <w:tab w:val="left" w:pos="9996"/>
        <w:tab w:val="left" w:pos="10701"/>
        <w:tab w:val="left" w:pos="11407"/>
      </w:tabs>
      <w:suppressAutoHyphens/>
      <w:jc w:val="both"/>
    </w:pPr>
    <w:rPr>
      <w:sz w:val="24"/>
    </w:rPr>
  </w:style>
  <w:style w:type="character" w:customStyle="1" w:styleId="BodyText3Char">
    <w:name w:val="Body Text 3 Char"/>
    <w:link w:val="BodyText3"/>
    <w:semiHidden/>
    <w:locked/>
    <w:rsid w:val="00D6679C"/>
    <w:rPr>
      <w:rFonts w:cs="Times New Roman"/>
      <w:sz w:val="24"/>
      <w:lang w:val="en-US" w:eastAsia="en-US"/>
    </w:rPr>
  </w:style>
  <w:style w:type="character" w:customStyle="1" w:styleId="FootnoteTextChar">
    <w:name w:val="Footnote Text Char"/>
    <w:aliases w:val="single space Char2,fn Char,ALTS FOOTNOTE Char,FOOTNOTES Char,Footnote Text1 Char,Fodnotetekst Tegn Char2,footnote text Char Char,Fodnotetekst Tegn Char Char,single space Char Char,footnote text Char Char Char Char,ADB Char"/>
    <w:link w:val="FootnoteText"/>
    <w:uiPriority w:val="99"/>
    <w:locked/>
    <w:rsid w:val="00D6679C"/>
    <w:rPr>
      <w:rFonts w:ascii="Courier" w:hAnsi="Courier" w:cs="Times New Roman"/>
      <w:lang w:val="en-US" w:eastAsia="en-US"/>
    </w:rPr>
  </w:style>
  <w:style w:type="character" w:styleId="FollowedHyperlink">
    <w:name w:val="FollowedHyperlink"/>
    <w:rsid w:val="000130D7"/>
    <w:rPr>
      <w:color w:val="800080"/>
      <w:u w:val="single"/>
    </w:rPr>
  </w:style>
  <w:style w:type="character" w:customStyle="1" w:styleId="st1">
    <w:name w:val="st1"/>
    <w:rsid w:val="00DB2B31"/>
  </w:style>
  <w:style w:type="paragraph" w:styleId="Caption">
    <w:name w:val="caption"/>
    <w:basedOn w:val="Normal"/>
    <w:next w:val="Normal"/>
    <w:uiPriority w:val="35"/>
    <w:qFormat/>
    <w:locked/>
    <w:rsid w:val="00930677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customStyle="1" w:styleId="hps">
    <w:name w:val="hps"/>
    <w:basedOn w:val="DefaultParagraphFont"/>
    <w:rsid w:val="00930677"/>
  </w:style>
  <w:style w:type="paragraph" w:customStyle="1" w:styleId="Paragraphedeliste1">
    <w:name w:val="Paragraphe de liste1"/>
    <w:basedOn w:val="Normal"/>
    <w:qFormat/>
    <w:rsid w:val="00F553CC"/>
    <w:pPr>
      <w:ind w:left="720"/>
    </w:pPr>
  </w:style>
  <w:style w:type="paragraph" w:customStyle="1" w:styleId="Listecouleur-Accent11">
    <w:name w:val="Liste couleur - Accent 11"/>
    <w:basedOn w:val="Normal"/>
    <w:uiPriority w:val="34"/>
    <w:qFormat/>
    <w:rsid w:val="00BB24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C732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locked/>
    <w:rsid w:val="008E54C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EC5E96"/>
    <w:pPr>
      <w:spacing w:before="100" w:beforeAutospacing="1" w:after="100" w:afterAutospacing="1"/>
    </w:pPr>
    <w:rPr>
      <w:sz w:val="24"/>
      <w:szCs w:val="24"/>
      <w:lang w:val="fr-FR" w:eastAsia="fr-FR"/>
    </w:rPr>
  </w:style>
  <w:style w:type="character" w:styleId="EndnoteReference">
    <w:name w:val="endnote reference"/>
    <w:uiPriority w:val="99"/>
    <w:semiHidden/>
    <w:unhideWhenUsed/>
    <w:rsid w:val="00887231"/>
    <w:rPr>
      <w:vertAlign w:val="superscript"/>
    </w:rPr>
  </w:style>
  <w:style w:type="character" w:customStyle="1" w:styleId="ListParagraphChar">
    <w:name w:val="List Paragraph Char"/>
    <w:aliases w:val="Left Bullet L1 Char"/>
    <w:link w:val="ListParagraph"/>
    <w:uiPriority w:val="34"/>
    <w:rsid w:val="004F26ED"/>
    <w:rPr>
      <w:lang w:val="en-US" w:eastAsia="en-US"/>
    </w:rPr>
  </w:style>
  <w:style w:type="paragraph" w:customStyle="1" w:styleId="BVIfnr">
    <w:name w:val="BVI fnr"/>
    <w:aliases w:val=" BVI fnr Car Car, BVI fnr Car Car Car Car,Footnote text,BVI fnr Car Car Car Car,ftref Char,Char Char Char Char Car Char Char"/>
    <w:basedOn w:val="Normal"/>
    <w:next w:val="Normal"/>
    <w:link w:val="FootnoteReference"/>
    <w:uiPriority w:val="99"/>
    <w:rsid w:val="00CF65AD"/>
    <w:pPr>
      <w:spacing w:after="160" w:line="240" w:lineRule="exact"/>
      <w:jc w:val="both"/>
    </w:pPr>
    <w:rPr>
      <w:vertAlign w:val="superscript"/>
      <w:lang w:val="fr-FR" w:eastAsia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14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it-IT"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1450"/>
    <w:rPr>
      <w:rFonts w:ascii="Courier New" w:hAnsi="Courier New" w:cs="Courier New"/>
      <w:lang w:val="it-IT" w:eastAsia="it-IT"/>
    </w:rPr>
  </w:style>
  <w:style w:type="character" w:customStyle="1" w:styleId="highlight">
    <w:name w:val="highlight"/>
    <w:basedOn w:val="DefaultParagraphFont"/>
    <w:rsid w:val="00041450"/>
  </w:style>
  <w:style w:type="character" w:customStyle="1" w:styleId="shorttext">
    <w:name w:val="short_text"/>
    <w:basedOn w:val="DefaultParagraphFont"/>
    <w:rsid w:val="007677BD"/>
  </w:style>
  <w:style w:type="character" w:customStyle="1" w:styleId="st">
    <w:name w:val="st"/>
    <w:basedOn w:val="DefaultParagraphFont"/>
    <w:rsid w:val="004973BE"/>
  </w:style>
  <w:style w:type="character" w:styleId="Emphasis">
    <w:name w:val="Emphasis"/>
    <w:basedOn w:val="DefaultParagraphFont"/>
    <w:uiPriority w:val="20"/>
    <w:qFormat/>
    <w:locked/>
    <w:rsid w:val="004973BE"/>
    <w:rPr>
      <w:i/>
      <w:iCs/>
    </w:rPr>
  </w:style>
  <w:style w:type="character" w:customStyle="1" w:styleId="apple-converted-space">
    <w:name w:val="apple-converted-space"/>
    <w:basedOn w:val="DefaultParagraphFont"/>
    <w:rsid w:val="00B548DD"/>
  </w:style>
  <w:style w:type="character" w:customStyle="1" w:styleId="Heading4Char">
    <w:name w:val="Heading 4 Char"/>
    <w:basedOn w:val="DefaultParagraphFont"/>
    <w:link w:val="Heading4"/>
    <w:rsid w:val="00B548DD"/>
    <w:rPr>
      <w:rFonts w:ascii="Arial" w:hAnsi="Arial"/>
      <w:b/>
      <w:sz w:val="22"/>
      <w:lang w:val="en-US" w:eastAsia="en-US"/>
    </w:rPr>
  </w:style>
  <w:style w:type="character" w:styleId="Strong">
    <w:name w:val="Strong"/>
    <w:basedOn w:val="DefaultParagraphFont"/>
    <w:qFormat/>
    <w:locked/>
    <w:rsid w:val="0078429E"/>
    <w:rPr>
      <w:b/>
      <w:bCs/>
    </w:rPr>
  </w:style>
  <w:style w:type="paragraph" w:customStyle="1" w:styleId="Body">
    <w:name w:val="Body"/>
    <w:rsid w:val="005E57F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mbria" w:eastAsia="Cambria" w:hAnsi="Cambria" w:cs="Cambria"/>
      <w:color w:val="000000"/>
      <w:sz w:val="22"/>
      <w:szCs w:val="22"/>
      <w:u w:color="000000"/>
      <w:bdr w:val="nil"/>
      <w:lang w:val="en-US" w:eastAsia="en-GB"/>
    </w:rPr>
  </w:style>
  <w:style w:type="paragraph" w:styleId="Revision">
    <w:name w:val="Revision"/>
    <w:hidden/>
    <w:uiPriority w:val="99"/>
    <w:semiHidden/>
    <w:rsid w:val="00F979AB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3105">
          <w:marLeft w:val="90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5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5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6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6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1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0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6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9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9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5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5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9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9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9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6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3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7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0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0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6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3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2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93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01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9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1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8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6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3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5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5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7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2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6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0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0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16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7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3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dp.org/content/undp/en/home/operations/accountability/programme_and_operationspoliciesandprocedures.html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nfo.undp.org/global/popp/rma/Pages/internal-control-framework.aspx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56C7C-08CF-4288-8FA1-A3E6C7901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5839</Words>
  <Characters>33286</Characters>
  <Application>Microsoft Office Word</Application>
  <DocSecurity>0</DocSecurity>
  <Lines>277</Lines>
  <Paragraphs>78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CPD Template and Guidance</vt:lpstr>
      <vt:lpstr>CPD Template and Guidance</vt:lpstr>
    </vt:vector>
  </TitlesOfParts>
  <Company>Microsoft</Company>
  <LinksUpToDate>false</LinksUpToDate>
  <CharactersWithSpaces>39047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CPD Template and Guidance</dc:title>
  <dc:creator>John Magoha</dc:creator>
  <cp:lastModifiedBy>Svetlana Iazykova</cp:lastModifiedBy>
  <cp:revision>2</cp:revision>
  <cp:lastPrinted>2016-05-16T08:35:00Z</cp:lastPrinted>
  <dcterms:created xsi:type="dcterms:W3CDTF">2016-06-03T19:58:00Z</dcterms:created>
  <dcterms:modified xsi:type="dcterms:W3CDTF">2016-06-03T19:58:00Z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0x01010023A92725C93E4830A7421C44D384B7FC007D305ECB5151497D9ED4747BC101AE2B00FA2A749AF868DB49A28F5839C665E410</vt:lpwstr>
  </property>
  <property fmtid="{D5CDD505-2E9C-101B-9397-08002B2CF9AE}" pid="3" name="_dlc_DocIdItemGuid">
    <vt:lpwstr>9989d833-ec36-42db-843e-c5f5354adafe</vt:lpwstr>
  </property>
  <property fmtid="{D5CDD505-2E9C-101B-9397-08002B2CF9AE}" pid="4" name="_dlc_DocId">
    <vt:lpwstr>UNDPGBL-229-311</vt:lpwstr>
  </property>
  <property fmtid="{D5CDD505-2E9C-101B-9397-08002B2CF9AE}" pid="5" name="_dlc_DocIdUrl">
    <vt:lpwstr>https://intranet.undp.org/global/documents/_layouts/DocIdRedir.aspx?ID=UNDPGBL-229-311, UNDPGBL-229-311</vt:lpwstr>
  </property>
  <property fmtid="{D5CDD505-2E9C-101B-9397-08002B2CF9AE}" pid="6" name="UNDPPOPPKeywords">
    <vt:lpwstr>8;#Country Programme Document|191375a8-63fb-40e7-8027-9bd27b0a793a</vt:lpwstr>
  </property>
  <property fmtid="{D5CDD505-2E9C-101B-9397-08002B2CF9AE}" pid="7" name="TaxCatchAll">
    <vt:lpwstr>8;#Country Programme Document|191375a8-63fb-40e7-8027-9bd27b0a793a</vt:lpwstr>
  </property>
  <property fmtid="{D5CDD505-2E9C-101B-9397-08002B2CF9AE}" pid="8" name="UNDPPlannedReviewDate">
    <vt:lpwstr>2014-12-03T00:00:00Z</vt:lpwstr>
  </property>
  <property fmtid="{D5CDD505-2E9C-101B-9397-08002B2CF9AE}" pid="9" name="Focalpoint">
    <vt:lpwstr>15911;#UNDPHQ\jessica.murray</vt:lpwstr>
  </property>
  <property fmtid="{D5CDD505-2E9C-101B-9397-08002B2CF9AE}" pid="10" name="UNDPEffectiveDate">
    <vt:lpwstr>2013-12-03T00:00:00Z</vt:lpwstr>
  </property>
  <property fmtid="{D5CDD505-2E9C-101B-9397-08002B2CF9AE}" pid="11" name="UNDPResponsibleUnit">
    <vt:lpwstr>Operations Support Group (OSG)</vt:lpwstr>
  </property>
  <property fmtid="{D5CDD505-2E9C-101B-9397-08002B2CF9AE}" pid="12" name="UNDPCreator">
    <vt:lpwstr>266;#UNDPHQ\judith.puyat-magnaye</vt:lpwstr>
  </property>
  <property fmtid="{D5CDD505-2E9C-101B-9397-08002B2CF9AE}" pid="13" name="UNDPApplicability">
    <vt:lpwstr>All programmes and projects</vt:lpwstr>
  </property>
  <property fmtid="{D5CDD505-2E9C-101B-9397-08002B2CF9AE}" pid="14" name="UNDPActualReviewDate">
    <vt:lpwstr/>
  </property>
  <property fmtid="{D5CDD505-2E9C-101B-9397-08002B2CF9AE}" pid="15" name="UNDPPOPPKeywordsTaxHTField0">
    <vt:lpwstr>Country Programme Document191375a8-63fb-40e7-8027-9bd27b0a793a</vt:lpwstr>
  </property>
  <property fmtid="{D5CDD505-2E9C-101B-9397-08002B2CF9AE}" pid="16" name="UNDPPOPPFunctionalArea">
    <vt:lpwstr>Programme and Project</vt:lpwstr>
  </property>
  <property fmtid="{D5CDD505-2E9C-101B-9397-08002B2CF9AE}" pid="17" name="UNDPSummary">
    <vt:lpwstr>Version Nov 2013</vt:lpwstr>
  </property>
  <property fmtid="{D5CDD505-2E9C-101B-9397-08002B2CF9AE}" pid="18" name="UNDPPublishedDate">
    <vt:lpwstr>2013-12-03T00:00:00Z</vt:lpwstr>
  </property>
  <property fmtid="{D5CDD505-2E9C-101B-9397-08002B2CF9AE}" pid="19" name="UNDPPOPPProcess">
    <vt:lpwstr>Programme Management</vt:lpwstr>
  </property>
  <property fmtid="{D5CDD505-2E9C-101B-9397-08002B2CF9AE}" pid="20" name="UNDPIssuanceDate">
    <vt:lpwstr>2013-12-03T00:00:00Z</vt:lpwstr>
  </property>
  <property fmtid="{D5CDD505-2E9C-101B-9397-08002B2CF9AE}" pid="21" name="UNDPPOPPPrescriptiveContentSelection">
    <vt:lpwstr>Yes</vt:lpwstr>
  </property>
  <property fmtid="{D5CDD505-2E9C-101B-9397-08002B2CF9AE}" pid="22" name="UNDPPOPPSubprocess">
    <vt:lpwstr>Programme Strategic Planning</vt:lpwstr>
  </property>
  <property fmtid="{D5CDD505-2E9C-101B-9397-08002B2CF9AE}" pid="23" name="UNDPPOPPSubsubsubprocess">
    <vt:lpwstr/>
  </property>
  <property fmtid="{D5CDD505-2E9C-101B-9397-08002B2CF9AE}" pid="24" name="UNDPPOPPSubsubprocess">
    <vt:lpwstr/>
  </property>
</Properties>
</file>