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F7D6" w14:textId="202F81E1" w:rsidR="005C6168" w:rsidRPr="001C5F43" w:rsidRDefault="008D4F69" w:rsidP="002E2627">
      <w:pPr>
        <w:pStyle w:val="Heading3"/>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Country:</w:t>
      </w:r>
      <w:r>
        <w:rPr>
          <w:rFonts w:asciiTheme="minorHAnsi" w:hAnsiTheme="minorHAnsi" w:cstheme="minorHAnsi"/>
          <w:sz w:val="22"/>
          <w:szCs w:val="22"/>
        </w:rPr>
        <w:tab/>
      </w:r>
      <w:r>
        <w:rPr>
          <w:rFonts w:asciiTheme="minorHAnsi" w:hAnsiTheme="minorHAnsi" w:cstheme="minorHAnsi"/>
          <w:sz w:val="22"/>
          <w:szCs w:val="22"/>
        </w:rPr>
        <w:tab/>
      </w:r>
      <w:r w:rsidR="00977FD9" w:rsidRPr="001C5F43">
        <w:rPr>
          <w:rFonts w:asciiTheme="minorHAnsi" w:hAnsiTheme="minorHAnsi" w:cstheme="minorHAnsi"/>
          <w:sz w:val="22"/>
          <w:szCs w:val="22"/>
        </w:rPr>
        <w:t>Bangladesh</w:t>
      </w:r>
    </w:p>
    <w:p w14:paraId="2869F7D8" w14:textId="77777777" w:rsidR="005C6168" w:rsidRPr="001C5F43" w:rsidRDefault="00BC38E0" w:rsidP="002E2627">
      <w:pPr>
        <w:pStyle w:val="Heading3"/>
        <w:jc w:val="both"/>
        <w:rPr>
          <w:rFonts w:asciiTheme="minorHAnsi" w:hAnsiTheme="minorHAnsi" w:cstheme="minorHAnsi"/>
          <w:b/>
          <w:bCs w:val="0"/>
          <w:sz w:val="22"/>
          <w:szCs w:val="22"/>
        </w:rPr>
      </w:pPr>
      <w:r w:rsidRPr="001C5F43">
        <w:rPr>
          <w:rFonts w:asciiTheme="minorHAnsi" w:hAnsiTheme="minorHAnsi" w:cstheme="minorHAnsi"/>
          <w:b/>
          <w:bCs w:val="0"/>
          <w:sz w:val="22"/>
          <w:szCs w:val="22"/>
        </w:rPr>
        <w:t>COUNTRY PROGRAMME</w:t>
      </w:r>
      <w:r w:rsidR="00B32ADA" w:rsidRPr="001C5F43">
        <w:rPr>
          <w:rFonts w:asciiTheme="minorHAnsi" w:hAnsiTheme="minorHAnsi" w:cstheme="minorHAnsi"/>
          <w:b/>
          <w:bCs w:val="0"/>
          <w:sz w:val="22"/>
          <w:szCs w:val="22"/>
        </w:rPr>
        <w:t xml:space="preserve"> PERFORMANCE SUMMARY</w:t>
      </w:r>
      <w:r w:rsidR="001F3524" w:rsidRPr="001C5F43">
        <w:rPr>
          <w:rStyle w:val="FootnoteReference"/>
          <w:rFonts w:asciiTheme="minorHAnsi" w:hAnsiTheme="minorHAnsi" w:cstheme="minorHAnsi"/>
          <w:b/>
          <w:bCs w:val="0"/>
          <w:sz w:val="22"/>
          <w:szCs w:val="22"/>
        </w:rPr>
        <w:footnoteReference w:id="1"/>
      </w:r>
    </w:p>
    <w:p w14:paraId="2869F7DA" w14:textId="0DD999F3" w:rsidR="005C6168" w:rsidRPr="001C5F43" w:rsidRDefault="005C6168" w:rsidP="002E2627">
      <w:pPr>
        <w:pStyle w:val="Heading3"/>
        <w:jc w:val="both"/>
        <w:rPr>
          <w:rFonts w:asciiTheme="minorHAnsi" w:hAnsiTheme="minorHAnsi" w:cstheme="minorHAnsi"/>
          <w:sz w:val="22"/>
          <w:szCs w:val="22"/>
        </w:rPr>
      </w:pPr>
      <w:r w:rsidRPr="001C5F43">
        <w:rPr>
          <w:rFonts w:asciiTheme="minorHAnsi" w:hAnsiTheme="minorHAnsi" w:cstheme="minorHAnsi"/>
          <w:sz w:val="22"/>
          <w:szCs w:val="22"/>
        </w:rPr>
        <w:t xml:space="preserve">Reporting period: </w:t>
      </w:r>
      <w:r w:rsidRPr="001C5F43">
        <w:rPr>
          <w:rFonts w:asciiTheme="minorHAnsi" w:hAnsiTheme="minorHAnsi" w:cstheme="minorHAnsi"/>
          <w:sz w:val="22"/>
          <w:szCs w:val="22"/>
        </w:rPr>
        <w:tab/>
        <w:t>[</w:t>
      </w:r>
      <w:r w:rsidR="003752A0" w:rsidRPr="001C5F43">
        <w:rPr>
          <w:rFonts w:asciiTheme="minorHAnsi" w:hAnsiTheme="minorHAnsi" w:cstheme="minorHAnsi"/>
          <w:sz w:val="22"/>
          <w:szCs w:val="22"/>
        </w:rPr>
        <w:t>201</w:t>
      </w:r>
      <w:r w:rsidR="00977FD9" w:rsidRPr="001C5F43">
        <w:rPr>
          <w:rFonts w:asciiTheme="minorHAnsi" w:hAnsiTheme="minorHAnsi" w:cstheme="minorHAnsi"/>
          <w:sz w:val="22"/>
          <w:szCs w:val="22"/>
        </w:rPr>
        <w:t>2</w:t>
      </w:r>
      <w:r w:rsidR="003752A0" w:rsidRPr="001C5F43">
        <w:rPr>
          <w:rFonts w:asciiTheme="minorHAnsi" w:hAnsiTheme="minorHAnsi" w:cstheme="minorHAnsi"/>
          <w:sz w:val="22"/>
          <w:szCs w:val="22"/>
        </w:rPr>
        <w:t>-201</w:t>
      </w:r>
      <w:r w:rsidR="00977FD9" w:rsidRPr="001C5F43">
        <w:rPr>
          <w:rFonts w:asciiTheme="minorHAnsi" w:hAnsiTheme="minorHAnsi" w:cstheme="minorHAnsi"/>
          <w:sz w:val="22"/>
          <w:szCs w:val="22"/>
        </w:rPr>
        <w:t>6</w:t>
      </w:r>
      <w:r w:rsidRPr="001C5F43">
        <w:rPr>
          <w:rFonts w:asciiTheme="minorHAnsi" w:hAnsiTheme="minorHAnsi" w:cstheme="minorHAnsi"/>
          <w:sz w:val="22"/>
          <w:szCs w:val="22"/>
        </w:rPr>
        <w:t>]</w:t>
      </w:r>
    </w:p>
    <w:p w14:paraId="2869F7DC" w14:textId="77777777" w:rsidR="005C6168" w:rsidRPr="001C5F43" w:rsidRDefault="005C6168" w:rsidP="002E2627">
      <w:pPr>
        <w:jc w:val="both"/>
        <w:rPr>
          <w:rFonts w:asciiTheme="minorHAnsi" w:hAnsiTheme="minorHAnsi" w:cstheme="minorHAnsi"/>
          <w:sz w:val="22"/>
          <w:szCs w:val="22"/>
        </w:rPr>
      </w:pPr>
    </w:p>
    <w:p w14:paraId="2869F7DD" w14:textId="5A3967BF" w:rsidR="005C6168" w:rsidRPr="001C5F43" w:rsidRDefault="005C6168" w:rsidP="002E2627">
      <w:pPr>
        <w:pStyle w:val="Heading3"/>
        <w:jc w:val="both"/>
        <w:rPr>
          <w:rFonts w:asciiTheme="minorHAnsi" w:hAnsiTheme="minorHAnsi" w:cstheme="minorHAnsi"/>
          <w:b/>
          <w:bCs w:val="0"/>
          <w:sz w:val="22"/>
          <w:szCs w:val="22"/>
        </w:rPr>
      </w:pPr>
      <w:r w:rsidRPr="001C5F43">
        <w:rPr>
          <w:rFonts w:asciiTheme="minorHAnsi" w:hAnsiTheme="minorHAnsi" w:cstheme="minorHAnsi"/>
          <w:b/>
          <w:bCs w:val="0"/>
          <w:sz w:val="22"/>
          <w:szCs w:val="22"/>
        </w:rPr>
        <w:t xml:space="preserve">I.  </w:t>
      </w:r>
      <w:r w:rsidR="0064746F" w:rsidRPr="001C5F43">
        <w:rPr>
          <w:rFonts w:asciiTheme="minorHAnsi" w:hAnsiTheme="minorHAnsi" w:cstheme="minorHAnsi"/>
          <w:b/>
          <w:bCs w:val="0"/>
          <w:sz w:val="22"/>
          <w:szCs w:val="22"/>
        </w:rPr>
        <w:t>EXECUTIVE SUMMARY</w:t>
      </w:r>
      <w:r w:rsidR="008D4F69">
        <w:rPr>
          <w:rFonts w:asciiTheme="minorHAnsi" w:hAnsiTheme="minorHAnsi" w:cstheme="minorHAnsi"/>
          <w:b/>
          <w:bCs w:val="0"/>
          <w:sz w:val="22"/>
          <w:szCs w:val="22"/>
        </w:rPr>
        <w:t xml:space="preserve"> </w:t>
      </w:r>
    </w:p>
    <w:p w14:paraId="70B78698" w14:textId="77777777" w:rsidR="00970469" w:rsidRPr="001C5F43" w:rsidRDefault="00970469" w:rsidP="002E2627">
      <w:pPr>
        <w:pStyle w:val="BodyText2"/>
        <w:jc w:val="both"/>
        <w:rPr>
          <w:rFonts w:asciiTheme="minorHAnsi" w:hAnsiTheme="minorHAnsi" w:cstheme="minorHAnsi"/>
          <w:sz w:val="22"/>
          <w:szCs w:val="22"/>
        </w:rPr>
      </w:pPr>
    </w:p>
    <w:p w14:paraId="3F49B29F" w14:textId="0FB17408" w:rsidR="001F2A75" w:rsidRPr="003D6FD5" w:rsidRDefault="00970469" w:rsidP="00922DE0">
      <w:pPr>
        <w:pStyle w:val="BodyText2"/>
        <w:jc w:val="both"/>
        <w:rPr>
          <w:rFonts w:ascii="Calibri" w:hAnsi="Calibri"/>
          <w:sz w:val="22"/>
          <w:szCs w:val="22"/>
        </w:rPr>
      </w:pPr>
      <w:r w:rsidRPr="003D6FD5">
        <w:rPr>
          <w:rFonts w:ascii="Calibri" w:hAnsi="Calibri" w:cstheme="minorHAnsi"/>
          <w:sz w:val="22"/>
          <w:szCs w:val="22"/>
        </w:rPr>
        <w:t xml:space="preserve">UNDP has made significant progress across all five outcomes of </w:t>
      </w:r>
      <w:r w:rsidR="00922DE0" w:rsidRPr="003D6FD5">
        <w:rPr>
          <w:rFonts w:ascii="Calibri" w:hAnsi="Calibri" w:cstheme="minorHAnsi"/>
          <w:sz w:val="22"/>
          <w:szCs w:val="22"/>
        </w:rPr>
        <w:t xml:space="preserve">the country programme 2012-2016 as evidenced by the 2015 midterm outcome evaluations and a series of project and programme evaluations. </w:t>
      </w:r>
      <w:r w:rsidRPr="003D6FD5">
        <w:rPr>
          <w:rFonts w:ascii="Calibri" w:hAnsi="Calibri" w:cstheme="minorHAnsi"/>
          <w:sz w:val="22"/>
          <w:szCs w:val="22"/>
        </w:rPr>
        <w:t xml:space="preserve"> </w:t>
      </w:r>
      <w:r w:rsidR="00922DE0" w:rsidRPr="003D6FD5">
        <w:rPr>
          <w:rFonts w:ascii="Calibri" w:hAnsi="Calibri"/>
          <w:sz w:val="22"/>
          <w:szCs w:val="22"/>
        </w:rPr>
        <w:t>Notable</w:t>
      </w:r>
      <w:r w:rsidR="001F2A75" w:rsidRPr="003D6FD5">
        <w:rPr>
          <w:rFonts w:ascii="Calibri" w:hAnsi="Calibri"/>
          <w:sz w:val="22"/>
          <w:szCs w:val="22"/>
        </w:rPr>
        <w:t xml:space="preserve"> results include: </w:t>
      </w:r>
    </w:p>
    <w:p w14:paraId="24D9B7BB" w14:textId="77777777" w:rsidR="0001202E" w:rsidRDefault="0001202E" w:rsidP="00273296">
      <w:pPr>
        <w:pStyle w:val="BodyText2"/>
        <w:numPr>
          <w:ilvl w:val="0"/>
          <w:numId w:val="4"/>
        </w:numPr>
        <w:jc w:val="both"/>
        <w:rPr>
          <w:rFonts w:asciiTheme="minorHAnsi" w:hAnsiTheme="minorHAnsi" w:cstheme="minorHAnsi"/>
          <w:sz w:val="22"/>
          <w:szCs w:val="22"/>
        </w:rPr>
      </w:pPr>
      <w:r w:rsidRPr="003D6FD5">
        <w:rPr>
          <w:rFonts w:ascii="Calibri" w:hAnsi="Calibri" w:cstheme="minorHAnsi"/>
          <w:sz w:val="22"/>
          <w:szCs w:val="22"/>
        </w:rPr>
        <w:t>Over 3 million people in urban</w:t>
      </w:r>
      <w:r w:rsidRPr="001C5F43">
        <w:rPr>
          <w:rFonts w:asciiTheme="minorHAnsi" w:hAnsiTheme="minorHAnsi" w:cstheme="minorHAnsi"/>
          <w:sz w:val="22"/>
          <w:szCs w:val="22"/>
        </w:rPr>
        <w:t xml:space="preserve"> areas have been lifted out of poverty through UNDP facilitated approaches of community mobilization. Community development committees have been established, of which 90% are led by women. These committees have planned and implemented urban infrastructure and livelihood activities worth over US$ 70 million, and established Savings and Credit Groups responsible for US$ 8.6 million in savings and that has been revolved into US$ 31 million in loan assistance to community members. Further, UNDP supported community federations have been institutionalized into the government offices of 23 towns and cities [DFID - UPPR Proje</w:t>
      </w:r>
      <w:r>
        <w:rPr>
          <w:rFonts w:asciiTheme="minorHAnsi" w:hAnsiTheme="minorHAnsi" w:cstheme="minorHAnsi"/>
          <w:sz w:val="22"/>
          <w:szCs w:val="22"/>
        </w:rPr>
        <w:t>ct Completion Review 2015, p.3]</w:t>
      </w:r>
    </w:p>
    <w:p w14:paraId="3AA49056" w14:textId="77777777" w:rsidR="00970469" w:rsidRPr="001C5F43" w:rsidRDefault="00970469" w:rsidP="00273296">
      <w:pPr>
        <w:pStyle w:val="BodyText2"/>
        <w:numPr>
          <w:ilvl w:val="0"/>
          <w:numId w:val="4"/>
        </w:numPr>
        <w:jc w:val="both"/>
        <w:rPr>
          <w:rFonts w:asciiTheme="minorHAnsi" w:hAnsiTheme="minorHAnsi" w:cstheme="minorHAnsi"/>
          <w:sz w:val="22"/>
          <w:szCs w:val="22"/>
        </w:rPr>
      </w:pPr>
      <w:r w:rsidRPr="001C5F43">
        <w:rPr>
          <w:rFonts w:asciiTheme="minorHAnsi" w:hAnsiTheme="minorHAnsi" w:cstheme="minorHAnsi"/>
          <w:sz w:val="22"/>
          <w:szCs w:val="22"/>
        </w:rPr>
        <w:t xml:space="preserve">Access to justice has been improved through formal and quasi formal systems. Village courts now reach 7 million people in 351 Unions to provide faster and more affordable justice to poor people. Approximately 80% of cases through the village courts are resolved with each taking on average less than one month. Also, a new Legal Aid Act, developed with UNDP technical guidance and policy advocacy, supports the right for the poor and marginalized to access legal services. </w:t>
      </w:r>
    </w:p>
    <w:p w14:paraId="5641FBEC" w14:textId="33385D1D" w:rsidR="00970469" w:rsidRPr="001C5F43" w:rsidRDefault="00970469" w:rsidP="00273296">
      <w:pPr>
        <w:pStyle w:val="BodyText2"/>
        <w:numPr>
          <w:ilvl w:val="0"/>
          <w:numId w:val="4"/>
        </w:numPr>
        <w:jc w:val="both"/>
        <w:rPr>
          <w:rFonts w:asciiTheme="minorHAnsi" w:hAnsiTheme="minorHAnsi" w:cstheme="minorHAnsi"/>
          <w:sz w:val="22"/>
          <w:szCs w:val="22"/>
        </w:rPr>
      </w:pPr>
      <w:r w:rsidRPr="001C5F43">
        <w:rPr>
          <w:rFonts w:asciiTheme="minorHAnsi" w:hAnsiTheme="minorHAnsi" w:cstheme="minorHAnsi"/>
          <w:sz w:val="22"/>
          <w:szCs w:val="22"/>
        </w:rPr>
        <w:t xml:space="preserve">Access to public services has improved, particularly through digitalization and simplification of service delivery. </w:t>
      </w:r>
      <w:r w:rsidR="00594A38">
        <w:rPr>
          <w:rFonts w:asciiTheme="minorHAnsi" w:hAnsiTheme="minorHAnsi" w:cstheme="minorHAnsi"/>
          <w:sz w:val="22"/>
          <w:szCs w:val="22"/>
        </w:rPr>
        <w:t xml:space="preserve">Six million people are receiving e-services each month through </w:t>
      </w:r>
      <w:r w:rsidRPr="001C5F43">
        <w:rPr>
          <w:rFonts w:asciiTheme="minorHAnsi" w:hAnsiTheme="minorHAnsi" w:cstheme="minorHAnsi"/>
          <w:sz w:val="22"/>
          <w:szCs w:val="22"/>
        </w:rPr>
        <w:t xml:space="preserve">digital service centres </w:t>
      </w:r>
      <w:r w:rsidR="00594A38">
        <w:rPr>
          <w:rFonts w:asciiTheme="minorHAnsi" w:hAnsiTheme="minorHAnsi" w:cstheme="minorHAnsi"/>
          <w:sz w:val="22"/>
          <w:szCs w:val="22"/>
        </w:rPr>
        <w:t xml:space="preserve">established by UNDP supported Access to Information Programme </w:t>
      </w:r>
      <w:r w:rsidRPr="001C5F43">
        <w:rPr>
          <w:rFonts w:asciiTheme="minorHAnsi" w:hAnsiTheme="minorHAnsi" w:cstheme="minorHAnsi"/>
          <w:sz w:val="22"/>
          <w:szCs w:val="22"/>
        </w:rPr>
        <w:t>[Mid Term Evaluation Local Governance 2015, p.16] [a2i Mid-Term Evaluation, November 2015, p.25]. This has on average reduced the waiting time for services from 7 days to 1 hour and travel distances from 35 to 3 km. Additionally, UNDP capacity building support to local councils has resulted in specific inclusion of pro-poor service delivery in the annual budget of 80% of councils.</w:t>
      </w:r>
    </w:p>
    <w:p w14:paraId="5A079A66" w14:textId="5515ED87" w:rsidR="00970469" w:rsidRPr="001C5F43" w:rsidRDefault="00970469" w:rsidP="00273296">
      <w:pPr>
        <w:pStyle w:val="BodyText2"/>
        <w:numPr>
          <w:ilvl w:val="0"/>
          <w:numId w:val="4"/>
        </w:numPr>
        <w:jc w:val="both"/>
        <w:rPr>
          <w:rFonts w:asciiTheme="minorHAnsi" w:hAnsiTheme="minorHAnsi" w:cstheme="minorHAnsi"/>
          <w:sz w:val="22"/>
          <w:szCs w:val="22"/>
        </w:rPr>
      </w:pPr>
      <w:r w:rsidRPr="001C5F43">
        <w:rPr>
          <w:rFonts w:asciiTheme="minorHAnsi" w:hAnsiTheme="minorHAnsi" w:cstheme="minorHAnsi"/>
          <w:sz w:val="22"/>
          <w:szCs w:val="22"/>
        </w:rPr>
        <w:t xml:space="preserve">The approach to disaster management has undergone a major shift from disaster response to resilient recovery, and the government has integrated a comprehensive resilience agenda into development planning. </w:t>
      </w:r>
      <w:r w:rsidR="002864B7">
        <w:rPr>
          <w:rFonts w:asciiTheme="minorHAnsi" w:hAnsiTheme="minorHAnsi" w:cstheme="minorHAnsi"/>
          <w:sz w:val="22"/>
          <w:szCs w:val="22"/>
        </w:rPr>
        <w:t xml:space="preserve">Over 3.4 million </w:t>
      </w:r>
      <w:r w:rsidR="0001202E">
        <w:rPr>
          <w:rFonts w:asciiTheme="minorHAnsi" w:hAnsiTheme="minorHAnsi" w:cstheme="minorHAnsi"/>
          <w:sz w:val="22"/>
          <w:szCs w:val="22"/>
        </w:rPr>
        <w:t>high</w:t>
      </w:r>
      <w:r w:rsidR="003D6FD5">
        <w:rPr>
          <w:rFonts w:asciiTheme="minorHAnsi" w:hAnsiTheme="minorHAnsi" w:cstheme="minorHAnsi"/>
          <w:sz w:val="22"/>
          <w:szCs w:val="22"/>
        </w:rPr>
        <w:t>l</w:t>
      </w:r>
      <w:r w:rsidR="0001202E">
        <w:rPr>
          <w:rFonts w:asciiTheme="minorHAnsi" w:hAnsiTheme="minorHAnsi" w:cstheme="minorHAnsi"/>
          <w:sz w:val="22"/>
          <w:szCs w:val="22"/>
        </w:rPr>
        <w:t xml:space="preserve">y vulnerable people (40% women) benefitted from UNDP supported jobs and livelihood through local disaster risk reduction interventions (CDMP Impact Evaluation 2015). </w:t>
      </w:r>
      <w:r w:rsidRPr="001C5F43">
        <w:rPr>
          <w:rFonts w:asciiTheme="minorHAnsi" w:hAnsiTheme="minorHAnsi" w:cstheme="minorHAnsi"/>
          <w:sz w:val="22"/>
          <w:szCs w:val="22"/>
        </w:rPr>
        <w:t xml:space="preserve">Further, UNDP support resulted in enhanced warning systems for disaster, with 88 million people benefiting from two additional days’ notice of impending floods and 112 </w:t>
      </w:r>
      <w:r w:rsidR="003D6FD5">
        <w:rPr>
          <w:rFonts w:asciiTheme="minorHAnsi" w:hAnsiTheme="minorHAnsi" w:cstheme="minorHAnsi"/>
          <w:sz w:val="22"/>
          <w:szCs w:val="22"/>
        </w:rPr>
        <w:t xml:space="preserve">million </w:t>
      </w:r>
      <w:r w:rsidRPr="001C5F43">
        <w:rPr>
          <w:rFonts w:asciiTheme="minorHAnsi" w:hAnsiTheme="minorHAnsi" w:cstheme="minorHAnsi"/>
          <w:sz w:val="22"/>
          <w:szCs w:val="22"/>
        </w:rPr>
        <w:t xml:space="preserve">people with access to disaster warnings through their mobile phone. </w:t>
      </w:r>
    </w:p>
    <w:p w14:paraId="3CC6FC0A" w14:textId="77777777" w:rsidR="0001202E" w:rsidRPr="001C5F43" w:rsidRDefault="0001202E" w:rsidP="00273296">
      <w:pPr>
        <w:pStyle w:val="BodyText2"/>
        <w:numPr>
          <w:ilvl w:val="0"/>
          <w:numId w:val="4"/>
        </w:numPr>
        <w:jc w:val="both"/>
        <w:rPr>
          <w:rFonts w:asciiTheme="minorHAnsi" w:hAnsiTheme="minorHAnsi" w:cstheme="minorHAnsi"/>
          <w:sz w:val="22"/>
          <w:szCs w:val="22"/>
        </w:rPr>
      </w:pPr>
      <w:r w:rsidRPr="001C5F43">
        <w:rPr>
          <w:rFonts w:asciiTheme="minorHAnsi" w:hAnsiTheme="minorHAnsi" w:cstheme="minorHAnsi"/>
          <w:sz w:val="22"/>
          <w:szCs w:val="22"/>
        </w:rPr>
        <w:t>Peace and governance frameworks in the Chittagong Hill Tracts</w:t>
      </w:r>
      <w:r>
        <w:rPr>
          <w:rFonts w:asciiTheme="minorHAnsi" w:hAnsiTheme="minorHAnsi" w:cstheme="minorHAnsi"/>
          <w:sz w:val="22"/>
          <w:szCs w:val="22"/>
        </w:rPr>
        <w:t xml:space="preserve"> (CHT)</w:t>
      </w:r>
      <w:r w:rsidRPr="001C5F43">
        <w:rPr>
          <w:rFonts w:asciiTheme="minorHAnsi" w:hAnsiTheme="minorHAnsi" w:cstheme="minorHAnsi"/>
          <w:sz w:val="22"/>
          <w:szCs w:val="22"/>
        </w:rPr>
        <w:t xml:space="preserve"> have been enhanced and the local capacity for development has been sustained, through UNDP support as part of a joint UN programme framework. Hill District Councils now receive national financing for basic services of health and education and 858 farmer field schools have helped around 19,000 farmers to improve farming practice. Confidence in police services has increased following the transfer of 285 ethnic minority police back to the CHT and the reactivation of community policing forums.</w:t>
      </w:r>
    </w:p>
    <w:p w14:paraId="456B266C" w14:textId="77777777" w:rsidR="00922DE0" w:rsidRDefault="00922DE0" w:rsidP="003F1AD6">
      <w:pPr>
        <w:pStyle w:val="BodyText2"/>
        <w:jc w:val="both"/>
        <w:rPr>
          <w:rFonts w:asciiTheme="minorHAnsi" w:hAnsiTheme="minorHAnsi" w:cstheme="minorHAnsi"/>
          <w:sz w:val="22"/>
          <w:szCs w:val="22"/>
        </w:rPr>
      </w:pPr>
    </w:p>
    <w:p w14:paraId="71DB3934" w14:textId="6DB79402" w:rsidR="003F1AD6" w:rsidRPr="002864B7" w:rsidRDefault="0001202E" w:rsidP="003F1AD6">
      <w:pPr>
        <w:pStyle w:val="BodyText2"/>
        <w:jc w:val="both"/>
        <w:rPr>
          <w:rFonts w:asciiTheme="minorHAnsi" w:hAnsiTheme="minorHAnsi" w:cstheme="minorHAnsi"/>
          <w:sz w:val="22"/>
          <w:szCs w:val="22"/>
        </w:rPr>
      </w:pPr>
      <w:r w:rsidRPr="002864B7">
        <w:rPr>
          <w:rFonts w:asciiTheme="minorHAnsi" w:hAnsiTheme="minorHAnsi" w:cstheme="minorHAnsi"/>
          <w:sz w:val="22"/>
          <w:szCs w:val="22"/>
        </w:rPr>
        <w:t>Most UNDP resources (</w:t>
      </w:r>
      <w:r w:rsidR="00455C72">
        <w:rPr>
          <w:rFonts w:asciiTheme="minorHAnsi" w:hAnsiTheme="minorHAnsi" w:cstheme="minorHAnsi"/>
          <w:sz w:val="22"/>
          <w:szCs w:val="22"/>
        </w:rPr>
        <w:t>30</w:t>
      </w:r>
      <w:r w:rsidRPr="002864B7">
        <w:rPr>
          <w:rFonts w:asciiTheme="minorHAnsi" w:hAnsiTheme="minorHAnsi" w:cstheme="minorHAnsi"/>
          <w:sz w:val="22"/>
          <w:szCs w:val="22"/>
        </w:rPr>
        <w:t>%) contributed to Outcome 1 of the Strategic Plan</w:t>
      </w:r>
      <w:r w:rsidR="00F81402">
        <w:rPr>
          <w:rFonts w:asciiTheme="minorHAnsi" w:hAnsiTheme="minorHAnsi" w:cstheme="minorHAnsi"/>
          <w:sz w:val="22"/>
          <w:szCs w:val="22"/>
        </w:rPr>
        <w:t xml:space="preserve"> on Sustainable Growth and Development</w:t>
      </w:r>
      <w:r w:rsidRPr="002864B7">
        <w:rPr>
          <w:rFonts w:asciiTheme="minorHAnsi" w:hAnsiTheme="minorHAnsi" w:cstheme="minorHAnsi"/>
          <w:sz w:val="22"/>
          <w:szCs w:val="22"/>
        </w:rPr>
        <w:t xml:space="preserve">, followed by Outcome </w:t>
      </w:r>
      <w:r w:rsidR="00455C72">
        <w:rPr>
          <w:rFonts w:asciiTheme="minorHAnsi" w:hAnsiTheme="minorHAnsi" w:cstheme="minorHAnsi"/>
          <w:sz w:val="22"/>
          <w:szCs w:val="22"/>
        </w:rPr>
        <w:t>5</w:t>
      </w:r>
      <w:r w:rsidRPr="002864B7">
        <w:rPr>
          <w:rFonts w:asciiTheme="minorHAnsi" w:hAnsiTheme="minorHAnsi" w:cstheme="minorHAnsi"/>
          <w:sz w:val="22"/>
          <w:szCs w:val="22"/>
        </w:rPr>
        <w:t xml:space="preserve"> (</w:t>
      </w:r>
      <w:r w:rsidR="00455C72" w:rsidRPr="00F81402">
        <w:rPr>
          <w:rFonts w:asciiTheme="minorHAnsi" w:hAnsiTheme="minorHAnsi" w:cstheme="minorHAnsi"/>
          <w:sz w:val="22"/>
          <w:szCs w:val="22"/>
        </w:rPr>
        <w:t>28</w:t>
      </w:r>
      <w:r w:rsidRPr="002864B7">
        <w:rPr>
          <w:rFonts w:asciiTheme="minorHAnsi" w:hAnsiTheme="minorHAnsi" w:cstheme="minorHAnsi"/>
          <w:sz w:val="22"/>
          <w:szCs w:val="22"/>
        </w:rPr>
        <w:t>%)</w:t>
      </w:r>
      <w:r w:rsidR="00F81402">
        <w:rPr>
          <w:rFonts w:asciiTheme="minorHAnsi" w:hAnsiTheme="minorHAnsi" w:cstheme="minorHAnsi"/>
          <w:sz w:val="22"/>
          <w:szCs w:val="22"/>
        </w:rPr>
        <w:t xml:space="preserve"> on </w:t>
      </w:r>
      <w:r w:rsidR="00F81402" w:rsidRPr="00F81402">
        <w:rPr>
          <w:rFonts w:asciiTheme="minorHAnsi" w:hAnsiTheme="minorHAnsi" w:cstheme="minorHAnsi"/>
          <w:sz w:val="22"/>
          <w:szCs w:val="22"/>
        </w:rPr>
        <w:t xml:space="preserve">Risk reduction: conflict and natural disaster, including climate change. </w:t>
      </w:r>
      <w:r w:rsidR="002864B7" w:rsidRPr="002864B7">
        <w:rPr>
          <w:rFonts w:asciiTheme="minorHAnsi" w:hAnsiTheme="minorHAnsi" w:cstheme="minorHAnsi"/>
          <w:sz w:val="22"/>
          <w:szCs w:val="22"/>
        </w:rPr>
        <w:t xml:space="preserve">The results were evidenced in </w:t>
      </w:r>
      <w:r w:rsidR="003F1AD6" w:rsidRPr="002864B7">
        <w:rPr>
          <w:rFonts w:asciiTheme="minorHAnsi" w:hAnsiTheme="minorHAnsi" w:cstheme="minorHAnsi"/>
          <w:sz w:val="22"/>
          <w:szCs w:val="22"/>
        </w:rPr>
        <w:t>a series of donor review</w:t>
      </w:r>
      <w:r w:rsidR="003D6FD5">
        <w:rPr>
          <w:rFonts w:asciiTheme="minorHAnsi" w:hAnsiTheme="minorHAnsi" w:cstheme="minorHAnsi"/>
          <w:sz w:val="22"/>
          <w:szCs w:val="22"/>
        </w:rPr>
        <w:t>s</w:t>
      </w:r>
      <w:r w:rsidR="003F1AD6" w:rsidRPr="002864B7">
        <w:rPr>
          <w:rFonts w:asciiTheme="minorHAnsi" w:hAnsiTheme="minorHAnsi" w:cstheme="minorHAnsi"/>
          <w:sz w:val="22"/>
          <w:szCs w:val="22"/>
        </w:rPr>
        <w:t xml:space="preserve">, particular DFID assessments (systematically assessing UNDP programmes with </w:t>
      </w:r>
      <w:r w:rsidR="003D6FD5">
        <w:rPr>
          <w:rFonts w:asciiTheme="minorHAnsi" w:hAnsiTheme="minorHAnsi" w:cstheme="minorHAnsi"/>
          <w:sz w:val="22"/>
          <w:szCs w:val="22"/>
        </w:rPr>
        <w:t xml:space="preserve">an </w:t>
      </w:r>
      <w:r w:rsidR="003F1AD6" w:rsidRPr="002864B7">
        <w:rPr>
          <w:rFonts w:asciiTheme="minorHAnsi" w:hAnsiTheme="minorHAnsi" w:cstheme="minorHAnsi"/>
          <w:sz w:val="22"/>
          <w:szCs w:val="22"/>
        </w:rPr>
        <w:t>A</w:t>
      </w:r>
      <w:r w:rsidR="003D6FD5">
        <w:rPr>
          <w:rFonts w:asciiTheme="minorHAnsi" w:hAnsiTheme="minorHAnsi" w:cstheme="minorHAnsi"/>
          <w:sz w:val="22"/>
          <w:szCs w:val="22"/>
        </w:rPr>
        <w:t xml:space="preserve"> rating</w:t>
      </w:r>
      <w:r w:rsidR="003F1AD6" w:rsidRPr="002864B7">
        <w:rPr>
          <w:rFonts w:asciiTheme="minorHAnsi" w:hAnsiTheme="minorHAnsi" w:cstheme="minorHAnsi"/>
          <w:sz w:val="22"/>
          <w:szCs w:val="22"/>
        </w:rPr>
        <w:t>)</w:t>
      </w:r>
      <w:r w:rsidR="00411B0D" w:rsidRPr="002864B7">
        <w:rPr>
          <w:rFonts w:asciiTheme="minorHAnsi" w:hAnsiTheme="minorHAnsi" w:cstheme="minorHAnsi"/>
          <w:sz w:val="22"/>
          <w:szCs w:val="22"/>
        </w:rPr>
        <w:t xml:space="preserve">, CPD </w:t>
      </w:r>
      <w:r w:rsidR="003F1AD6" w:rsidRPr="002864B7">
        <w:rPr>
          <w:rFonts w:asciiTheme="minorHAnsi" w:hAnsiTheme="minorHAnsi" w:cstheme="minorHAnsi"/>
          <w:sz w:val="22"/>
          <w:szCs w:val="22"/>
        </w:rPr>
        <w:t>mid</w:t>
      </w:r>
      <w:r w:rsidR="003D6FD5">
        <w:rPr>
          <w:rFonts w:asciiTheme="minorHAnsi" w:hAnsiTheme="minorHAnsi" w:cstheme="minorHAnsi"/>
          <w:sz w:val="22"/>
          <w:szCs w:val="22"/>
        </w:rPr>
        <w:t>-</w:t>
      </w:r>
      <w:r w:rsidR="003F1AD6" w:rsidRPr="002864B7">
        <w:rPr>
          <w:rFonts w:asciiTheme="minorHAnsi" w:hAnsiTheme="minorHAnsi" w:cstheme="minorHAnsi"/>
          <w:sz w:val="22"/>
          <w:szCs w:val="22"/>
        </w:rPr>
        <w:t xml:space="preserve">term outcome evaluations and UNDAF evaluation. </w:t>
      </w:r>
    </w:p>
    <w:p w14:paraId="248BD08F" w14:textId="77777777" w:rsidR="003F1AD6" w:rsidRPr="002864B7" w:rsidRDefault="003F1AD6" w:rsidP="003F1AD6">
      <w:pPr>
        <w:pStyle w:val="BodyText2"/>
        <w:jc w:val="both"/>
        <w:rPr>
          <w:rFonts w:asciiTheme="minorHAnsi" w:hAnsiTheme="minorHAnsi" w:cstheme="minorHAnsi"/>
          <w:sz w:val="22"/>
          <w:szCs w:val="22"/>
        </w:rPr>
      </w:pPr>
    </w:p>
    <w:p w14:paraId="50A4E68A" w14:textId="5418FF32" w:rsidR="002864B7" w:rsidRDefault="009479D6" w:rsidP="00922DE0">
      <w:pPr>
        <w:pStyle w:val="BodyText2"/>
        <w:jc w:val="both"/>
        <w:rPr>
          <w:rFonts w:asciiTheme="minorHAnsi" w:hAnsiTheme="minorHAnsi" w:cstheme="minorHAnsi"/>
          <w:sz w:val="22"/>
          <w:szCs w:val="22"/>
        </w:rPr>
      </w:pPr>
      <w:r w:rsidRPr="002864B7">
        <w:rPr>
          <w:rFonts w:asciiTheme="minorHAnsi" w:hAnsiTheme="minorHAnsi" w:cstheme="minorHAnsi"/>
          <w:sz w:val="22"/>
          <w:szCs w:val="22"/>
        </w:rPr>
        <w:t>According to the 2015 partnership survey, 100% of the respondent government and civil society and 93% of the respondent bilateral donors and agencies considered UNDP to pla</w:t>
      </w:r>
      <w:r w:rsidR="003D6FD5">
        <w:rPr>
          <w:rFonts w:asciiTheme="minorHAnsi" w:hAnsiTheme="minorHAnsi" w:cstheme="minorHAnsi"/>
          <w:sz w:val="22"/>
          <w:szCs w:val="22"/>
        </w:rPr>
        <w:t>y a relevant role in Bangladesh</w:t>
      </w:r>
      <w:r w:rsidRPr="002864B7">
        <w:rPr>
          <w:rFonts w:asciiTheme="minorHAnsi" w:hAnsiTheme="minorHAnsi" w:cstheme="minorHAnsi"/>
          <w:sz w:val="22"/>
          <w:szCs w:val="22"/>
        </w:rPr>
        <w:t>’s development (representing a 33-point increase for government and a 10-point increase for donors/</w:t>
      </w:r>
      <w:r w:rsidR="003D6FD5" w:rsidRPr="002864B7">
        <w:rPr>
          <w:rFonts w:asciiTheme="minorHAnsi" w:hAnsiTheme="minorHAnsi" w:cstheme="minorHAnsi"/>
          <w:sz w:val="22"/>
          <w:szCs w:val="22"/>
        </w:rPr>
        <w:t>bilateral</w:t>
      </w:r>
      <w:r w:rsidR="003D6FD5">
        <w:rPr>
          <w:rFonts w:asciiTheme="minorHAnsi" w:hAnsiTheme="minorHAnsi" w:cstheme="minorHAnsi"/>
          <w:sz w:val="22"/>
          <w:szCs w:val="22"/>
        </w:rPr>
        <w:t>s</w:t>
      </w:r>
      <w:r w:rsidRPr="002864B7">
        <w:rPr>
          <w:rFonts w:asciiTheme="minorHAnsi" w:hAnsiTheme="minorHAnsi" w:cstheme="minorHAnsi"/>
          <w:sz w:val="22"/>
          <w:szCs w:val="22"/>
        </w:rPr>
        <w:t xml:space="preserve"> from the 2012 survey). </w:t>
      </w:r>
    </w:p>
    <w:p w14:paraId="195A8703" w14:textId="77777777" w:rsidR="002864B7" w:rsidRDefault="002864B7" w:rsidP="00922DE0">
      <w:pPr>
        <w:pStyle w:val="BodyText2"/>
        <w:jc w:val="both"/>
        <w:rPr>
          <w:rFonts w:asciiTheme="minorHAnsi" w:hAnsiTheme="minorHAnsi" w:cstheme="minorHAnsi"/>
          <w:sz w:val="22"/>
          <w:szCs w:val="22"/>
        </w:rPr>
      </w:pPr>
    </w:p>
    <w:p w14:paraId="137FC01C" w14:textId="5CA81E28" w:rsidR="00922DE0" w:rsidRDefault="003F1AD6" w:rsidP="00922DE0">
      <w:pPr>
        <w:pStyle w:val="BodyText2"/>
        <w:jc w:val="both"/>
        <w:rPr>
          <w:rFonts w:asciiTheme="minorHAnsi" w:hAnsiTheme="minorHAnsi" w:cstheme="minorHAnsi"/>
          <w:sz w:val="22"/>
          <w:szCs w:val="22"/>
        </w:rPr>
      </w:pPr>
      <w:r w:rsidRPr="002864B7">
        <w:rPr>
          <w:rFonts w:asciiTheme="minorHAnsi" w:hAnsiTheme="minorHAnsi" w:cstheme="minorHAnsi"/>
          <w:sz w:val="22"/>
          <w:szCs w:val="22"/>
        </w:rPr>
        <w:t xml:space="preserve">One of the challenges has been the heavy emphasis of </w:t>
      </w:r>
      <w:r w:rsidR="003D6FD5">
        <w:rPr>
          <w:rFonts w:asciiTheme="minorHAnsi" w:hAnsiTheme="minorHAnsi" w:cstheme="minorHAnsi"/>
          <w:sz w:val="22"/>
          <w:szCs w:val="22"/>
        </w:rPr>
        <w:t xml:space="preserve">the </w:t>
      </w:r>
      <w:r w:rsidRPr="002864B7">
        <w:rPr>
          <w:rFonts w:asciiTheme="minorHAnsi" w:hAnsiTheme="minorHAnsi" w:cstheme="minorHAnsi"/>
          <w:sz w:val="22"/>
          <w:szCs w:val="22"/>
        </w:rPr>
        <w:t>UNDP progra</w:t>
      </w:r>
      <w:r w:rsidR="003D6FD5">
        <w:rPr>
          <w:rFonts w:asciiTheme="minorHAnsi" w:hAnsiTheme="minorHAnsi" w:cstheme="minorHAnsi"/>
          <w:sz w:val="22"/>
          <w:szCs w:val="22"/>
        </w:rPr>
        <w:t>mme on two partners (EU and DFID)</w:t>
      </w:r>
      <w:r w:rsidR="00E172B5">
        <w:rPr>
          <w:rFonts w:asciiTheme="minorHAnsi" w:hAnsiTheme="minorHAnsi" w:cstheme="minorHAnsi"/>
          <w:sz w:val="22"/>
          <w:szCs w:val="22"/>
        </w:rPr>
        <w:t xml:space="preserve"> comprising around 63</w:t>
      </w:r>
      <w:r w:rsidRPr="002864B7">
        <w:rPr>
          <w:rFonts w:asciiTheme="minorHAnsi" w:hAnsiTheme="minorHAnsi" w:cstheme="minorHAnsi"/>
          <w:sz w:val="22"/>
          <w:szCs w:val="22"/>
        </w:rPr>
        <w:t>% of resources in the curr</w:t>
      </w:r>
      <w:r w:rsidR="003D6FD5">
        <w:rPr>
          <w:rFonts w:asciiTheme="minorHAnsi" w:hAnsiTheme="minorHAnsi" w:cstheme="minorHAnsi"/>
          <w:sz w:val="22"/>
          <w:szCs w:val="22"/>
        </w:rPr>
        <w:t>ent country programme</w:t>
      </w:r>
      <w:r w:rsidRPr="002864B7">
        <w:rPr>
          <w:rFonts w:asciiTheme="minorHAnsi" w:hAnsiTheme="minorHAnsi" w:cstheme="minorHAnsi"/>
          <w:sz w:val="22"/>
          <w:szCs w:val="22"/>
        </w:rPr>
        <w:t xml:space="preserve">.  </w:t>
      </w:r>
      <w:r w:rsidR="009479D6" w:rsidRPr="002864B7">
        <w:rPr>
          <w:rFonts w:asciiTheme="minorHAnsi" w:hAnsiTheme="minorHAnsi" w:cstheme="minorHAnsi"/>
          <w:sz w:val="22"/>
          <w:szCs w:val="22"/>
        </w:rPr>
        <w:t xml:space="preserve">UNDP </w:t>
      </w:r>
      <w:r w:rsidRPr="002864B7">
        <w:rPr>
          <w:rFonts w:asciiTheme="minorHAnsi" w:hAnsiTheme="minorHAnsi" w:cstheme="minorHAnsi"/>
          <w:sz w:val="22"/>
          <w:szCs w:val="22"/>
        </w:rPr>
        <w:t xml:space="preserve">has been increasingly focusing on </w:t>
      </w:r>
      <w:r w:rsidR="009479D6" w:rsidRPr="002864B7">
        <w:rPr>
          <w:rFonts w:asciiTheme="minorHAnsi" w:hAnsiTheme="minorHAnsi" w:cstheme="minorHAnsi"/>
          <w:sz w:val="22"/>
          <w:szCs w:val="22"/>
        </w:rPr>
        <w:t>diversify</w:t>
      </w:r>
      <w:r w:rsidR="00922DE0" w:rsidRPr="002864B7">
        <w:rPr>
          <w:rFonts w:asciiTheme="minorHAnsi" w:hAnsiTheme="minorHAnsi" w:cstheme="minorHAnsi"/>
          <w:sz w:val="22"/>
          <w:szCs w:val="22"/>
        </w:rPr>
        <w:t>ing</w:t>
      </w:r>
      <w:r w:rsidR="009479D6" w:rsidRPr="002864B7">
        <w:rPr>
          <w:rFonts w:asciiTheme="minorHAnsi" w:hAnsiTheme="minorHAnsi" w:cstheme="minorHAnsi"/>
          <w:sz w:val="22"/>
          <w:szCs w:val="22"/>
        </w:rPr>
        <w:t xml:space="preserve"> partnerships with non-traditional donors</w:t>
      </w:r>
      <w:r w:rsidR="003D6FD5">
        <w:rPr>
          <w:rFonts w:asciiTheme="minorHAnsi" w:hAnsiTheme="minorHAnsi" w:cstheme="minorHAnsi"/>
          <w:sz w:val="22"/>
          <w:szCs w:val="22"/>
        </w:rPr>
        <w:t>, such as with Korea on the</w:t>
      </w:r>
      <w:r w:rsidR="009479D6" w:rsidRPr="002864B7">
        <w:rPr>
          <w:rFonts w:asciiTheme="minorHAnsi" w:hAnsiTheme="minorHAnsi" w:cstheme="minorHAnsi"/>
          <w:sz w:val="22"/>
          <w:szCs w:val="22"/>
        </w:rPr>
        <w:t xml:space="preserve"> gender-based violence database</w:t>
      </w:r>
      <w:r w:rsidRPr="002864B7">
        <w:rPr>
          <w:rFonts w:asciiTheme="minorHAnsi" w:hAnsiTheme="minorHAnsi" w:cstheme="minorHAnsi"/>
          <w:sz w:val="22"/>
          <w:szCs w:val="22"/>
        </w:rPr>
        <w:t>, Ch</w:t>
      </w:r>
      <w:r w:rsidR="003D6FD5">
        <w:rPr>
          <w:rFonts w:asciiTheme="minorHAnsi" w:hAnsiTheme="minorHAnsi" w:cstheme="minorHAnsi"/>
          <w:sz w:val="22"/>
          <w:szCs w:val="22"/>
        </w:rPr>
        <w:t xml:space="preserve">ina on disaster management, </w:t>
      </w:r>
      <w:r w:rsidRPr="002864B7">
        <w:rPr>
          <w:rFonts w:asciiTheme="minorHAnsi" w:hAnsiTheme="minorHAnsi" w:cstheme="minorHAnsi"/>
          <w:sz w:val="22"/>
          <w:szCs w:val="22"/>
        </w:rPr>
        <w:t xml:space="preserve">private sector in the areas of urban partnership for poverty reduction and </w:t>
      </w:r>
      <w:r w:rsidR="00922DE0" w:rsidRPr="002864B7">
        <w:rPr>
          <w:rFonts w:asciiTheme="minorHAnsi" w:hAnsiTheme="minorHAnsi" w:cstheme="minorHAnsi"/>
          <w:sz w:val="22"/>
          <w:szCs w:val="22"/>
        </w:rPr>
        <w:t xml:space="preserve">the government through </w:t>
      </w:r>
      <w:r w:rsidRPr="002864B7">
        <w:rPr>
          <w:rFonts w:asciiTheme="minorHAnsi" w:hAnsiTheme="minorHAnsi" w:cstheme="minorHAnsi"/>
          <w:sz w:val="22"/>
          <w:szCs w:val="22"/>
        </w:rPr>
        <w:t>government co-financing</w:t>
      </w:r>
      <w:r w:rsidR="00411B0D" w:rsidRPr="002864B7">
        <w:rPr>
          <w:rFonts w:asciiTheme="minorHAnsi" w:hAnsiTheme="minorHAnsi" w:cstheme="minorHAnsi"/>
          <w:sz w:val="22"/>
          <w:szCs w:val="22"/>
        </w:rPr>
        <w:t xml:space="preserve"> </w:t>
      </w:r>
      <w:r w:rsidR="00922DE0" w:rsidRPr="002864B7">
        <w:rPr>
          <w:rFonts w:asciiTheme="minorHAnsi" w:hAnsiTheme="minorHAnsi" w:cstheme="minorHAnsi"/>
          <w:sz w:val="22"/>
          <w:szCs w:val="22"/>
        </w:rPr>
        <w:t xml:space="preserve">arrangements </w:t>
      </w:r>
      <w:r w:rsidR="00411B0D" w:rsidRPr="002864B7">
        <w:rPr>
          <w:rFonts w:asciiTheme="minorHAnsi" w:hAnsiTheme="minorHAnsi" w:cstheme="minorHAnsi"/>
          <w:sz w:val="22"/>
          <w:szCs w:val="22"/>
        </w:rPr>
        <w:t>(</w:t>
      </w:r>
      <w:r w:rsidR="00E94357">
        <w:rPr>
          <w:rFonts w:asciiTheme="minorHAnsi" w:hAnsiTheme="minorHAnsi" w:cstheme="minorHAnsi"/>
          <w:sz w:val="22"/>
          <w:szCs w:val="22"/>
        </w:rPr>
        <w:t>in two instances</w:t>
      </w:r>
      <w:r w:rsidR="00411B0D" w:rsidRPr="002864B7">
        <w:rPr>
          <w:rFonts w:asciiTheme="minorHAnsi" w:hAnsiTheme="minorHAnsi" w:cstheme="minorHAnsi"/>
          <w:sz w:val="22"/>
          <w:szCs w:val="22"/>
        </w:rPr>
        <w:t>). UNDP</w:t>
      </w:r>
      <w:r w:rsidR="00922DE0" w:rsidRPr="002864B7">
        <w:rPr>
          <w:rFonts w:asciiTheme="minorHAnsi" w:hAnsiTheme="minorHAnsi" w:cstheme="minorHAnsi"/>
          <w:sz w:val="22"/>
          <w:szCs w:val="22"/>
        </w:rPr>
        <w:t xml:space="preserve"> </w:t>
      </w:r>
      <w:r w:rsidR="0001202E" w:rsidRPr="002864B7">
        <w:rPr>
          <w:rFonts w:asciiTheme="minorHAnsi" w:hAnsiTheme="minorHAnsi" w:cstheme="minorHAnsi"/>
          <w:sz w:val="22"/>
          <w:szCs w:val="22"/>
        </w:rPr>
        <w:t xml:space="preserve">also </w:t>
      </w:r>
      <w:r w:rsidR="00922DE0" w:rsidRPr="002864B7">
        <w:rPr>
          <w:rFonts w:asciiTheme="minorHAnsi" w:hAnsiTheme="minorHAnsi" w:cstheme="minorHAnsi"/>
          <w:sz w:val="22"/>
          <w:szCs w:val="22"/>
        </w:rPr>
        <w:t>prioritized S</w:t>
      </w:r>
      <w:r w:rsidR="003D6FD5">
        <w:rPr>
          <w:rFonts w:asciiTheme="minorHAnsi" w:hAnsiTheme="minorHAnsi" w:cstheme="minorHAnsi"/>
          <w:sz w:val="22"/>
          <w:szCs w:val="22"/>
        </w:rPr>
        <w:t>outh-</w:t>
      </w:r>
      <w:r w:rsidR="00922DE0" w:rsidRPr="002864B7">
        <w:rPr>
          <w:rFonts w:asciiTheme="minorHAnsi" w:hAnsiTheme="minorHAnsi" w:cstheme="minorHAnsi"/>
          <w:sz w:val="22"/>
          <w:szCs w:val="22"/>
        </w:rPr>
        <w:t>S</w:t>
      </w:r>
      <w:r w:rsidRPr="002864B7">
        <w:rPr>
          <w:rFonts w:asciiTheme="minorHAnsi" w:hAnsiTheme="minorHAnsi" w:cstheme="minorHAnsi"/>
          <w:sz w:val="22"/>
          <w:szCs w:val="22"/>
        </w:rPr>
        <w:t>outh as a key modalit</w:t>
      </w:r>
      <w:r w:rsidR="00411B0D" w:rsidRPr="002864B7">
        <w:rPr>
          <w:rFonts w:asciiTheme="minorHAnsi" w:hAnsiTheme="minorHAnsi" w:cstheme="minorHAnsi"/>
          <w:sz w:val="22"/>
          <w:szCs w:val="22"/>
        </w:rPr>
        <w:t xml:space="preserve">y of partnership, in particular in the areas of social protection and disaster management. </w:t>
      </w:r>
      <w:r w:rsidR="00922DE0" w:rsidRPr="002864B7">
        <w:rPr>
          <w:rFonts w:asciiTheme="minorHAnsi" w:hAnsiTheme="minorHAnsi" w:cstheme="minorHAnsi"/>
          <w:sz w:val="22"/>
          <w:szCs w:val="22"/>
        </w:rPr>
        <w:t xml:space="preserve">For example, the new </w:t>
      </w:r>
      <w:r w:rsidR="00922DE0" w:rsidRPr="00411B0D">
        <w:rPr>
          <w:rFonts w:asciiTheme="minorHAnsi" w:hAnsiTheme="minorHAnsi" w:cstheme="minorHAnsi"/>
          <w:sz w:val="22"/>
          <w:szCs w:val="22"/>
        </w:rPr>
        <w:t>National Social Security Strategy is the result of a series of south-south exchanges, technical and coordination support across 23 government Ministries</w:t>
      </w:r>
      <w:r w:rsidR="0001202E">
        <w:rPr>
          <w:rFonts w:asciiTheme="minorHAnsi" w:hAnsiTheme="minorHAnsi" w:cstheme="minorHAnsi"/>
          <w:sz w:val="22"/>
          <w:szCs w:val="22"/>
        </w:rPr>
        <w:t xml:space="preserve">, facilitated by UNDP. </w:t>
      </w:r>
      <w:r w:rsidR="00922DE0">
        <w:rPr>
          <w:rFonts w:asciiTheme="minorHAnsi" w:hAnsiTheme="minorHAnsi" w:cstheme="minorHAnsi"/>
          <w:sz w:val="22"/>
          <w:szCs w:val="22"/>
        </w:rPr>
        <w:t>The strategy provides</w:t>
      </w:r>
      <w:r w:rsidR="003D6FD5">
        <w:rPr>
          <w:rFonts w:asciiTheme="minorHAnsi" w:hAnsiTheme="minorHAnsi" w:cstheme="minorHAnsi"/>
          <w:sz w:val="22"/>
          <w:szCs w:val="22"/>
        </w:rPr>
        <w:t xml:space="preserve"> a</w:t>
      </w:r>
      <w:r w:rsidR="00922DE0">
        <w:rPr>
          <w:rFonts w:asciiTheme="minorHAnsi" w:hAnsiTheme="minorHAnsi" w:cstheme="minorHAnsi"/>
          <w:sz w:val="22"/>
          <w:szCs w:val="22"/>
        </w:rPr>
        <w:t xml:space="preserve"> </w:t>
      </w:r>
      <w:r w:rsidR="00922DE0" w:rsidRPr="00411B0D">
        <w:rPr>
          <w:rFonts w:asciiTheme="minorHAnsi" w:hAnsiTheme="minorHAnsi" w:cstheme="minorHAnsi"/>
          <w:sz w:val="22"/>
          <w:szCs w:val="22"/>
        </w:rPr>
        <w:t>path breaking framework for addressing poverty and inequality based on multi-dimensional needs and risks</w:t>
      </w:r>
      <w:r w:rsidR="00922DE0">
        <w:rPr>
          <w:rFonts w:asciiTheme="minorHAnsi" w:hAnsiTheme="minorHAnsi" w:cstheme="minorHAnsi"/>
          <w:sz w:val="22"/>
          <w:szCs w:val="22"/>
        </w:rPr>
        <w:t xml:space="preserve"> and </w:t>
      </w:r>
      <w:r w:rsidR="00922DE0" w:rsidRPr="00411B0D">
        <w:rPr>
          <w:rFonts w:asciiTheme="minorHAnsi" w:hAnsiTheme="minorHAnsi" w:cstheme="minorHAnsi"/>
          <w:sz w:val="22"/>
          <w:szCs w:val="22"/>
        </w:rPr>
        <w:t>consolidates the previous 140 separate social safety net schemes</w:t>
      </w:r>
      <w:r w:rsidR="0001202E">
        <w:rPr>
          <w:rFonts w:asciiTheme="minorHAnsi" w:hAnsiTheme="minorHAnsi" w:cstheme="minorHAnsi"/>
          <w:sz w:val="22"/>
          <w:szCs w:val="22"/>
        </w:rPr>
        <w:t>.</w:t>
      </w:r>
    </w:p>
    <w:p w14:paraId="6489A174" w14:textId="77777777" w:rsidR="00922DE0" w:rsidRPr="002864B7" w:rsidRDefault="00922DE0" w:rsidP="00E41524">
      <w:pPr>
        <w:pStyle w:val="BodyText2"/>
        <w:jc w:val="both"/>
        <w:rPr>
          <w:rFonts w:asciiTheme="minorHAnsi" w:hAnsiTheme="minorHAnsi" w:cstheme="minorHAnsi"/>
          <w:sz w:val="22"/>
          <w:szCs w:val="22"/>
        </w:rPr>
      </w:pPr>
    </w:p>
    <w:p w14:paraId="4ED3FC69" w14:textId="5200B8C5" w:rsidR="004215EB" w:rsidRPr="004215EB" w:rsidRDefault="00411B0D" w:rsidP="004215EB">
      <w:pPr>
        <w:widowControl/>
        <w:jc w:val="both"/>
        <w:rPr>
          <w:rFonts w:asciiTheme="minorHAnsi" w:hAnsiTheme="minorHAnsi" w:cstheme="minorHAnsi"/>
          <w:sz w:val="22"/>
          <w:szCs w:val="22"/>
        </w:rPr>
      </w:pPr>
      <w:r w:rsidRPr="002864B7">
        <w:rPr>
          <w:rFonts w:asciiTheme="minorHAnsi" w:hAnsiTheme="minorHAnsi" w:cstheme="minorHAnsi"/>
        </w:rPr>
        <w:t xml:space="preserve">Notable gender </w:t>
      </w:r>
      <w:r w:rsidRPr="005E5718">
        <w:rPr>
          <w:rFonts w:asciiTheme="minorHAnsi" w:hAnsiTheme="minorHAnsi" w:cstheme="minorHAnsi"/>
          <w:sz w:val="22"/>
          <w:szCs w:val="22"/>
        </w:rPr>
        <w:t>equality results have been reported across all areas</w:t>
      </w:r>
      <w:r w:rsidR="002864B7" w:rsidRPr="005E5718">
        <w:rPr>
          <w:rFonts w:asciiTheme="minorHAnsi" w:hAnsiTheme="minorHAnsi" w:cstheme="minorHAnsi"/>
          <w:sz w:val="22"/>
          <w:szCs w:val="22"/>
        </w:rPr>
        <w:t xml:space="preserve"> (se</w:t>
      </w:r>
      <w:r w:rsidR="00944AB7" w:rsidRPr="005E5718">
        <w:rPr>
          <w:rFonts w:asciiTheme="minorHAnsi" w:hAnsiTheme="minorHAnsi" w:cstheme="minorHAnsi"/>
          <w:sz w:val="22"/>
          <w:szCs w:val="22"/>
        </w:rPr>
        <w:t>e below)</w:t>
      </w:r>
      <w:r w:rsidRPr="005E5718">
        <w:rPr>
          <w:rFonts w:asciiTheme="minorHAnsi" w:hAnsiTheme="minorHAnsi" w:cstheme="minorHAnsi"/>
          <w:sz w:val="22"/>
          <w:szCs w:val="22"/>
        </w:rPr>
        <w:t xml:space="preserve">. </w:t>
      </w:r>
      <w:r w:rsidR="000B309F" w:rsidRPr="005E5718">
        <w:rPr>
          <w:rFonts w:asciiTheme="minorHAnsi" w:hAnsiTheme="minorHAnsi" w:cstheme="minorHAnsi"/>
          <w:sz w:val="22"/>
          <w:szCs w:val="22"/>
        </w:rPr>
        <w:t xml:space="preserve">The gender marker indicated that </w:t>
      </w:r>
      <w:r w:rsidR="005E5718" w:rsidRPr="005E5718">
        <w:rPr>
          <w:rFonts w:asciiTheme="minorHAnsi" w:hAnsiTheme="minorHAnsi" w:cstheme="minorHAnsi"/>
          <w:sz w:val="22"/>
          <w:szCs w:val="22"/>
        </w:rPr>
        <w:t>72</w:t>
      </w:r>
      <w:r w:rsidR="005E5718">
        <w:rPr>
          <w:rFonts w:asciiTheme="minorHAnsi" w:hAnsiTheme="minorHAnsi" w:cstheme="minorHAnsi"/>
          <w:sz w:val="22"/>
          <w:szCs w:val="22"/>
        </w:rPr>
        <w:t>% of UNDP programme resources</w:t>
      </w:r>
      <w:r w:rsidR="009479D6" w:rsidRPr="005E5718">
        <w:rPr>
          <w:rFonts w:asciiTheme="minorHAnsi" w:hAnsiTheme="minorHAnsi" w:cstheme="minorHAnsi"/>
          <w:sz w:val="22"/>
          <w:szCs w:val="22"/>
        </w:rPr>
        <w:t xml:space="preserve"> </w:t>
      </w:r>
      <w:r w:rsidR="005E5718" w:rsidRPr="005E5718">
        <w:rPr>
          <w:rFonts w:asciiTheme="minorHAnsi" w:hAnsiTheme="minorHAnsi" w:cstheme="minorHAnsi"/>
          <w:sz w:val="22"/>
          <w:szCs w:val="22"/>
        </w:rPr>
        <w:t>in this CPD cycle (2012-2016)</w:t>
      </w:r>
      <w:r w:rsidR="005E5718">
        <w:rPr>
          <w:rStyle w:val="FootnoteReference"/>
          <w:rFonts w:asciiTheme="minorHAnsi" w:hAnsiTheme="minorHAnsi" w:cstheme="minorHAnsi"/>
          <w:sz w:val="22"/>
          <w:szCs w:val="22"/>
        </w:rPr>
        <w:footnoteReference w:id="2"/>
      </w:r>
      <w:r w:rsidR="005E5718" w:rsidRPr="005E5718">
        <w:rPr>
          <w:rFonts w:asciiTheme="minorHAnsi" w:hAnsiTheme="minorHAnsi" w:cstheme="minorHAnsi"/>
          <w:sz w:val="22"/>
          <w:szCs w:val="22"/>
        </w:rPr>
        <w:t xml:space="preserve"> </w:t>
      </w:r>
      <w:r w:rsidR="009479D6" w:rsidRPr="005E5718">
        <w:rPr>
          <w:rFonts w:asciiTheme="minorHAnsi" w:hAnsiTheme="minorHAnsi" w:cstheme="minorHAnsi"/>
          <w:sz w:val="22"/>
          <w:szCs w:val="22"/>
        </w:rPr>
        <w:t>contributed significantly or principally to gender equality</w:t>
      </w:r>
      <w:r w:rsidR="005E5718" w:rsidRPr="005E5718">
        <w:rPr>
          <w:rFonts w:asciiTheme="minorHAnsi" w:hAnsiTheme="minorHAnsi" w:cstheme="minorHAnsi"/>
          <w:sz w:val="22"/>
          <w:szCs w:val="22"/>
        </w:rPr>
        <w:t xml:space="preserve">; 27% made some contribution and only 1% made no noticeable contribution. </w:t>
      </w:r>
      <w:r w:rsidR="004215EB">
        <w:rPr>
          <w:rFonts w:asciiTheme="minorHAnsi" w:hAnsiTheme="minorHAnsi" w:cstheme="minorHAnsi"/>
          <w:sz w:val="22"/>
          <w:szCs w:val="22"/>
        </w:rPr>
        <w:t xml:space="preserve">For the whole CPD cycle, </w:t>
      </w:r>
      <w:r w:rsidR="005E5718">
        <w:rPr>
          <w:rFonts w:asciiTheme="minorHAnsi" w:hAnsiTheme="minorHAnsi" w:cstheme="minorHAnsi"/>
          <w:sz w:val="22"/>
          <w:szCs w:val="22"/>
        </w:rPr>
        <w:t xml:space="preserve">there has been a minor increase </w:t>
      </w:r>
      <w:r w:rsidR="004215EB">
        <w:rPr>
          <w:rFonts w:asciiTheme="minorHAnsi" w:hAnsiTheme="minorHAnsi" w:cstheme="minorHAnsi"/>
          <w:sz w:val="22"/>
          <w:szCs w:val="22"/>
        </w:rPr>
        <w:t>(</w:t>
      </w:r>
      <w:r w:rsidR="005E5718">
        <w:rPr>
          <w:rFonts w:asciiTheme="minorHAnsi" w:hAnsiTheme="minorHAnsi" w:cstheme="minorHAnsi"/>
          <w:sz w:val="22"/>
          <w:szCs w:val="22"/>
        </w:rPr>
        <w:t>2%</w:t>
      </w:r>
      <w:r w:rsidR="004215EB">
        <w:rPr>
          <w:rFonts w:asciiTheme="minorHAnsi" w:hAnsiTheme="minorHAnsi" w:cstheme="minorHAnsi"/>
          <w:sz w:val="22"/>
          <w:szCs w:val="22"/>
        </w:rPr>
        <w:t>)</w:t>
      </w:r>
      <w:r w:rsidR="005E5718">
        <w:rPr>
          <w:rFonts w:asciiTheme="minorHAnsi" w:hAnsiTheme="minorHAnsi" w:cstheme="minorHAnsi"/>
          <w:sz w:val="22"/>
          <w:szCs w:val="22"/>
        </w:rPr>
        <w:t xml:space="preserve"> in resources that made a significant or principal contribution to gender equality since </w:t>
      </w:r>
      <w:r w:rsidR="004215EB">
        <w:rPr>
          <w:rFonts w:asciiTheme="minorHAnsi" w:hAnsiTheme="minorHAnsi" w:cstheme="minorHAnsi"/>
          <w:sz w:val="22"/>
          <w:szCs w:val="22"/>
        </w:rPr>
        <w:t>2012</w:t>
      </w:r>
      <w:r w:rsidR="005E5718" w:rsidRPr="004215EB">
        <w:rPr>
          <w:rFonts w:asciiTheme="minorHAnsi" w:hAnsiTheme="minorHAnsi" w:cstheme="minorHAnsi"/>
          <w:sz w:val="22"/>
          <w:szCs w:val="22"/>
        </w:rPr>
        <w:t>. Most of the contributions were in CPD outcome 51 (</w:t>
      </w:r>
      <w:r w:rsidR="004215EB">
        <w:rPr>
          <w:rFonts w:asciiTheme="minorHAnsi" w:hAnsiTheme="minorHAnsi" w:cstheme="minorHAnsi"/>
          <w:sz w:val="22"/>
          <w:szCs w:val="22"/>
        </w:rPr>
        <w:t>i</w:t>
      </w:r>
      <w:r w:rsidR="004215EB" w:rsidRPr="004215EB">
        <w:rPr>
          <w:rFonts w:asciiTheme="minorHAnsi" w:hAnsiTheme="minorHAnsi" w:cstheme="minorHAnsi"/>
          <w:sz w:val="22"/>
          <w:szCs w:val="22"/>
        </w:rPr>
        <w:t xml:space="preserve">nclusive </w:t>
      </w:r>
      <w:r w:rsidR="004215EB">
        <w:rPr>
          <w:rFonts w:asciiTheme="minorHAnsi" w:hAnsiTheme="minorHAnsi" w:cstheme="minorHAnsi"/>
          <w:sz w:val="22"/>
          <w:szCs w:val="22"/>
        </w:rPr>
        <w:t>e</w:t>
      </w:r>
      <w:r w:rsidR="004215EB" w:rsidRPr="004215EB">
        <w:rPr>
          <w:rFonts w:asciiTheme="minorHAnsi" w:hAnsiTheme="minorHAnsi" w:cstheme="minorHAnsi"/>
          <w:sz w:val="22"/>
          <w:szCs w:val="22"/>
        </w:rPr>
        <w:t xml:space="preserve">conomic </w:t>
      </w:r>
      <w:r w:rsidR="004215EB">
        <w:rPr>
          <w:rFonts w:asciiTheme="minorHAnsi" w:hAnsiTheme="minorHAnsi" w:cstheme="minorHAnsi"/>
          <w:sz w:val="22"/>
          <w:szCs w:val="22"/>
        </w:rPr>
        <w:t>g</w:t>
      </w:r>
      <w:r w:rsidR="004215EB" w:rsidRPr="004215EB">
        <w:rPr>
          <w:rFonts w:asciiTheme="minorHAnsi" w:hAnsiTheme="minorHAnsi" w:cstheme="minorHAnsi"/>
          <w:sz w:val="22"/>
          <w:szCs w:val="22"/>
        </w:rPr>
        <w:t xml:space="preserve">rowth and </w:t>
      </w:r>
      <w:r w:rsidR="005E5718" w:rsidRPr="004215EB">
        <w:rPr>
          <w:rFonts w:asciiTheme="minorHAnsi" w:hAnsiTheme="minorHAnsi" w:cstheme="minorHAnsi"/>
          <w:sz w:val="22"/>
          <w:szCs w:val="22"/>
        </w:rPr>
        <w:t>protection of vulnerable groups against shocks) and the least contributions in outcome 53 (</w:t>
      </w:r>
      <w:r w:rsidR="004215EB" w:rsidRPr="004215EB">
        <w:rPr>
          <w:rFonts w:asciiTheme="minorHAnsi" w:hAnsiTheme="minorHAnsi" w:cstheme="minorHAnsi"/>
          <w:sz w:val="22"/>
          <w:szCs w:val="22"/>
        </w:rPr>
        <w:t xml:space="preserve">vulnerable populations benefit from better natural resource management and access to low carbon energy). UNDP is strengthening efforts through gender-specific programming on women and natural resource management, including housing, gender analysis and by engaging gender expertise for the next programming cycle. </w:t>
      </w:r>
    </w:p>
    <w:p w14:paraId="64DA8050" w14:textId="005EC5B9" w:rsidR="00506BC5" w:rsidRPr="002864B7" w:rsidRDefault="00506BC5" w:rsidP="004215EB">
      <w:pPr>
        <w:widowControl/>
        <w:jc w:val="both"/>
        <w:rPr>
          <w:rFonts w:asciiTheme="minorHAnsi" w:hAnsiTheme="minorHAnsi" w:cstheme="minorHAnsi"/>
          <w:sz w:val="22"/>
          <w:szCs w:val="22"/>
        </w:rPr>
      </w:pPr>
    </w:p>
    <w:p w14:paraId="27743AA3" w14:textId="77777777" w:rsidR="00506BC5" w:rsidRPr="002864B7" w:rsidRDefault="00506BC5" w:rsidP="002E2627">
      <w:pPr>
        <w:pStyle w:val="BodyText2"/>
        <w:jc w:val="both"/>
        <w:rPr>
          <w:rFonts w:asciiTheme="minorHAnsi" w:hAnsiTheme="minorHAnsi" w:cstheme="minorHAnsi"/>
          <w:sz w:val="22"/>
          <w:szCs w:val="22"/>
        </w:rPr>
        <w:sectPr w:rsidR="00506BC5" w:rsidRPr="002864B7">
          <w:footerReference w:type="default" r:id="rId13"/>
          <w:endnotePr>
            <w:numFmt w:val="decimal"/>
          </w:endnotePr>
          <w:pgSz w:w="11907" w:h="16840" w:code="9"/>
          <w:pgMar w:top="1440" w:right="1440" w:bottom="1440" w:left="1440" w:header="720" w:footer="720" w:gutter="0"/>
          <w:cols w:space="720"/>
        </w:sectPr>
      </w:pPr>
    </w:p>
    <w:p w14:paraId="2869F7F8" w14:textId="77777777" w:rsidR="00975566" w:rsidRPr="001C5F43" w:rsidRDefault="006900FE" w:rsidP="002E2627">
      <w:pPr>
        <w:pStyle w:val="Heading3"/>
        <w:jc w:val="both"/>
        <w:rPr>
          <w:rFonts w:asciiTheme="minorHAnsi" w:hAnsiTheme="minorHAnsi" w:cstheme="minorHAnsi"/>
          <w:b/>
          <w:sz w:val="22"/>
          <w:szCs w:val="22"/>
        </w:rPr>
      </w:pPr>
      <w:r w:rsidRPr="001C5F43">
        <w:rPr>
          <w:rFonts w:asciiTheme="minorHAnsi" w:hAnsiTheme="minorHAnsi" w:cstheme="minorHAnsi"/>
          <w:b/>
          <w:sz w:val="22"/>
          <w:szCs w:val="22"/>
        </w:rPr>
        <w:lastRenderedPageBreak/>
        <w:t>II</w:t>
      </w:r>
      <w:r w:rsidR="0081403B" w:rsidRPr="001C5F43">
        <w:rPr>
          <w:rFonts w:asciiTheme="minorHAnsi" w:hAnsiTheme="minorHAnsi" w:cstheme="minorHAnsi"/>
          <w:b/>
          <w:sz w:val="22"/>
          <w:szCs w:val="22"/>
        </w:rPr>
        <w:t xml:space="preserve">: </w:t>
      </w:r>
      <w:r w:rsidR="000C09B4" w:rsidRPr="001C5F43">
        <w:rPr>
          <w:rFonts w:asciiTheme="minorHAnsi" w:hAnsiTheme="minorHAnsi" w:cstheme="minorHAnsi"/>
          <w:b/>
          <w:sz w:val="22"/>
          <w:szCs w:val="22"/>
        </w:rPr>
        <w:t xml:space="preserve">Country Programme Performance </w:t>
      </w:r>
      <w:r w:rsidR="00975566" w:rsidRPr="001C5F43">
        <w:rPr>
          <w:rFonts w:asciiTheme="minorHAnsi" w:hAnsiTheme="minorHAnsi" w:cstheme="minorHAnsi"/>
          <w:b/>
          <w:sz w:val="22"/>
          <w:szCs w:val="22"/>
        </w:rPr>
        <w:t>Summary</w:t>
      </w:r>
    </w:p>
    <w:p w14:paraId="2869F7F9" w14:textId="77777777" w:rsidR="00DC7354" w:rsidRPr="001C5F43" w:rsidRDefault="00DC7354" w:rsidP="002E2627">
      <w:pPr>
        <w:pStyle w:val="BodyText2"/>
        <w:jc w:val="both"/>
        <w:rPr>
          <w:rFonts w:asciiTheme="minorHAnsi" w:hAnsiTheme="minorHAnsi" w:cstheme="minorHAnsi"/>
          <w:b/>
          <w:sz w:val="22"/>
          <w:szCs w:val="22"/>
        </w:rPr>
      </w:pP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67"/>
      </w:tblGrid>
      <w:tr w:rsidR="005927F0" w:rsidRPr="001C5F43" w14:paraId="0109CC8C" w14:textId="77777777" w:rsidTr="00FE0A9A">
        <w:tc>
          <w:tcPr>
            <w:tcW w:w="3150" w:type="dxa"/>
            <w:gridSpan w:val="2"/>
            <w:tcBorders>
              <w:right w:val="nil"/>
            </w:tcBorders>
            <w:shd w:val="clear" w:color="auto" w:fill="FFC000"/>
          </w:tcPr>
          <w:p w14:paraId="3BD772CB" w14:textId="77777777" w:rsidR="005927F0" w:rsidRPr="001C5F43" w:rsidRDefault="005927F0"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Country information</w:t>
            </w:r>
          </w:p>
        </w:tc>
        <w:tc>
          <w:tcPr>
            <w:tcW w:w="10867" w:type="dxa"/>
            <w:gridSpan w:val="3"/>
            <w:tcBorders>
              <w:left w:val="nil"/>
            </w:tcBorders>
            <w:shd w:val="clear" w:color="auto" w:fill="FFC000"/>
          </w:tcPr>
          <w:p w14:paraId="535BBA60" w14:textId="77777777" w:rsidR="005927F0" w:rsidRPr="001C5F43" w:rsidRDefault="005927F0" w:rsidP="002E2627">
            <w:pPr>
              <w:pStyle w:val="BodyText2"/>
              <w:jc w:val="both"/>
              <w:rPr>
                <w:rFonts w:asciiTheme="minorHAnsi" w:hAnsiTheme="minorHAnsi" w:cstheme="minorHAnsi"/>
                <w:b/>
                <w:sz w:val="22"/>
                <w:szCs w:val="22"/>
              </w:rPr>
            </w:pPr>
          </w:p>
        </w:tc>
      </w:tr>
      <w:tr w:rsidR="005927F0" w:rsidRPr="001C5F43" w14:paraId="33B3F6BB" w14:textId="77777777" w:rsidTr="00FE0A9A">
        <w:tc>
          <w:tcPr>
            <w:tcW w:w="14017" w:type="dxa"/>
            <w:gridSpan w:val="5"/>
          </w:tcPr>
          <w:p w14:paraId="6FF8B7E6" w14:textId="77777777" w:rsidR="005927F0" w:rsidRPr="001C5F43" w:rsidRDefault="005927F0"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Country name</w:t>
            </w:r>
            <w:r w:rsidRPr="001C5F43">
              <w:rPr>
                <w:rFonts w:asciiTheme="minorHAnsi" w:hAnsiTheme="minorHAnsi" w:cstheme="minorHAnsi"/>
                <w:sz w:val="22"/>
                <w:szCs w:val="22"/>
              </w:rPr>
              <w:t>:</w:t>
            </w:r>
            <w:r w:rsidRPr="001C5F43">
              <w:rPr>
                <w:rFonts w:asciiTheme="minorHAnsi" w:hAnsiTheme="minorHAnsi" w:cstheme="minorHAnsi"/>
                <w:b/>
                <w:sz w:val="22"/>
                <w:szCs w:val="22"/>
              </w:rPr>
              <w:t xml:space="preserve"> Bangladesh</w:t>
            </w:r>
          </w:p>
        </w:tc>
      </w:tr>
      <w:tr w:rsidR="005927F0" w:rsidRPr="001C5F43" w14:paraId="0763F97D" w14:textId="77777777" w:rsidTr="00FE0A9A">
        <w:tc>
          <w:tcPr>
            <w:tcW w:w="14017" w:type="dxa"/>
            <w:gridSpan w:val="5"/>
          </w:tcPr>
          <w:p w14:paraId="1A0D32D6" w14:textId="77777777" w:rsidR="005927F0" w:rsidRPr="001C5F43" w:rsidRDefault="005927F0"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Current country programme period</w:t>
            </w:r>
            <w:r w:rsidRPr="001C5F43">
              <w:rPr>
                <w:rFonts w:asciiTheme="minorHAnsi" w:hAnsiTheme="minorHAnsi" w:cstheme="minorHAnsi"/>
                <w:sz w:val="22"/>
                <w:szCs w:val="22"/>
              </w:rPr>
              <w:t>:</w:t>
            </w:r>
            <w:r w:rsidRPr="001C5F43">
              <w:rPr>
                <w:rFonts w:asciiTheme="minorHAnsi" w:hAnsiTheme="minorHAnsi" w:cstheme="minorHAnsi"/>
                <w:b/>
                <w:sz w:val="22"/>
                <w:szCs w:val="22"/>
              </w:rPr>
              <w:t xml:space="preserve"> 2012-2016</w:t>
            </w:r>
          </w:p>
        </w:tc>
      </w:tr>
      <w:tr w:rsidR="005927F0" w:rsidRPr="001C5F43" w14:paraId="27576589" w14:textId="77777777" w:rsidTr="00FE0A9A">
        <w:tc>
          <w:tcPr>
            <w:tcW w:w="3150" w:type="dxa"/>
            <w:gridSpan w:val="2"/>
          </w:tcPr>
          <w:p w14:paraId="2166D74D" w14:textId="77777777" w:rsidR="005927F0" w:rsidRPr="001C5F43" w:rsidRDefault="005927F0"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Outcomes</w:t>
            </w:r>
          </w:p>
        </w:tc>
        <w:tc>
          <w:tcPr>
            <w:tcW w:w="1440" w:type="dxa"/>
            <w:shd w:val="clear" w:color="auto" w:fill="auto"/>
          </w:tcPr>
          <w:p w14:paraId="015E62DE" w14:textId="77777777" w:rsidR="005927F0" w:rsidRPr="001C5F43" w:rsidRDefault="005927F0"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Total Expenditure</w:t>
            </w:r>
          </w:p>
        </w:tc>
        <w:tc>
          <w:tcPr>
            <w:tcW w:w="3960" w:type="dxa"/>
            <w:tcBorders>
              <w:left w:val="single" w:sz="4" w:space="0" w:color="auto"/>
            </w:tcBorders>
          </w:tcPr>
          <w:p w14:paraId="1D03937A" w14:textId="77777777" w:rsidR="005927F0" w:rsidRPr="001C5F43" w:rsidRDefault="005927F0"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Key Indicators of outcome (1-4 per outcome)</w:t>
            </w:r>
          </w:p>
        </w:tc>
        <w:tc>
          <w:tcPr>
            <w:tcW w:w="5467" w:type="dxa"/>
          </w:tcPr>
          <w:p w14:paraId="2D3D64F9" w14:textId="77777777" w:rsidR="005927F0" w:rsidRPr="001C5F43" w:rsidRDefault="005927F0"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Progress made against key indicators</w:t>
            </w:r>
          </w:p>
        </w:tc>
      </w:tr>
      <w:tr w:rsidR="005927F0" w:rsidRPr="001C5F43" w14:paraId="7418F876" w14:textId="77777777" w:rsidTr="00FE0A9A">
        <w:tc>
          <w:tcPr>
            <w:tcW w:w="3150" w:type="dxa"/>
            <w:gridSpan w:val="2"/>
            <w:tcBorders>
              <w:bottom w:val="single" w:sz="4" w:space="0" w:color="auto"/>
            </w:tcBorders>
            <w:shd w:val="clear" w:color="auto" w:fill="95B3D7" w:themeFill="accent1" w:themeFillTint="99"/>
          </w:tcPr>
          <w:p w14:paraId="5EDEF606" w14:textId="77777777" w:rsidR="005927F0" w:rsidRPr="001C5F43" w:rsidRDefault="005927F0"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1. Government institutions at the national and sub national levels are able to more effectively carry out their mandates, including delivery of public service, in a more accountable, transparent and inclusive manner.</w:t>
            </w:r>
          </w:p>
        </w:tc>
        <w:tc>
          <w:tcPr>
            <w:tcW w:w="1440" w:type="dxa"/>
            <w:tcBorders>
              <w:bottom w:val="single" w:sz="4" w:space="0" w:color="auto"/>
            </w:tcBorders>
            <w:shd w:val="clear" w:color="auto" w:fill="auto"/>
          </w:tcPr>
          <w:p w14:paraId="2A911DAF" w14:textId="0DF26FD1" w:rsidR="005927F0" w:rsidRPr="001C5F43" w:rsidRDefault="005927F0" w:rsidP="005F1A18">
            <w:pPr>
              <w:pStyle w:val="BodyText2"/>
              <w:jc w:val="both"/>
              <w:rPr>
                <w:rFonts w:asciiTheme="minorHAnsi" w:hAnsiTheme="minorHAnsi" w:cstheme="minorHAnsi"/>
                <w:sz w:val="22"/>
                <w:szCs w:val="22"/>
                <w:highlight w:val="yellow"/>
              </w:rPr>
            </w:pPr>
            <w:r w:rsidRPr="001C5F43">
              <w:rPr>
                <w:rFonts w:asciiTheme="minorHAnsi" w:hAnsiTheme="minorHAnsi" w:cstheme="minorHAnsi"/>
                <w:sz w:val="22"/>
                <w:szCs w:val="22"/>
              </w:rPr>
              <w:t xml:space="preserve">$ </w:t>
            </w:r>
            <w:r w:rsidR="005F1A18" w:rsidRPr="005F1A18">
              <w:rPr>
                <w:rFonts w:asciiTheme="minorHAnsi" w:hAnsiTheme="minorHAnsi" w:cstheme="minorHAnsi"/>
                <w:sz w:val="22"/>
                <w:szCs w:val="22"/>
              </w:rPr>
              <w:t xml:space="preserve"> 83,496,487</w:t>
            </w:r>
          </w:p>
        </w:tc>
        <w:tc>
          <w:tcPr>
            <w:tcW w:w="3960" w:type="dxa"/>
            <w:tcBorders>
              <w:left w:val="single" w:sz="4" w:space="0" w:color="auto"/>
              <w:bottom w:val="single" w:sz="4" w:space="0" w:color="auto"/>
            </w:tcBorders>
          </w:tcPr>
          <w:p w14:paraId="6B0FA8C2" w14:textId="187B3891" w:rsidR="00D55A67" w:rsidRPr="001C5F43" w:rsidRDefault="005927F0" w:rsidP="00273296">
            <w:pPr>
              <w:pStyle w:val="BodyText2"/>
              <w:numPr>
                <w:ilvl w:val="0"/>
                <w:numId w:val="1"/>
              </w:numPr>
              <w:jc w:val="both"/>
              <w:rPr>
                <w:rFonts w:asciiTheme="minorHAnsi" w:hAnsiTheme="minorHAnsi" w:cstheme="minorHAnsi"/>
                <w:i/>
                <w:sz w:val="22"/>
                <w:szCs w:val="22"/>
              </w:rPr>
            </w:pPr>
            <w:r w:rsidRPr="001C5F43">
              <w:rPr>
                <w:rFonts w:asciiTheme="minorHAnsi" w:hAnsiTheme="minorHAnsi" w:cstheme="minorHAnsi"/>
                <w:sz w:val="22"/>
                <w:szCs w:val="22"/>
                <w:lang w:val="en-GB"/>
              </w:rPr>
              <w:t xml:space="preserve">Public trust in the credibility of elections </w:t>
            </w:r>
          </w:p>
          <w:p w14:paraId="22D432DF" w14:textId="77777777" w:rsidR="005927F0" w:rsidRPr="001C5F43" w:rsidRDefault="005927F0" w:rsidP="002E2627">
            <w:pPr>
              <w:pStyle w:val="ListParagraph"/>
              <w:jc w:val="both"/>
              <w:rPr>
                <w:rFonts w:asciiTheme="minorHAnsi" w:hAnsiTheme="minorHAnsi" w:cstheme="minorHAnsi"/>
                <w:sz w:val="22"/>
                <w:szCs w:val="22"/>
                <w:lang w:val="en-GB"/>
              </w:rPr>
            </w:pPr>
          </w:p>
          <w:p w14:paraId="37D3A8E2" w14:textId="5354AE1E" w:rsidR="005927F0" w:rsidRPr="001C5F43" w:rsidRDefault="005927F0" w:rsidP="00273296">
            <w:pPr>
              <w:pStyle w:val="BodyText2"/>
              <w:numPr>
                <w:ilvl w:val="0"/>
                <w:numId w:val="1"/>
              </w:numPr>
              <w:jc w:val="both"/>
              <w:rPr>
                <w:rFonts w:asciiTheme="minorHAnsi" w:hAnsiTheme="minorHAnsi" w:cstheme="minorHAnsi"/>
                <w:sz w:val="22"/>
                <w:szCs w:val="22"/>
                <w:lang w:val="en-GB"/>
              </w:rPr>
            </w:pPr>
            <w:r w:rsidRPr="001C5F43">
              <w:rPr>
                <w:rFonts w:asciiTheme="minorHAnsi" w:hAnsiTheme="minorHAnsi" w:cstheme="minorHAnsi"/>
                <w:sz w:val="22"/>
                <w:szCs w:val="22"/>
                <w:lang w:val="en-GB"/>
              </w:rPr>
              <w:t>Progress on Civil Service Act enactment and approval of revised rules</w:t>
            </w:r>
          </w:p>
          <w:p w14:paraId="4A35BECF" w14:textId="77777777" w:rsidR="00D55A67" w:rsidRPr="001C5F43" w:rsidRDefault="00D55A67" w:rsidP="002E2627">
            <w:pPr>
              <w:pStyle w:val="BodyText2"/>
              <w:jc w:val="both"/>
              <w:rPr>
                <w:rFonts w:asciiTheme="minorHAnsi" w:hAnsiTheme="minorHAnsi" w:cstheme="minorHAnsi"/>
                <w:sz w:val="22"/>
                <w:szCs w:val="22"/>
                <w:lang w:val="en-GB"/>
              </w:rPr>
            </w:pPr>
          </w:p>
          <w:p w14:paraId="4E02AD0F" w14:textId="77777777" w:rsidR="005927F0" w:rsidRPr="001C5F43" w:rsidRDefault="005927F0" w:rsidP="00273296">
            <w:pPr>
              <w:pStyle w:val="BodyText2"/>
              <w:numPr>
                <w:ilvl w:val="0"/>
                <w:numId w:val="1"/>
              </w:numPr>
              <w:jc w:val="both"/>
              <w:rPr>
                <w:rFonts w:asciiTheme="minorHAnsi" w:hAnsiTheme="minorHAnsi" w:cstheme="minorHAnsi"/>
                <w:i/>
                <w:sz w:val="22"/>
                <w:szCs w:val="22"/>
              </w:rPr>
            </w:pPr>
            <w:r w:rsidRPr="001C5F43">
              <w:rPr>
                <w:rFonts w:asciiTheme="minorHAnsi" w:hAnsiTheme="minorHAnsi" w:cstheme="minorHAnsi"/>
                <w:sz w:val="22"/>
                <w:szCs w:val="22"/>
                <w:lang w:val="en-GB"/>
              </w:rPr>
              <w:t>Percentage of women in civil service in senior management positions (joint secretary or above)</w:t>
            </w:r>
          </w:p>
        </w:tc>
        <w:tc>
          <w:tcPr>
            <w:tcW w:w="5467" w:type="dxa"/>
            <w:tcBorders>
              <w:bottom w:val="single" w:sz="4" w:space="0" w:color="auto"/>
            </w:tcBorders>
            <w:shd w:val="clear" w:color="auto" w:fill="auto"/>
          </w:tcPr>
          <w:p w14:paraId="57B5F2D0" w14:textId="4C9E7B9C" w:rsidR="005927F0" w:rsidRDefault="005927F0" w:rsidP="00273296">
            <w:pPr>
              <w:pStyle w:val="BodyText2"/>
              <w:numPr>
                <w:ilvl w:val="0"/>
                <w:numId w:val="2"/>
              </w:numPr>
              <w:jc w:val="both"/>
              <w:rPr>
                <w:rFonts w:asciiTheme="minorHAnsi" w:hAnsiTheme="minorHAnsi" w:cstheme="minorHAnsi"/>
                <w:i/>
                <w:sz w:val="22"/>
                <w:szCs w:val="22"/>
              </w:rPr>
            </w:pPr>
            <w:r w:rsidRPr="001C5F43">
              <w:rPr>
                <w:rFonts w:asciiTheme="minorHAnsi" w:hAnsiTheme="minorHAnsi" w:cstheme="minorHAnsi"/>
                <w:i/>
                <w:sz w:val="22"/>
                <w:szCs w:val="22"/>
              </w:rPr>
              <w:t xml:space="preserve">In 2008, levels of public trust in the credibility of </w:t>
            </w:r>
            <w:r w:rsidR="00D55A67" w:rsidRPr="001C5F43">
              <w:rPr>
                <w:rFonts w:asciiTheme="minorHAnsi" w:hAnsiTheme="minorHAnsi" w:cstheme="minorHAnsi"/>
                <w:i/>
                <w:sz w:val="22"/>
                <w:szCs w:val="22"/>
              </w:rPr>
              <w:t>elections</w:t>
            </w:r>
            <w:r w:rsidRPr="001C5F43">
              <w:rPr>
                <w:rFonts w:asciiTheme="minorHAnsi" w:hAnsiTheme="minorHAnsi" w:cstheme="minorHAnsi"/>
                <w:i/>
                <w:sz w:val="22"/>
                <w:szCs w:val="22"/>
              </w:rPr>
              <w:t xml:space="preserve"> was 80%.</w:t>
            </w:r>
            <w:r w:rsidR="00D55A67" w:rsidRPr="001C5F43">
              <w:rPr>
                <w:rFonts w:asciiTheme="minorHAnsi" w:hAnsiTheme="minorHAnsi" w:cstheme="minorHAnsi"/>
                <w:i/>
                <w:sz w:val="22"/>
                <w:szCs w:val="22"/>
              </w:rPr>
              <w:t xml:space="preserve"> T</w:t>
            </w:r>
            <w:r w:rsidRPr="001C5F43">
              <w:rPr>
                <w:rFonts w:asciiTheme="minorHAnsi" w:hAnsiTheme="minorHAnsi" w:cstheme="minorHAnsi"/>
                <w:i/>
                <w:sz w:val="22"/>
                <w:szCs w:val="22"/>
              </w:rPr>
              <w:t xml:space="preserve">his reduced to </w:t>
            </w:r>
            <w:r w:rsidR="00D55A67" w:rsidRPr="001C5F43">
              <w:rPr>
                <w:rFonts w:asciiTheme="minorHAnsi" w:hAnsiTheme="minorHAnsi" w:cstheme="minorHAnsi"/>
                <w:i/>
                <w:sz w:val="22"/>
                <w:szCs w:val="22"/>
              </w:rPr>
              <w:t>58% in 2015</w:t>
            </w:r>
            <w:r w:rsidR="002F35AA">
              <w:rPr>
                <w:rFonts w:asciiTheme="minorHAnsi" w:hAnsiTheme="minorHAnsi" w:cstheme="minorHAnsi"/>
                <w:i/>
                <w:sz w:val="22"/>
                <w:szCs w:val="22"/>
              </w:rPr>
              <w:t xml:space="preserve"> </w:t>
            </w:r>
            <w:r w:rsidR="002F35AA">
              <w:rPr>
                <w:rFonts w:asciiTheme="minorHAnsi" w:hAnsiTheme="minorHAnsi" w:cstheme="minorHAnsi"/>
              </w:rPr>
              <w:t>due to disagreements about elections</w:t>
            </w:r>
            <w:r w:rsidR="00D55A67" w:rsidRPr="001C5F43">
              <w:rPr>
                <w:rFonts w:asciiTheme="minorHAnsi" w:hAnsiTheme="minorHAnsi" w:cstheme="minorHAnsi"/>
                <w:i/>
                <w:sz w:val="22"/>
                <w:szCs w:val="22"/>
              </w:rPr>
              <w:t>.</w:t>
            </w:r>
            <w:r w:rsidRPr="001C5F43">
              <w:rPr>
                <w:rFonts w:asciiTheme="minorHAnsi" w:hAnsiTheme="minorHAnsi" w:cstheme="minorHAnsi"/>
                <w:i/>
                <w:sz w:val="22"/>
                <w:szCs w:val="22"/>
              </w:rPr>
              <w:t xml:space="preserve">   </w:t>
            </w:r>
          </w:p>
          <w:p w14:paraId="6DA2B74E" w14:textId="77777777" w:rsidR="002E2627" w:rsidRPr="001C5F43" w:rsidRDefault="002E2627" w:rsidP="002E2627">
            <w:pPr>
              <w:pStyle w:val="BodyText2"/>
              <w:ind w:left="360"/>
              <w:jc w:val="both"/>
              <w:rPr>
                <w:rFonts w:asciiTheme="minorHAnsi" w:hAnsiTheme="minorHAnsi" w:cstheme="minorHAnsi"/>
                <w:i/>
                <w:sz w:val="22"/>
                <w:szCs w:val="22"/>
              </w:rPr>
            </w:pPr>
          </w:p>
          <w:p w14:paraId="7A30F1A5" w14:textId="1F5A5718" w:rsidR="005927F0" w:rsidRDefault="005927F0" w:rsidP="00273296">
            <w:pPr>
              <w:pStyle w:val="BodyText2"/>
              <w:numPr>
                <w:ilvl w:val="0"/>
                <w:numId w:val="2"/>
              </w:numPr>
              <w:jc w:val="both"/>
              <w:rPr>
                <w:rFonts w:asciiTheme="minorHAnsi" w:hAnsiTheme="minorHAnsi" w:cstheme="minorHAnsi"/>
                <w:i/>
                <w:sz w:val="22"/>
                <w:szCs w:val="22"/>
              </w:rPr>
            </w:pPr>
            <w:r w:rsidRPr="001C5F43">
              <w:rPr>
                <w:rFonts w:asciiTheme="minorHAnsi" w:hAnsiTheme="minorHAnsi" w:cstheme="minorHAnsi"/>
                <w:i/>
                <w:sz w:val="22"/>
                <w:szCs w:val="22"/>
              </w:rPr>
              <w:t xml:space="preserve">The draft of </w:t>
            </w:r>
            <w:r w:rsidR="00D55A67" w:rsidRPr="001C5F43">
              <w:rPr>
                <w:rFonts w:asciiTheme="minorHAnsi" w:hAnsiTheme="minorHAnsi" w:cstheme="minorHAnsi"/>
                <w:i/>
                <w:sz w:val="22"/>
                <w:szCs w:val="22"/>
              </w:rPr>
              <w:t xml:space="preserve">the </w:t>
            </w:r>
            <w:r w:rsidRPr="001C5F43">
              <w:rPr>
                <w:rFonts w:asciiTheme="minorHAnsi" w:hAnsiTheme="minorHAnsi" w:cstheme="minorHAnsi"/>
                <w:i/>
                <w:sz w:val="22"/>
                <w:szCs w:val="22"/>
              </w:rPr>
              <w:t xml:space="preserve">Civil Service Act was prepared in </w:t>
            </w:r>
            <w:r w:rsidRPr="00133B59">
              <w:rPr>
                <w:rFonts w:asciiTheme="minorHAnsi" w:hAnsiTheme="minorHAnsi" w:cstheme="minorHAnsi"/>
                <w:i/>
                <w:sz w:val="22"/>
                <w:szCs w:val="22"/>
              </w:rPr>
              <w:t>2010</w:t>
            </w:r>
            <w:r w:rsidRPr="001C5F43">
              <w:rPr>
                <w:rFonts w:asciiTheme="minorHAnsi" w:hAnsiTheme="minorHAnsi" w:cstheme="minorHAnsi"/>
                <w:i/>
                <w:sz w:val="22"/>
                <w:szCs w:val="22"/>
              </w:rPr>
              <w:t>. However, it is still waiting for submission to parliame</w:t>
            </w:r>
            <w:r w:rsidR="00D55A67" w:rsidRPr="001C5F43">
              <w:rPr>
                <w:rFonts w:asciiTheme="minorHAnsi" w:hAnsiTheme="minorHAnsi" w:cstheme="minorHAnsi"/>
                <w:i/>
                <w:sz w:val="22"/>
                <w:szCs w:val="22"/>
              </w:rPr>
              <w:t>nt.</w:t>
            </w:r>
          </w:p>
          <w:p w14:paraId="165F1A75" w14:textId="77777777" w:rsidR="002E2627" w:rsidRPr="001C5F43" w:rsidRDefault="002E2627" w:rsidP="002E2627">
            <w:pPr>
              <w:pStyle w:val="BodyText2"/>
              <w:jc w:val="both"/>
              <w:rPr>
                <w:rFonts w:asciiTheme="minorHAnsi" w:hAnsiTheme="minorHAnsi" w:cstheme="minorHAnsi"/>
                <w:i/>
                <w:sz w:val="22"/>
                <w:szCs w:val="22"/>
              </w:rPr>
            </w:pPr>
          </w:p>
          <w:p w14:paraId="42B35036" w14:textId="1D95BFD6" w:rsidR="005927F0" w:rsidRPr="001C5F43" w:rsidRDefault="005927F0" w:rsidP="00273296">
            <w:pPr>
              <w:pStyle w:val="BodyText2"/>
              <w:numPr>
                <w:ilvl w:val="0"/>
                <w:numId w:val="2"/>
              </w:numPr>
              <w:jc w:val="both"/>
              <w:rPr>
                <w:rFonts w:asciiTheme="minorHAnsi" w:hAnsiTheme="minorHAnsi" w:cstheme="minorHAnsi"/>
                <w:i/>
                <w:sz w:val="22"/>
                <w:szCs w:val="22"/>
              </w:rPr>
            </w:pPr>
            <w:r w:rsidRPr="001C5F43">
              <w:rPr>
                <w:rFonts w:asciiTheme="minorHAnsi" w:hAnsiTheme="minorHAnsi" w:cstheme="minorHAnsi"/>
                <w:i/>
                <w:sz w:val="22"/>
                <w:szCs w:val="22"/>
              </w:rPr>
              <w:t>In 2010, 8% of women working in</w:t>
            </w:r>
            <w:r w:rsidR="0078314B">
              <w:rPr>
                <w:rFonts w:asciiTheme="minorHAnsi" w:hAnsiTheme="minorHAnsi" w:cstheme="minorHAnsi"/>
                <w:i/>
                <w:sz w:val="22"/>
                <w:szCs w:val="22"/>
              </w:rPr>
              <w:t xml:space="preserve"> civil service he</w:t>
            </w:r>
            <w:r w:rsidRPr="001C5F43">
              <w:rPr>
                <w:rFonts w:asciiTheme="minorHAnsi" w:hAnsiTheme="minorHAnsi" w:cstheme="minorHAnsi"/>
                <w:i/>
                <w:sz w:val="22"/>
                <w:szCs w:val="22"/>
              </w:rPr>
              <w:t xml:space="preserve">ld senior management positions. Although low, some progress has </w:t>
            </w:r>
            <w:r w:rsidR="0078314B">
              <w:rPr>
                <w:rFonts w:asciiTheme="minorHAnsi" w:hAnsiTheme="minorHAnsi" w:cstheme="minorHAnsi"/>
                <w:i/>
                <w:sz w:val="22"/>
                <w:szCs w:val="22"/>
              </w:rPr>
              <w:t>been made b</w:t>
            </w:r>
            <w:r w:rsidRPr="001C5F43">
              <w:rPr>
                <w:rFonts w:asciiTheme="minorHAnsi" w:hAnsiTheme="minorHAnsi" w:cstheme="minorHAnsi"/>
                <w:i/>
                <w:sz w:val="22"/>
                <w:szCs w:val="22"/>
              </w:rPr>
              <w:t xml:space="preserve">y the end of 2015, </w:t>
            </w:r>
            <w:r w:rsidR="0078314B">
              <w:rPr>
                <w:rFonts w:asciiTheme="minorHAnsi" w:hAnsiTheme="minorHAnsi" w:cstheme="minorHAnsi"/>
                <w:i/>
                <w:sz w:val="22"/>
                <w:szCs w:val="22"/>
              </w:rPr>
              <w:t xml:space="preserve">with </w:t>
            </w:r>
            <w:r w:rsidRPr="001C5F43">
              <w:rPr>
                <w:rFonts w:asciiTheme="minorHAnsi" w:hAnsiTheme="minorHAnsi" w:cstheme="minorHAnsi"/>
                <w:i/>
                <w:sz w:val="22"/>
                <w:szCs w:val="22"/>
              </w:rPr>
              <w:t>the proportion of female senior m</w:t>
            </w:r>
            <w:r w:rsidR="0078314B">
              <w:rPr>
                <w:rFonts w:asciiTheme="minorHAnsi" w:hAnsiTheme="minorHAnsi" w:cstheme="minorHAnsi"/>
                <w:i/>
                <w:sz w:val="22"/>
                <w:szCs w:val="22"/>
              </w:rPr>
              <w:t>anagers in the civil service now</w:t>
            </w:r>
            <w:r w:rsidRPr="001C5F43">
              <w:rPr>
                <w:rFonts w:asciiTheme="minorHAnsi" w:hAnsiTheme="minorHAnsi" w:cstheme="minorHAnsi"/>
                <w:i/>
                <w:sz w:val="22"/>
                <w:szCs w:val="22"/>
              </w:rPr>
              <w:t xml:space="preserve"> increased to 12%.</w:t>
            </w:r>
          </w:p>
        </w:tc>
      </w:tr>
      <w:tr w:rsidR="00633A29" w:rsidRPr="001C5F43" w14:paraId="5FC102C7" w14:textId="77777777" w:rsidTr="00FE0A9A">
        <w:tc>
          <w:tcPr>
            <w:tcW w:w="14017" w:type="dxa"/>
            <w:gridSpan w:val="5"/>
          </w:tcPr>
          <w:p w14:paraId="5E0C284C" w14:textId="4B6808B1" w:rsidR="003F7D0B" w:rsidRPr="001C5F43" w:rsidRDefault="007A735F" w:rsidP="002E2627">
            <w:pPr>
              <w:pStyle w:val="BodyText2"/>
              <w:jc w:val="both"/>
              <w:rPr>
                <w:rFonts w:asciiTheme="minorHAnsi" w:hAnsiTheme="minorHAnsi" w:cstheme="minorHAnsi"/>
                <w:sz w:val="22"/>
                <w:szCs w:val="22"/>
              </w:rPr>
            </w:pPr>
            <w:r w:rsidRPr="001C5F43">
              <w:rPr>
                <w:rFonts w:asciiTheme="minorHAnsi" w:hAnsiTheme="minorHAnsi" w:cstheme="minorHAnsi"/>
                <w:b/>
                <w:sz w:val="22"/>
                <w:szCs w:val="22"/>
              </w:rPr>
              <w:t xml:space="preserve">UNDP </w:t>
            </w:r>
            <w:r w:rsidR="000F31C9">
              <w:rPr>
                <w:rFonts w:asciiTheme="minorHAnsi" w:hAnsiTheme="minorHAnsi" w:cstheme="minorHAnsi"/>
                <w:b/>
                <w:sz w:val="22"/>
                <w:szCs w:val="22"/>
              </w:rPr>
              <w:t>Contribution</w:t>
            </w:r>
          </w:p>
          <w:p w14:paraId="313F2D7E" w14:textId="2640E880" w:rsidR="003F7D0B" w:rsidRPr="001C5F43" w:rsidRDefault="00134142" w:rsidP="002F35AA">
            <w:pPr>
              <w:pStyle w:val="ADRText"/>
              <w:jc w:val="both"/>
              <w:rPr>
                <w:rFonts w:asciiTheme="minorHAnsi" w:hAnsiTheme="minorHAnsi" w:cstheme="minorHAnsi"/>
              </w:rPr>
            </w:pPr>
            <w:r w:rsidRPr="001C5F43">
              <w:rPr>
                <w:rFonts w:asciiTheme="minorHAnsi" w:hAnsiTheme="minorHAnsi" w:cstheme="minorHAnsi"/>
              </w:rPr>
              <w:t>UNDP delivered three key outputs to improve the effectiveness of government institutions: local c</w:t>
            </w:r>
            <w:r w:rsidR="0078314B">
              <w:rPr>
                <w:rFonts w:asciiTheme="minorHAnsi" w:hAnsiTheme="minorHAnsi" w:cstheme="minorHAnsi"/>
              </w:rPr>
              <w:t>ouncils becoming more effective;</w:t>
            </w:r>
            <w:r w:rsidRPr="001C5F43">
              <w:rPr>
                <w:rFonts w:asciiTheme="minorHAnsi" w:hAnsiTheme="minorHAnsi" w:cstheme="minorHAnsi"/>
              </w:rPr>
              <w:t xml:space="preserve"> local c</w:t>
            </w:r>
            <w:r w:rsidR="0078314B">
              <w:rPr>
                <w:rFonts w:asciiTheme="minorHAnsi" w:hAnsiTheme="minorHAnsi" w:cstheme="minorHAnsi"/>
              </w:rPr>
              <w:t>ouncils becoming more inclusive;</w:t>
            </w:r>
            <w:r w:rsidRPr="001C5F43">
              <w:rPr>
                <w:rFonts w:asciiTheme="minorHAnsi" w:hAnsiTheme="minorHAnsi" w:cstheme="minorHAnsi"/>
              </w:rPr>
              <w:t xml:space="preserve"> and underserved citizens having better access to government services.</w:t>
            </w:r>
            <w:r w:rsidR="008450FF">
              <w:rPr>
                <w:rFonts w:asciiTheme="minorHAnsi" w:hAnsiTheme="minorHAnsi" w:cstheme="minorHAnsi"/>
              </w:rPr>
              <w:t xml:space="preserve"> </w:t>
            </w:r>
            <w:r w:rsidR="000008C0">
              <w:rPr>
                <w:rFonts w:asciiTheme="minorHAnsi" w:hAnsiTheme="minorHAnsi" w:cstheme="minorHAnsi"/>
              </w:rPr>
              <w:t xml:space="preserve">The promotion of female senior managers has only marginally increased from 8% in 2010 to 12% in 2015. </w:t>
            </w:r>
            <w:r w:rsidR="002F35AA">
              <w:rPr>
                <w:rFonts w:asciiTheme="minorHAnsi" w:hAnsiTheme="minorHAnsi" w:cstheme="minorHAnsi"/>
              </w:rPr>
              <w:t>UNDP has focused</w:t>
            </w:r>
            <w:r w:rsidR="008450FF" w:rsidRPr="001C5F43">
              <w:rPr>
                <w:rFonts w:asciiTheme="minorHAnsi" w:hAnsiTheme="minorHAnsi" w:cstheme="minorHAnsi"/>
              </w:rPr>
              <w:t xml:space="preserve"> </w:t>
            </w:r>
            <w:r w:rsidR="002F35AA">
              <w:rPr>
                <w:rFonts w:asciiTheme="minorHAnsi" w:hAnsiTheme="minorHAnsi" w:cstheme="minorHAnsi"/>
              </w:rPr>
              <w:t xml:space="preserve">on a </w:t>
            </w:r>
            <w:r w:rsidR="008450FF" w:rsidRPr="001C5F43">
              <w:rPr>
                <w:rFonts w:asciiTheme="minorHAnsi" w:hAnsiTheme="minorHAnsi" w:cstheme="minorHAnsi"/>
              </w:rPr>
              <w:t xml:space="preserve">more demand-oriented approach, working with </w:t>
            </w:r>
            <w:r w:rsidR="009B2A5C">
              <w:rPr>
                <w:rFonts w:asciiTheme="minorHAnsi" w:hAnsiTheme="minorHAnsi" w:cstheme="minorHAnsi"/>
              </w:rPr>
              <w:t>civil society organizations</w:t>
            </w:r>
            <w:r w:rsidR="008450FF" w:rsidRPr="001C5F43">
              <w:rPr>
                <w:rFonts w:asciiTheme="minorHAnsi" w:hAnsiTheme="minorHAnsi" w:cstheme="minorHAnsi"/>
              </w:rPr>
              <w:t>, business communities and political parties to es</w:t>
            </w:r>
            <w:r w:rsidR="009B2A5C">
              <w:rPr>
                <w:rFonts w:asciiTheme="minorHAnsi" w:hAnsiTheme="minorHAnsi" w:cstheme="minorHAnsi"/>
              </w:rPr>
              <w:t>tablish a governance framework with monitoring and assessment indicators</w:t>
            </w:r>
            <w:r w:rsidR="008450FF" w:rsidRPr="001C5F43">
              <w:rPr>
                <w:rFonts w:asciiTheme="minorHAnsi" w:hAnsiTheme="minorHAnsi" w:cstheme="minorHAnsi"/>
              </w:rPr>
              <w:t>.</w:t>
            </w:r>
            <w:r w:rsidR="000008C0">
              <w:rPr>
                <w:rFonts w:asciiTheme="minorHAnsi" w:hAnsiTheme="minorHAnsi" w:cstheme="minorHAnsi"/>
              </w:rPr>
              <w:t xml:space="preserve">  </w:t>
            </w:r>
          </w:p>
        </w:tc>
      </w:tr>
      <w:tr w:rsidR="003F7D0B" w:rsidRPr="001C5F43" w14:paraId="222EAA7C" w14:textId="77777777" w:rsidTr="00FE0A9A">
        <w:tc>
          <w:tcPr>
            <w:tcW w:w="14017" w:type="dxa"/>
            <w:gridSpan w:val="5"/>
          </w:tcPr>
          <w:p w14:paraId="0AD47AAE" w14:textId="147308BB" w:rsidR="000F31C9" w:rsidRDefault="000F31C9" w:rsidP="002E2627">
            <w:pPr>
              <w:jc w:val="both"/>
              <w:rPr>
                <w:rFonts w:asciiTheme="minorHAnsi" w:hAnsiTheme="minorHAnsi" w:cstheme="minorHAnsi"/>
                <w:b/>
                <w:sz w:val="22"/>
                <w:szCs w:val="22"/>
                <w:lang w:val="en-GB"/>
              </w:rPr>
            </w:pPr>
            <w:r>
              <w:rPr>
                <w:rFonts w:asciiTheme="minorHAnsi" w:hAnsiTheme="minorHAnsi" w:cstheme="minorHAnsi"/>
                <w:b/>
                <w:sz w:val="22"/>
                <w:szCs w:val="22"/>
                <w:lang w:val="en-GB"/>
              </w:rPr>
              <w:t>Progress and Achievements</w:t>
            </w:r>
          </w:p>
          <w:p w14:paraId="2DA1F144" w14:textId="15903DC9" w:rsidR="00134142" w:rsidRPr="00944AB7" w:rsidRDefault="00251B6C" w:rsidP="002E2627">
            <w:pPr>
              <w:jc w:val="both"/>
              <w:rPr>
                <w:rFonts w:asciiTheme="minorHAnsi" w:hAnsiTheme="minorHAnsi" w:cstheme="minorHAnsi"/>
                <w:sz w:val="22"/>
                <w:szCs w:val="22"/>
                <w:lang w:val="en-GB"/>
              </w:rPr>
            </w:pPr>
            <w:r w:rsidRPr="00944AB7">
              <w:rPr>
                <w:rFonts w:asciiTheme="minorHAnsi" w:hAnsiTheme="minorHAnsi" w:cstheme="minorHAnsi"/>
                <w:sz w:val="22"/>
                <w:szCs w:val="22"/>
                <w:lang w:val="en-GB"/>
              </w:rPr>
              <w:t xml:space="preserve">a) </w:t>
            </w:r>
            <w:r w:rsidR="00134142" w:rsidRPr="00944AB7">
              <w:rPr>
                <w:rFonts w:asciiTheme="minorHAnsi" w:hAnsiTheme="minorHAnsi" w:cstheme="minorHAnsi"/>
                <w:sz w:val="22"/>
                <w:szCs w:val="22"/>
                <w:lang w:val="en-GB"/>
              </w:rPr>
              <w:t xml:space="preserve"> Following UNDP technical and capacity-building support, 340 local councils have updated taxpayer registers; more than half increased revenue by at </w:t>
            </w:r>
            <w:r w:rsidR="00944AB7" w:rsidRPr="00944AB7">
              <w:rPr>
                <w:rFonts w:asciiTheme="minorHAnsi" w:hAnsiTheme="minorHAnsi" w:cstheme="minorHAnsi"/>
                <w:sz w:val="22"/>
                <w:szCs w:val="22"/>
                <w:lang w:val="en-GB"/>
              </w:rPr>
              <w:t>l</w:t>
            </w:r>
            <w:r w:rsidR="00134142" w:rsidRPr="00944AB7">
              <w:rPr>
                <w:rFonts w:asciiTheme="minorHAnsi" w:hAnsiTheme="minorHAnsi" w:cstheme="minorHAnsi"/>
                <w:sz w:val="22"/>
                <w:szCs w:val="22"/>
                <w:lang w:val="en-GB"/>
              </w:rPr>
              <w:t>east 10%. 100% of local councils submitted budgets to the Local Government Division (4% prior to UNDP technical and capacity-building support). With UNDP policy advocacy, officials’ salaries from 17 ministries are now paid locally. Greater effectiveness is already reflected in citizens’ perceptions: 70% of citizens in targeted areas are satisfied with local administrative services, a 50% increase from prior to UNDP technical support and 20% higher than the control group.</w:t>
            </w:r>
          </w:p>
          <w:p w14:paraId="0B2D196E" w14:textId="5B7951F7" w:rsidR="00134142" w:rsidRPr="00944AB7" w:rsidRDefault="00251B6C" w:rsidP="002E2627">
            <w:pPr>
              <w:jc w:val="both"/>
              <w:rPr>
                <w:rFonts w:asciiTheme="minorHAnsi" w:hAnsiTheme="minorHAnsi" w:cstheme="minorHAnsi"/>
                <w:sz w:val="22"/>
                <w:szCs w:val="22"/>
              </w:rPr>
            </w:pPr>
            <w:r w:rsidRPr="00944AB7">
              <w:rPr>
                <w:rFonts w:asciiTheme="minorHAnsi" w:hAnsiTheme="minorHAnsi" w:cstheme="minorHAnsi"/>
                <w:sz w:val="22"/>
                <w:szCs w:val="22"/>
              </w:rPr>
              <w:t xml:space="preserve">b) </w:t>
            </w:r>
            <w:r w:rsidR="00134142" w:rsidRPr="00944AB7">
              <w:rPr>
                <w:rFonts w:asciiTheme="minorHAnsi" w:hAnsiTheme="minorHAnsi" w:cstheme="minorHAnsi"/>
                <w:sz w:val="22"/>
                <w:szCs w:val="22"/>
              </w:rPr>
              <w:t xml:space="preserve">With UNDP technical and capacity-building support, 80% of local councils now include targeted services for poor households in their annual budgets. UNDP targeting of women leaders, combined with institutional and technical capacity support to local governments, contributed to elected representatives </w:t>
            </w:r>
            <w:r w:rsidR="00134142" w:rsidRPr="00944AB7">
              <w:rPr>
                <w:rFonts w:asciiTheme="minorHAnsi" w:hAnsiTheme="minorHAnsi" w:cstheme="minorHAnsi"/>
                <w:sz w:val="22"/>
                <w:szCs w:val="22"/>
              </w:rPr>
              <w:lastRenderedPageBreak/>
              <w:t xml:space="preserve">of poor urban households (90% of the women) to be permanently set up in government offices of 23 cities and towns. Following UNDP programme and technical support, 70% of organized community organizations of poor urban households are now registered with legal authorities. In addition, UNDP provided technical and leadership skills to over 16,000 female elected representatives from nearly 500 targeted local councils, who are now active in Women's Development Forums.  </w:t>
            </w:r>
            <w:r w:rsidR="00912AD8">
              <w:rPr>
                <w:rFonts w:asciiTheme="minorHAnsi" w:hAnsiTheme="minorHAnsi" w:cstheme="minorHAnsi"/>
                <w:sz w:val="22"/>
                <w:szCs w:val="22"/>
              </w:rPr>
              <w:t>Perceptions have also changed: o</w:t>
            </w:r>
            <w:r w:rsidR="00134142" w:rsidRPr="00944AB7">
              <w:rPr>
                <w:rFonts w:asciiTheme="minorHAnsi" w:hAnsiTheme="minorHAnsi" w:cstheme="minorHAnsi"/>
                <w:sz w:val="22"/>
                <w:szCs w:val="22"/>
              </w:rPr>
              <w:t>ver 80% of citizens in UNDP programme target areas indicated that they benefit from greater participation in local decision-making—15% more than in the control group.</w:t>
            </w:r>
          </w:p>
          <w:p w14:paraId="00EE811E" w14:textId="221D486F" w:rsidR="00134142" w:rsidRPr="00944AB7" w:rsidRDefault="00251B6C" w:rsidP="002E2627">
            <w:pPr>
              <w:jc w:val="both"/>
              <w:rPr>
                <w:rFonts w:asciiTheme="minorHAnsi" w:hAnsiTheme="minorHAnsi" w:cstheme="minorHAnsi"/>
                <w:sz w:val="22"/>
                <w:szCs w:val="22"/>
              </w:rPr>
            </w:pPr>
            <w:r w:rsidRPr="00944AB7">
              <w:rPr>
                <w:rFonts w:asciiTheme="minorHAnsi" w:hAnsiTheme="minorHAnsi" w:cstheme="minorHAnsi"/>
                <w:sz w:val="22"/>
                <w:szCs w:val="22"/>
              </w:rPr>
              <w:t>c)</w:t>
            </w:r>
            <w:r w:rsidR="00134142" w:rsidRPr="00944AB7">
              <w:rPr>
                <w:rFonts w:asciiTheme="minorHAnsi" w:hAnsiTheme="minorHAnsi" w:cstheme="minorHAnsi"/>
                <w:sz w:val="22"/>
                <w:szCs w:val="22"/>
              </w:rPr>
              <w:t xml:space="preserve"> Through a UNDP/Prime Minister’s Office partnership, </w:t>
            </w:r>
            <w:r w:rsidR="000B309F">
              <w:rPr>
                <w:rFonts w:asciiTheme="minorHAnsi" w:hAnsiTheme="minorHAnsi" w:cstheme="minorHAnsi"/>
                <w:sz w:val="22"/>
                <w:szCs w:val="22"/>
              </w:rPr>
              <w:t xml:space="preserve">over </w:t>
            </w:r>
            <w:r w:rsidR="000B309F" w:rsidRPr="00944AB7">
              <w:rPr>
                <w:rFonts w:asciiTheme="minorHAnsi" w:hAnsiTheme="minorHAnsi" w:cstheme="minorHAnsi"/>
                <w:sz w:val="22"/>
                <w:szCs w:val="22"/>
              </w:rPr>
              <w:t>digital</w:t>
            </w:r>
            <w:r w:rsidR="00134142" w:rsidRPr="00944AB7">
              <w:rPr>
                <w:rFonts w:asciiTheme="minorHAnsi" w:hAnsiTheme="minorHAnsi" w:cstheme="minorHAnsi"/>
                <w:sz w:val="22"/>
                <w:szCs w:val="22"/>
              </w:rPr>
              <w:t xml:space="preserve"> service centres are now delivering government services (6 million e-services each month; the electronic filing systems processed 700,000 public requests in 2015). Following personnel training in 104 offices, delivery speed increased by 50%. Waiting time for core services was reduced from 7 days to 1 hour, and average travel distances to obtain services fell from 35km to 3km, saving 4.5 million citizens an estimated $500 million.</w:t>
            </w:r>
          </w:p>
          <w:p w14:paraId="00E311CE" w14:textId="232442DB" w:rsidR="00DA4343" w:rsidRPr="001C5F43" w:rsidRDefault="00DA4343" w:rsidP="00A62FDB">
            <w:pPr>
              <w:jc w:val="both"/>
              <w:rPr>
                <w:rFonts w:asciiTheme="minorHAnsi" w:hAnsiTheme="minorHAnsi" w:cstheme="minorHAnsi"/>
                <w:sz w:val="22"/>
                <w:szCs w:val="22"/>
              </w:rPr>
            </w:pPr>
          </w:p>
        </w:tc>
      </w:tr>
      <w:tr w:rsidR="003F7D0B" w:rsidRPr="001C5F43" w14:paraId="259CF6C5" w14:textId="77777777" w:rsidTr="00FE0A9A">
        <w:tc>
          <w:tcPr>
            <w:tcW w:w="14017" w:type="dxa"/>
            <w:gridSpan w:val="5"/>
          </w:tcPr>
          <w:p w14:paraId="662F38C2" w14:textId="77777777" w:rsidR="007A735F" w:rsidRDefault="007A735F" w:rsidP="002E2627">
            <w:pPr>
              <w:pStyle w:val="BodyText2"/>
              <w:jc w:val="both"/>
              <w:rPr>
                <w:rFonts w:asciiTheme="minorHAnsi" w:hAnsiTheme="minorHAnsi" w:cstheme="minorHAnsi"/>
                <w:sz w:val="22"/>
                <w:szCs w:val="22"/>
              </w:rPr>
            </w:pPr>
            <w:r w:rsidRPr="001C5F43">
              <w:rPr>
                <w:rFonts w:asciiTheme="minorHAnsi" w:hAnsiTheme="minorHAnsi" w:cstheme="minorHAnsi"/>
                <w:b/>
                <w:sz w:val="22"/>
                <w:szCs w:val="22"/>
              </w:rPr>
              <w:lastRenderedPageBreak/>
              <w:t>Gender</w:t>
            </w:r>
            <w:r w:rsidRPr="001C5F43">
              <w:rPr>
                <w:rFonts w:asciiTheme="minorHAnsi" w:hAnsiTheme="minorHAnsi" w:cstheme="minorHAnsi"/>
                <w:sz w:val="22"/>
                <w:szCs w:val="22"/>
              </w:rPr>
              <w:t xml:space="preserve">:  </w:t>
            </w:r>
          </w:p>
          <w:p w14:paraId="66D572AB" w14:textId="4367C1F0" w:rsidR="00DA4343" w:rsidRPr="001C5F43" w:rsidRDefault="005E5718" w:rsidP="00251B6C">
            <w:pPr>
              <w:pStyle w:val="BodyText2"/>
              <w:jc w:val="both"/>
              <w:rPr>
                <w:rFonts w:asciiTheme="minorHAnsi" w:hAnsiTheme="minorHAnsi" w:cstheme="minorHAnsi"/>
                <w:sz w:val="22"/>
                <w:szCs w:val="22"/>
              </w:rPr>
            </w:pPr>
            <w:r>
              <w:rPr>
                <w:rFonts w:asciiTheme="minorHAnsi" w:hAnsiTheme="minorHAnsi" w:cstheme="minorHAnsi"/>
                <w:sz w:val="22"/>
                <w:szCs w:val="22"/>
                <w:lang w:val="en-GB"/>
              </w:rPr>
              <w:t>The gender marker indicates that</w:t>
            </w:r>
            <w:r w:rsidR="004215EB">
              <w:rPr>
                <w:rFonts w:asciiTheme="minorHAnsi" w:hAnsiTheme="minorHAnsi" w:cstheme="minorHAnsi"/>
                <w:sz w:val="22"/>
                <w:szCs w:val="22"/>
                <w:lang w:val="en-GB"/>
              </w:rPr>
              <w:t xml:space="preserve"> 46% of all programme resources in this outcome made a significant or principal contribution to gender equality (GEN 2; GEN3). </w:t>
            </w:r>
            <w:r>
              <w:rPr>
                <w:rFonts w:asciiTheme="minorHAnsi" w:hAnsiTheme="minorHAnsi" w:cstheme="minorHAnsi"/>
                <w:sz w:val="22"/>
                <w:szCs w:val="22"/>
                <w:lang w:val="en-GB"/>
              </w:rPr>
              <w:t xml:space="preserve"> </w:t>
            </w:r>
            <w:r w:rsidR="00A62FDB">
              <w:rPr>
                <w:rFonts w:asciiTheme="minorHAnsi" w:hAnsiTheme="minorHAnsi" w:cstheme="minorHAnsi"/>
                <w:sz w:val="22"/>
                <w:szCs w:val="22"/>
                <w:lang w:val="en-GB"/>
              </w:rPr>
              <w:t>At the local level, t</w:t>
            </w:r>
            <w:r w:rsidR="00251B6C">
              <w:rPr>
                <w:rFonts w:asciiTheme="minorHAnsi" w:hAnsiTheme="minorHAnsi" w:cstheme="minorHAnsi"/>
                <w:sz w:val="22"/>
                <w:szCs w:val="22"/>
                <w:lang w:val="en-GB"/>
              </w:rPr>
              <w:t xml:space="preserve">here has been considerable progress on gender equality and women’s empowerment in this outcome.  </w:t>
            </w:r>
            <w:r w:rsidR="00251B6C" w:rsidRPr="001C5F43">
              <w:rPr>
                <w:rFonts w:asciiTheme="minorHAnsi" w:hAnsiTheme="minorHAnsi" w:cstheme="minorHAnsi"/>
                <w:sz w:val="22"/>
                <w:szCs w:val="22"/>
              </w:rPr>
              <w:t>Bangladesh moved up four places in the global gender gap index. Bangladesh was cited as the second-most improved country with regard to women’s political empowerment, ranking 8th out of 145 countries.</w:t>
            </w:r>
            <w:r w:rsidR="00251B6C">
              <w:rPr>
                <w:rFonts w:asciiTheme="minorHAnsi" w:hAnsiTheme="minorHAnsi" w:cstheme="minorHAnsi"/>
                <w:sz w:val="22"/>
                <w:szCs w:val="22"/>
              </w:rPr>
              <w:t xml:space="preserve"> UNDP supported such achievements through its programming on women’s political and economic empowerment in local governance institutions.  </w:t>
            </w:r>
            <w:r w:rsidR="007A735F" w:rsidRPr="001C5F43">
              <w:rPr>
                <w:rFonts w:asciiTheme="minorHAnsi" w:hAnsiTheme="minorHAnsi" w:cstheme="minorHAnsi"/>
                <w:sz w:val="22"/>
                <w:szCs w:val="22"/>
                <w:lang w:val="en-GB"/>
              </w:rPr>
              <w:t xml:space="preserve">Over 16,000 women elected representatives from all 487 targeted local councils are now organized and active in Women's Development Forums. Further, 30% of projects supported by local government institutions were either implemented by women or women-led. </w:t>
            </w:r>
            <w:r w:rsidR="007A735F" w:rsidRPr="001C5F43">
              <w:rPr>
                <w:rFonts w:asciiTheme="minorHAnsi" w:hAnsiTheme="minorHAnsi" w:cstheme="minorHAnsi"/>
                <w:sz w:val="22"/>
                <w:szCs w:val="22"/>
              </w:rPr>
              <w:t>Through ongoing policy advocacy, UNDP has ensured that women members chaired at least one-third of the Standing Committees, and by engaging with the Women’s Development Forum (established with UNDP programme support). Following UNDP policy advocacy and technical support, the government committed to allocating 3% of the annual programme development budget to the Women Development Forums.</w:t>
            </w:r>
          </w:p>
        </w:tc>
      </w:tr>
      <w:tr w:rsidR="003F7D0B" w:rsidRPr="001C5F43" w14:paraId="2DAF5BA8" w14:textId="77777777" w:rsidTr="00FE0A9A">
        <w:tc>
          <w:tcPr>
            <w:tcW w:w="3060" w:type="dxa"/>
            <w:shd w:val="clear" w:color="auto" w:fill="95B3D7" w:themeFill="accent1" w:themeFillTint="99"/>
          </w:tcPr>
          <w:p w14:paraId="683B9CB7" w14:textId="77777777" w:rsidR="003F7D0B" w:rsidRPr="001C5F43" w:rsidRDefault="003F7D0B"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2. Justice and human rights institutions are strengthened to better serve and protect the rights of all citizens, including women and vulnerable groups.</w:t>
            </w:r>
          </w:p>
        </w:tc>
        <w:tc>
          <w:tcPr>
            <w:tcW w:w="1530" w:type="dxa"/>
            <w:gridSpan w:val="2"/>
            <w:shd w:val="clear" w:color="auto" w:fill="auto"/>
          </w:tcPr>
          <w:p w14:paraId="51F81742" w14:textId="626577B5" w:rsidR="003F7D0B" w:rsidRPr="001C5F43" w:rsidRDefault="00A81BA9" w:rsidP="002E2627">
            <w:pPr>
              <w:pStyle w:val="BodyText2"/>
              <w:jc w:val="both"/>
              <w:rPr>
                <w:rFonts w:asciiTheme="minorHAnsi" w:hAnsiTheme="minorHAnsi" w:cstheme="minorHAnsi"/>
                <w:sz w:val="22"/>
                <w:szCs w:val="22"/>
              </w:rPr>
            </w:pPr>
            <w:r>
              <w:rPr>
                <w:rFonts w:asciiTheme="minorHAnsi" w:hAnsiTheme="minorHAnsi" w:cstheme="minorHAnsi"/>
                <w:sz w:val="22"/>
                <w:szCs w:val="22"/>
              </w:rPr>
              <w:t xml:space="preserve">$ </w:t>
            </w:r>
            <w:r w:rsidRPr="00A81BA9">
              <w:rPr>
                <w:rFonts w:asciiTheme="minorHAnsi" w:hAnsiTheme="minorHAnsi" w:cstheme="minorHAnsi"/>
                <w:sz w:val="22"/>
                <w:szCs w:val="22"/>
              </w:rPr>
              <w:t xml:space="preserve"> 31,026,339</w:t>
            </w:r>
          </w:p>
        </w:tc>
        <w:tc>
          <w:tcPr>
            <w:tcW w:w="3960" w:type="dxa"/>
            <w:tcBorders>
              <w:left w:val="single" w:sz="4" w:space="0" w:color="auto"/>
            </w:tcBorders>
          </w:tcPr>
          <w:p w14:paraId="35A125B4" w14:textId="77777777" w:rsidR="003F7D0B" w:rsidRPr="001C5F43" w:rsidRDefault="003F7D0B" w:rsidP="00273296">
            <w:pPr>
              <w:pStyle w:val="BodyText2"/>
              <w:numPr>
                <w:ilvl w:val="0"/>
                <w:numId w:val="6"/>
              </w:numPr>
              <w:jc w:val="both"/>
              <w:rPr>
                <w:rFonts w:asciiTheme="minorHAnsi" w:hAnsiTheme="minorHAnsi" w:cstheme="minorHAnsi"/>
                <w:sz w:val="22"/>
                <w:szCs w:val="22"/>
                <w:lang w:val="en-GB"/>
              </w:rPr>
            </w:pPr>
            <w:r w:rsidRPr="001C5F43">
              <w:rPr>
                <w:rFonts w:asciiTheme="minorHAnsi" w:hAnsiTheme="minorHAnsi" w:cstheme="minorHAnsi"/>
                <w:sz w:val="22"/>
                <w:szCs w:val="22"/>
                <w:lang w:val="en-GB"/>
              </w:rPr>
              <w:t xml:space="preserve">Percentage of citizens who are satisfied with law and order service providers </w:t>
            </w:r>
          </w:p>
          <w:p w14:paraId="30D754AA" w14:textId="77777777" w:rsidR="008F69C3" w:rsidRPr="001C5F43" w:rsidRDefault="008F69C3" w:rsidP="002E2627">
            <w:pPr>
              <w:pStyle w:val="BodyText2"/>
              <w:jc w:val="both"/>
              <w:rPr>
                <w:rFonts w:asciiTheme="minorHAnsi" w:hAnsiTheme="minorHAnsi" w:cstheme="minorHAnsi"/>
                <w:sz w:val="22"/>
                <w:szCs w:val="22"/>
                <w:lang w:val="en-GB"/>
              </w:rPr>
            </w:pPr>
          </w:p>
          <w:p w14:paraId="0230455C" w14:textId="77777777" w:rsidR="003F7D0B" w:rsidRPr="001C5F43" w:rsidRDefault="003F7D0B" w:rsidP="00273296">
            <w:pPr>
              <w:pStyle w:val="BodyText2"/>
              <w:numPr>
                <w:ilvl w:val="0"/>
                <w:numId w:val="6"/>
              </w:numPr>
              <w:jc w:val="both"/>
              <w:rPr>
                <w:rFonts w:asciiTheme="minorHAnsi" w:hAnsiTheme="minorHAnsi" w:cstheme="minorHAnsi"/>
                <w:i/>
                <w:sz w:val="22"/>
                <w:szCs w:val="22"/>
              </w:rPr>
            </w:pPr>
            <w:r w:rsidRPr="001C5F43">
              <w:rPr>
                <w:rFonts w:asciiTheme="minorHAnsi" w:hAnsiTheme="minorHAnsi" w:cstheme="minorHAnsi"/>
                <w:sz w:val="22"/>
                <w:szCs w:val="22"/>
                <w:lang w:val="en-GB"/>
              </w:rPr>
              <w:t>Number of recommendations made by the Universal Periodic Review implemented</w:t>
            </w:r>
          </w:p>
          <w:p w14:paraId="5EAADBD4" w14:textId="77777777" w:rsidR="008F69C3" w:rsidRPr="001C5F43" w:rsidRDefault="008F69C3" w:rsidP="002E2627">
            <w:pPr>
              <w:pStyle w:val="BodyText2"/>
              <w:jc w:val="both"/>
              <w:rPr>
                <w:rFonts w:asciiTheme="minorHAnsi" w:hAnsiTheme="minorHAnsi" w:cstheme="minorHAnsi"/>
                <w:i/>
                <w:sz w:val="22"/>
                <w:szCs w:val="22"/>
              </w:rPr>
            </w:pPr>
          </w:p>
          <w:p w14:paraId="10E17B2B" w14:textId="075351FB" w:rsidR="003F7D0B" w:rsidRPr="001C5F43" w:rsidRDefault="003F7D0B" w:rsidP="00BB0FFB">
            <w:pPr>
              <w:pStyle w:val="BodyText2"/>
              <w:numPr>
                <w:ilvl w:val="0"/>
                <w:numId w:val="6"/>
              </w:numPr>
              <w:jc w:val="both"/>
              <w:rPr>
                <w:rFonts w:asciiTheme="minorHAnsi" w:hAnsiTheme="minorHAnsi" w:cstheme="minorHAnsi"/>
                <w:i/>
                <w:sz w:val="22"/>
                <w:szCs w:val="22"/>
              </w:rPr>
            </w:pPr>
            <w:r w:rsidRPr="001C5F43">
              <w:rPr>
                <w:rFonts w:asciiTheme="minorHAnsi" w:hAnsiTheme="minorHAnsi" w:cstheme="minorHAnsi"/>
                <w:sz w:val="22"/>
                <w:szCs w:val="22"/>
              </w:rPr>
              <w:t xml:space="preserve">Number of </w:t>
            </w:r>
            <w:r w:rsidR="00BB0FFB">
              <w:rPr>
                <w:rFonts w:asciiTheme="minorHAnsi" w:hAnsiTheme="minorHAnsi" w:cstheme="minorHAnsi"/>
                <w:sz w:val="22"/>
                <w:szCs w:val="22"/>
              </w:rPr>
              <w:t xml:space="preserve">backlogged </w:t>
            </w:r>
            <w:r w:rsidRPr="001C5F43">
              <w:rPr>
                <w:rFonts w:asciiTheme="minorHAnsi" w:hAnsiTheme="minorHAnsi" w:cstheme="minorHAnsi"/>
                <w:sz w:val="22"/>
                <w:szCs w:val="22"/>
              </w:rPr>
              <w:t>case</w:t>
            </w:r>
            <w:r w:rsidR="00BB0FFB">
              <w:rPr>
                <w:rFonts w:asciiTheme="minorHAnsi" w:hAnsiTheme="minorHAnsi" w:cstheme="minorHAnsi"/>
                <w:sz w:val="22"/>
                <w:szCs w:val="22"/>
              </w:rPr>
              <w:t>s</w:t>
            </w:r>
          </w:p>
        </w:tc>
        <w:tc>
          <w:tcPr>
            <w:tcW w:w="5467" w:type="dxa"/>
            <w:shd w:val="clear" w:color="auto" w:fill="auto"/>
          </w:tcPr>
          <w:p w14:paraId="20F52F07" w14:textId="40923592" w:rsidR="002E2627" w:rsidRDefault="003F7D0B" w:rsidP="00273296">
            <w:pPr>
              <w:pStyle w:val="BodyText2"/>
              <w:numPr>
                <w:ilvl w:val="0"/>
                <w:numId w:val="3"/>
              </w:numPr>
              <w:jc w:val="both"/>
              <w:rPr>
                <w:rFonts w:asciiTheme="minorHAnsi" w:hAnsiTheme="minorHAnsi" w:cstheme="minorHAnsi"/>
                <w:i/>
                <w:sz w:val="22"/>
                <w:szCs w:val="22"/>
              </w:rPr>
            </w:pPr>
            <w:r w:rsidRPr="001C5F43">
              <w:rPr>
                <w:rFonts w:asciiTheme="minorHAnsi" w:hAnsiTheme="minorHAnsi" w:cstheme="minorHAnsi"/>
                <w:i/>
                <w:sz w:val="22"/>
                <w:szCs w:val="22"/>
              </w:rPr>
              <w:t xml:space="preserve">In 2009, 45% of citizens were satisfied with law and order service </w:t>
            </w:r>
            <w:r w:rsidR="00F333BE">
              <w:rPr>
                <w:rFonts w:asciiTheme="minorHAnsi" w:hAnsiTheme="minorHAnsi" w:cstheme="minorHAnsi"/>
                <w:i/>
                <w:sz w:val="22"/>
                <w:szCs w:val="22"/>
              </w:rPr>
              <w:t>providers. In 2015, the rate of citizen</w:t>
            </w:r>
            <w:r w:rsidRPr="001C5F43">
              <w:rPr>
                <w:rFonts w:asciiTheme="minorHAnsi" w:hAnsiTheme="minorHAnsi" w:cstheme="minorHAnsi"/>
                <w:i/>
                <w:sz w:val="22"/>
                <w:szCs w:val="22"/>
              </w:rPr>
              <w:t xml:space="preserve"> satisfaction with law and order service providers</w:t>
            </w:r>
            <w:r w:rsidR="008F69C3" w:rsidRPr="001C5F43">
              <w:rPr>
                <w:rFonts w:asciiTheme="minorHAnsi" w:hAnsiTheme="minorHAnsi" w:cstheme="minorHAnsi"/>
                <w:i/>
                <w:sz w:val="22"/>
                <w:szCs w:val="22"/>
              </w:rPr>
              <w:t xml:space="preserve"> increased to 73% (75% for females, 72% for males</w:t>
            </w:r>
            <w:r w:rsidRPr="001C5F43">
              <w:rPr>
                <w:rFonts w:asciiTheme="minorHAnsi" w:hAnsiTheme="minorHAnsi" w:cstheme="minorHAnsi"/>
                <w:i/>
                <w:sz w:val="22"/>
                <w:szCs w:val="22"/>
              </w:rPr>
              <w:t>). This is signif</w:t>
            </w:r>
            <w:r w:rsidR="00F333BE">
              <w:rPr>
                <w:rFonts w:asciiTheme="minorHAnsi" w:hAnsiTheme="minorHAnsi" w:cstheme="minorHAnsi"/>
                <w:i/>
                <w:sz w:val="22"/>
                <w:szCs w:val="22"/>
              </w:rPr>
              <w:t>icantly higher than the target</w:t>
            </w:r>
            <w:r w:rsidRPr="001C5F43">
              <w:rPr>
                <w:rFonts w:asciiTheme="minorHAnsi" w:hAnsiTheme="minorHAnsi" w:cstheme="minorHAnsi"/>
                <w:i/>
                <w:sz w:val="22"/>
                <w:szCs w:val="22"/>
              </w:rPr>
              <w:t xml:space="preserve"> </w:t>
            </w:r>
            <w:r w:rsidR="008F69C3" w:rsidRPr="001C5F43">
              <w:rPr>
                <w:rFonts w:asciiTheme="minorHAnsi" w:hAnsiTheme="minorHAnsi" w:cstheme="minorHAnsi"/>
                <w:i/>
                <w:sz w:val="22"/>
                <w:szCs w:val="22"/>
              </w:rPr>
              <w:t xml:space="preserve">of </w:t>
            </w:r>
            <w:r w:rsidRPr="001C5F43">
              <w:rPr>
                <w:rFonts w:asciiTheme="minorHAnsi" w:hAnsiTheme="minorHAnsi" w:cstheme="minorHAnsi"/>
                <w:i/>
                <w:sz w:val="22"/>
                <w:szCs w:val="22"/>
              </w:rPr>
              <w:t>55%. However, the level of trust</w:t>
            </w:r>
            <w:r w:rsidRPr="001C5F43">
              <w:rPr>
                <w:rFonts w:asciiTheme="minorHAnsi" w:hAnsiTheme="minorHAnsi" w:cstheme="minorHAnsi"/>
                <w:sz w:val="22"/>
                <w:szCs w:val="22"/>
              </w:rPr>
              <w:t xml:space="preserve"> </w:t>
            </w:r>
            <w:r w:rsidRPr="001C5F43">
              <w:rPr>
                <w:rFonts w:asciiTheme="minorHAnsi" w:hAnsiTheme="minorHAnsi" w:cstheme="minorHAnsi"/>
                <w:i/>
                <w:sz w:val="22"/>
                <w:szCs w:val="22"/>
              </w:rPr>
              <w:t>in</w:t>
            </w:r>
            <w:r w:rsidR="00F333BE">
              <w:rPr>
                <w:rFonts w:asciiTheme="minorHAnsi" w:hAnsiTheme="minorHAnsi" w:cstheme="minorHAnsi"/>
                <w:i/>
                <w:sz w:val="22"/>
                <w:szCs w:val="22"/>
              </w:rPr>
              <w:t xml:space="preserve"> the police decreased slightly, </w:t>
            </w:r>
            <w:r w:rsidRPr="001C5F43">
              <w:rPr>
                <w:rFonts w:asciiTheme="minorHAnsi" w:hAnsiTheme="minorHAnsi" w:cstheme="minorHAnsi"/>
                <w:i/>
                <w:sz w:val="22"/>
                <w:szCs w:val="22"/>
              </w:rPr>
              <w:t>from 7</w:t>
            </w:r>
            <w:r w:rsidR="00594A38">
              <w:rPr>
                <w:rFonts w:asciiTheme="minorHAnsi" w:hAnsiTheme="minorHAnsi" w:cstheme="minorHAnsi"/>
                <w:i/>
                <w:sz w:val="22"/>
                <w:szCs w:val="22"/>
              </w:rPr>
              <w:t>7</w:t>
            </w:r>
            <w:r w:rsidRPr="001C5F43">
              <w:rPr>
                <w:rFonts w:asciiTheme="minorHAnsi" w:hAnsiTheme="minorHAnsi" w:cstheme="minorHAnsi"/>
                <w:i/>
                <w:sz w:val="22"/>
                <w:szCs w:val="22"/>
              </w:rPr>
              <w:t>%</w:t>
            </w:r>
            <w:r w:rsidR="00F333BE">
              <w:rPr>
                <w:rFonts w:asciiTheme="minorHAnsi" w:hAnsiTheme="minorHAnsi" w:cstheme="minorHAnsi"/>
                <w:i/>
                <w:sz w:val="22"/>
                <w:szCs w:val="22"/>
              </w:rPr>
              <w:t xml:space="preserve"> to 7</w:t>
            </w:r>
            <w:r w:rsidR="00594A38">
              <w:rPr>
                <w:rFonts w:asciiTheme="minorHAnsi" w:hAnsiTheme="minorHAnsi" w:cstheme="minorHAnsi"/>
                <w:i/>
                <w:sz w:val="22"/>
                <w:szCs w:val="22"/>
              </w:rPr>
              <w:t>5</w:t>
            </w:r>
            <w:r w:rsidR="00F333BE">
              <w:rPr>
                <w:rFonts w:asciiTheme="minorHAnsi" w:hAnsiTheme="minorHAnsi" w:cstheme="minorHAnsi"/>
                <w:i/>
                <w:sz w:val="22"/>
                <w:szCs w:val="22"/>
              </w:rPr>
              <w:t>%.</w:t>
            </w:r>
          </w:p>
          <w:p w14:paraId="353EE290" w14:textId="7919E0F4" w:rsidR="003F7D0B" w:rsidRPr="001C5F43" w:rsidRDefault="003F7D0B" w:rsidP="002E2627">
            <w:pPr>
              <w:pStyle w:val="BodyText2"/>
              <w:jc w:val="both"/>
              <w:rPr>
                <w:rFonts w:asciiTheme="minorHAnsi" w:hAnsiTheme="minorHAnsi" w:cstheme="minorHAnsi"/>
                <w:i/>
                <w:sz w:val="22"/>
                <w:szCs w:val="22"/>
              </w:rPr>
            </w:pPr>
            <w:r w:rsidRPr="001C5F43">
              <w:rPr>
                <w:rFonts w:asciiTheme="minorHAnsi" w:hAnsiTheme="minorHAnsi" w:cstheme="minorHAnsi"/>
                <w:i/>
                <w:sz w:val="22"/>
                <w:szCs w:val="22"/>
              </w:rPr>
              <w:t xml:space="preserve"> </w:t>
            </w:r>
          </w:p>
          <w:p w14:paraId="488672CC" w14:textId="1CFBAAA9" w:rsidR="003F7D0B" w:rsidRDefault="0086377B" w:rsidP="00273296">
            <w:pPr>
              <w:pStyle w:val="BodyText2"/>
              <w:numPr>
                <w:ilvl w:val="0"/>
                <w:numId w:val="3"/>
              </w:numPr>
              <w:jc w:val="both"/>
              <w:rPr>
                <w:rFonts w:asciiTheme="minorHAnsi" w:hAnsiTheme="minorHAnsi" w:cstheme="minorHAnsi"/>
                <w:i/>
                <w:sz w:val="22"/>
                <w:szCs w:val="22"/>
              </w:rPr>
            </w:pPr>
            <w:r>
              <w:rPr>
                <w:rFonts w:asciiTheme="minorHAnsi" w:hAnsiTheme="minorHAnsi" w:cstheme="minorHAnsi"/>
                <w:i/>
                <w:sz w:val="22"/>
                <w:szCs w:val="22"/>
              </w:rPr>
              <w:t>In 2010, there were no recommendations of the Universal Periodic Review implemented.</w:t>
            </w:r>
            <w:r w:rsidR="003F7D0B" w:rsidRPr="001C5F43">
              <w:rPr>
                <w:rFonts w:asciiTheme="minorHAnsi" w:hAnsiTheme="minorHAnsi" w:cstheme="minorHAnsi"/>
                <w:i/>
                <w:sz w:val="22"/>
                <w:szCs w:val="22"/>
              </w:rPr>
              <w:t xml:space="preserve"> The programme targeted to implement </w:t>
            </w:r>
            <w:r w:rsidR="008F69C3" w:rsidRPr="001C5F43">
              <w:rPr>
                <w:rFonts w:asciiTheme="minorHAnsi" w:hAnsiTheme="minorHAnsi" w:cstheme="minorHAnsi"/>
                <w:i/>
                <w:sz w:val="22"/>
                <w:szCs w:val="22"/>
              </w:rPr>
              <w:t>34</w:t>
            </w:r>
            <w:r>
              <w:rPr>
                <w:rFonts w:asciiTheme="minorHAnsi" w:hAnsiTheme="minorHAnsi" w:cstheme="minorHAnsi"/>
                <w:i/>
                <w:sz w:val="22"/>
                <w:szCs w:val="22"/>
              </w:rPr>
              <w:t xml:space="preserve"> recommendations by</w:t>
            </w:r>
            <w:r w:rsidR="003F7D0B" w:rsidRPr="001C5F43">
              <w:rPr>
                <w:rFonts w:asciiTheme="minorHAnsi" w:hAnsiTheme="minorHAnsi" w:cstheme="minorHAnsi"/>
                <w:i/>
                <w:sz w:val="22"/>
                <w:szCs w:val="22"/>
              </w:rPr>
              <w:t xml:space="preserve"> 2016. </w:t>
            </w:r>
            <w:r>
              <w:rPr>
                <w:rFonts w:asciiTheme="minorHAnsi" w:hAnsiTheme="minorHAnsi" w:cstheme="minorHAnsi"/>
                <w:i/>
                <w:sz w:val="22"/>
                <w:szCs w:val="22"/>
              </w:rPr>
              <w:t xml:space="preserve">As of 2015, </w:t>
            </w:r>
            <w:r w:rsidR="008F69C3" w:rsidRPr="001C5F43">
              <w:rPr>
                <w:rFonts w:asciiTheme="minorHAnsi" w:hAnsiTheme="minorHAnsi" w:cstheme="minorHAnsi"/>
                <w:i/>
                <w:sz w:val="22"/>
                <w:szCs w:val="22"/>
              </w:rPr>
              <w:t xml:space="preserve">27 </w:t>
            </w:r>
            <w:r>
              <w:rPr>
                <w:rFonts w:asciiTheme="minorHAnsi" w:hAnsiTheme="minorHAnsi" w:cstheme="minorHAnsi"/>
                <w:i/>
                <w:sz w:val="22"/>
                <w:szCs w:val="22"/>
              </w:rPr>
              <w:t>have been implemented</w:t>
            </w:r>
            <w:r w:rsidR="008F69C3" w:rsidRPr="001C5F43">
              <w:rPr>
                <w:rFonts w:asciiTheme="minorHAnsi" w:hAnsiTheme="minorHAnsi" w:cstheme="minorHAnsi"/>
                <w:i/>
                <w:sz w:val="22"/>
                <w:szCs w:val="22"/>
              </w:rPr>
              <w:t xml:space="preserve">. There has been disagreement over </w:t>
            </w:r>
            <w:r w:rsidR="005F1C1B" w:rsidRPr="001C5F43">
              <w:rPr>
                <w:rFonts w:asciiTheme="minorHAnsi" w:hAnsiTheme="minorHAnsi" w:cstheme="minorHAnsi"/>
                <w:i/>
                <w:sz w:val="22"/>
                <w:szCs w:val="22"/>
              </w:rPr>
              <w:t xml:space="preserve">which </w:t>
            </w:r>
            <w:r w:rsidR="005F1C1B" w:rsidRPr="001C5F43">
              <w:rPr>
                <w:rFonts w:asciiTheme="minorHAnsi" w:hAnsiTheme="minorHAnsi" w:cstheme="minorHAnsi"/>
                <w:i/>
                <w:sz w:val="22"/>
                <w:szCs w:val="22"/>
              </w:rPr>
              <w:lastRenderedPageBreak/>
              <w:t>recommendations have actually been implemented and a new Universal Periodic Review has taken place since the original baseline Review of 2009, further adding complexity on tracking this indicator.</w:t>
            </w:r>
            <w:r w:rsidR="003F7D0B" w:rsidRPr="001C5F43">
              <w:rPr>
                <w:rFonts w:asciiTheme="minorHAnsi" w:hAnsiTheme="minorHAnsi" w:cstheme="minorHAnsi"/>
                <w:i/>
                <w:sz w:val="22"/>
                <w:szCs w:val="22"/>
              </w:rPr>
              <w:t xml:space="preserve"> </w:t>
            </w:r>
          </w:p>
          <w:p w14:paraId="70D7E06E" w14:textId="77777777" w:rsidR="002E2627" w:rsidRPr="001C5F43" w:rsidRDefault="002E2627" w:rsidP="002E2627">
            <w:pPr>
              <w:pStyle w:val="BodyText2"/>
              <w:jc w:val="both"/>
              <w:rPr>
                <w:rFonts w:asciiTheme="minorHAnsi" w:hAnsiTheme="minorHAnsi" w:cstheme="minorHAnsi"/>
                <w:i/>
                <w:sz w:val="22"/>
                <w:szCs w:val="22"/>
              </w:rPr>
            </w:pPr>
          </w:p>
          <w:p w14:paraId="68EED6B2" w14:textId="75817AC2" w:rsidR="003F7D0B" w:rsidRPr="001C5F43" w:rsidRDefault="003F7D0B" w:rsidP="00133B59">
            <w:pPr>
              <w:pStyle w:val="BodyText2"/>
              <w:numPr>
                <w:ilvl w:val="0"/>
                <w:numId w:val="3"/>
              </w:numPr>
              <w:jc w:val="both"/>
              <w:rPr>
                <w:rFonts w:asciiTheme="minorHAnsi" w:hAnsiTheme="minorHAnsi" w:cstheme="minorHAnsi"/>
                <w:i/>
                <w:sz w:val="22"/>
                <w:szCs w:val="22"/>
              </w:rPr>
            </w:pPr>
            <w:r w:rsidRPr="001C5F43">
              <w:rPr>
                <w:rFonts w:asciiTheme="minorHAnsi" w:hAnsiTheme="minorHAnsi" w:cstheme="minorHAnsi"/>
                <w:i/>
                <w:sz w:val="22"/>
                <w:szCs w:val="22"/>
              </w:rPr>
              <w:t>The number of backlog</w:t>
            </w:r>
            <w:r w:rsidR="005F1C1B" w:rsidRPr="001C5F43">
              <w:rPr>
                <w:rFonts w:asciiTheme="minorHAnsi" w:hAnsiTheme="minorHAnsi" w:cstheme="minorHAnsi"/>
                <w:i/>
                <w:sz w:val="22"/>
                <w:szCs w:val="22"/>
              </w:rPr>
              <w:t>ged</w:t>
            </w:r>
            <w:r w:rsidRPr="001C5F43">
              <w:rPr>
                <w:rFonts w:asciiTheme="minorHAnsi" w:hAnsiTheme="minorHAnsi" w:cstheme="minorHAnsi"/>
                <w:i/>
                <w:sz w:val="22"/>
                <w:szCs w:val="22"/>
              </w:rPr>
              <w:t xml:space="preserve"> cases was 1.6 million in the base year 2010. At the end of 201</w:t>
            </w:r>
            <w:r w:rsidR="005F1C1B" w:rsidRPr="001C5F43">
              <w:rPr>
                <w:rFonts w:asciiTheme="minorHAnsi" w:hAnsiTheme="minorHAnsi" w:cstheme="minorHAnsi"/>
                <w:i/>
                <w:sz w:val="22"/>
                <w:szCs w:val="22"/>
              </w:rPr>
              <w:t>4</w:t>
            </w:r>
            <w:r w:rsidRPr="001C5F43">
              <w:rPr>
                <w:rFonts w:asciiTheme="minorHAnsi" w:hAnsiTheme="minorHAnsi" w:cstheme="minorHAnsi"/>
                <w:i/>
                <w:sz w:val="22"/>
                <w:szCs w:val="22"/>
              </w:rPr>
              <w:t>, the</w:t>
            </w:r>
            <w:r w:rsidR="005F1C1B" w:rsidRPr="001C5F43">
              <w:rPr>
                <w:rFonts w:asciiTheme="minorHAnsi" w:hAnsiTheme="minorHAnsi" w:cstheme="minorHAnsi"/>
                <w:i/>
                <w:sz w:val="22"/>
                <w:szCs w:val="22"/>
              </w:rPr>
              <w:t xml:space="preserve"> </w:t>
            </w:r>
            <w:r w:rsidR="0086377B">
              <w:rPr>
                <w:rFonts w:asciiTheme="minorHAnsi" w:hAnsiTheme="minorHAnsi" w:cstheme="minorHAnsi"/>
                <w:i/>
                <w:sz w:val="22"/>
                <w:szCs w:val="22"/>
              </w:rPr>
              <w:t xml:space="preserve">backlog had increased to </w:t>
            </w:r>
            <w:r w:rsidR="005F1C1B" w:rsidRPr="001C5F43">
              <w:rPr>
                <w:rFonts w:asciiTheme="minorHAnsi" w:hAnsiTheme="minorHAnsi" w:cstheme="minorHAnsi"/>
                <w:i/>
                <w:sz w:val="22"/>
                <w:szCs w:val="22"/>
              </w:rPr>
              <w:t>2.8 million</w:t>
            </w:r>
            <w:r w:rsidR="0086377B">
              <w:rPr>
                <w:rFonts w:asciiTheme="minorHAnsi" w:hAnsiTheme="minorHAnsi" w:cstheme="minorHAnsi"/>
                <w:i/>
                <w:sz w:val="22"/>
                <w:szCs w:val="22"/>
              </w:rPr>
              <w:t xml:space="preserve"> cases and by the </w:t>
            </w:r>
            <w:r w:rsidR="005F1C1B" w:rsidRPr="001C5F43">
              <w:rPr>
                <w:rFonts w:asciiTheme="minorHAnsi" w:hAnsiTheme="minorHAnsi" w:cstheme="minorHAnsi"/>
                <w:i/>
                <w:sz w:val="22"/>
                <w:szCs w:val="22"/>
              </w:rPr>
              <w:t>end of 2015</w:t>
            </w:r>
            <w:r w:rsidR="0086377B">
              <w:rPr>
                <w:rFonts w:asciiTheme="minorHAnsi" w:hAnsiTheme="minorHAnsi" w:cstheme="minorHAnsi"/>
                <w:i/>
                <w:sz w:val="22"/>
                <w:szCs w:val="22"/>
              </w:rPr>
              <w:t xml:space="preserve"> to </w:t>
            </w:r>
            <w:r w:rsidR="005F1C1B" w:rsidRPr="001C5F43">
              <w:rPr>
                <w:rFonts w:asciiTheme="minorHAnsi" w:hAnsiTheme="minorHAnsi" w:cstheme="minorHAnsi"/>
                <w:i/>
                <w:sz w:val="22"/>
                <w:szCs w:val="22"/>
              </w:rPr>
              <w:t xml:space="preserve">3.1 </w:t>
            </w:r>
            <w:r w:rsidR="007A735F" w:rsidRPr="001C5F43">
              <w:rPr>
                <w:rFonts w:asciiTheme="minorHAnsi" w:hAnsiTheme="minorHAnsi" w:cstheme="minorHAnsi"/>
                <w:i/>
                <w:sz w:val="22"/>
                <w:szCs w:val="22"/>
              </w:rPr>
              <w:t>million</w:t>
            </w:r>
            <w:r w:rsidR="00133B59">
              <w:rPr>
                <w:rFonts w:asciiTheme="minorHAnsi" w:hAnsiTheme="minorHAnsi" w:cstheme="minorHAnsi"/>
                <w:i/>
                <w:sz w:val="22"/>
                <w:szCs w:val="22"/>
              </w:rPr>
              <w:t>.</w:t>
            </w:r>
          </w:p>
        </w:tc>
      </w:tr>
      <w:tr w:rsidR="00DA4343" w:rsidRPr="001C5F43" w14:paraId="1B136D70" w14:textId="77777777" w:rsidTr="00FE0A9A">
        <w:trPr>
          <w:trHeight w:val="450"/>
        </w:trPr>
        <w:tc>
          <w:tcPr>
            <w:tcW w:w="14017" w:type="dxa"/>
            <w:gridSpan w:val="5"/>
            <w:shd w:val="clear" w:color="auto" w:fill="auto"/>
          </w:tcPr>
          <w:p w14:paraId="6255518F" w14:textId="0B6714DE" w:rsidR="00DA4343" w:rsidRPr="001C5F43" w:rsidRDefault="000F31C9" w:rsidP="002E2627">
            <w:pPr>
              <w:pStyle w:val="BodyText2"/>
              <w:jc w:val="both"/>
              <w:rPr>
                <w:rFonts w:asciiTheme="minorHAnsi" w:hAnsiTheme="minorHAnsi" w:cstheme="minorHAnsi"/>
                <w:sz w:val="22"/>
                <w:szCs w:val="22"/>
              </w:rPr>
            </w:pPr>
            <w:r>
              <w:rPr>
                <w:rFonts w:asciiTheme="minorHAnsi" w:hAnsiTheme="minorHAnsi" w:cstheme="minorHAnsi"/>
                <w:b/>
                <w:sz w:val="22"/>
                <w:szCs w:val="22"/>
              </w:rPr>
              <w:lastRenderedPageBreak/>
              <w:t>UNDP Contribution</w:t>
            </w:r>
          </w:p>
          <w:p w14:paraId="20529463" w14:textId="5F2BD50B" w:rsidR="00DA4343" w:rsidRPr="001C5F43" w:rsidRDefault="007A735F" w:rsidP="002F35AA">
            <w:pPr>
              <w:pStyle w:val="BodyText2"/>
              <w:jc w:val="both"/>
              <w:rPr>
                <w:rFonts w:asciiTheme="minorHAnsi" w:hAnsiTheme="minorHAnsi" w:cstheme="minorHAnsi"/>
                <w:sz w:val="22"/>
                <w:szCs w:val="22"/>
              </w:rPr>
            </w:pPr>
            <w:r w:rsidRPr="001C5F43">
              <w:rPr>
                <w:rFonts w:asciiTheme="minorHAnsi" w:hAnsiTheme="minorHAnsi" w:cstheme="minorHAnsi"/>
                <w:sz w:val="22"/>
                <w:szCs w:val="22"/>
                <w:lang w:val="en-GB"/>
              </w:rPr>
              <w:t xml:space="preserve">UNDP delivered </w:t>
            </w:r>
            <w:r w:rsidR="002567A2">
              <w:rPr>
                <w:rFonts w:asciiTheme="minorHAnsi" w:hAnsiTheme="minorHAnsi" w:cstheme="minorHAnsi"/>
                <w:sz w:val="22"/>
                <w:szCs w:val="22"/>
                <w:lang w:val="en-GB"/>
              </w:rPr>
              <w:t>four</w:t>
            </w:r>
            <w:r w:rsidRPr="001C5F43">
              <w:rPr>
                <w:rFonts w:asciiTheme="minorHAnsi" w:hAnsiTheme="minorHAnsi" w:cstheme="minorHAnsi"/>
                <w:sz w:val="22"/>
                <w:szCs w:val="22"/>
                <w:lang w:val="en-GB"/>
              </w:rPr>
              <w:t xml:space="preserve"> key results to strengthen formal and informal justice and human rights institutions: </w:t>
            </w:r>
            <w:r w:rsidR="00251B6C">
              <w:rPr>
                <w:rFonts w:asciiTheme="minorHAnsi" w:hAnsiTheme="minorHAnsi" w:cstheme="minorHAnsi"/>
                <w:sz w:val="22"/>
                <w:szCs w:val="22"/>
                <w:lang w:val="en-GB"/>
              </w:rPr>
              <w:t xml:space="preserve">a) </w:t>
            </w:r>
            <w:r w:rsidRPr="001C5F43">
              <w:rPr>
                <w:rFonts w:asciiTheme="minorHAnsi" w:hAnsiTheme="minorHAnsi" w:cstheme="minorHAnsi"/>
                <w:sz w:val="22"/>
                <w:szCs w:val="22"/>
                <w:lang w:val="en-GB"/>
              </w:rPr>
              <w:t>criminal justice institutions now have a coordination mechanism to increase case disposal rates</w:t>
            </w:r>
            <w:r w:rsidR="00251B6C">
              <w:rPr>
                <w:rFonts w:asciiTheme="minorHAnsi" w:hAnsiTheme="minorHAnsi" w:cstheme="minorHAnsi"/>
                <w:sz w:val="22"/>
                <w:szCs w:val="22"/>
                <w:lang w:val="en-GB"/>
              </w:rPr>
              <w:t xml:space="preserve">; b) </w:t>
            </w:r>
            <w:r w:rsidRPr="001C5F43">
              <w:rPr>
                <w:rFonts w:asciiTheme="minorHAnsi" w:hAnsiTheme="minorHAnsi" w:cstheme="minorHAnsi"/>
                <w:sz w:val="22"/>
                <w:szCs w:val="22"/>
                <w:lang w:val="en-GB"/>
              </w:rPr>
              <w:t>20 million people will have access to effective informal justice through village courts</w:t>
            </w:r>
            <w:r w:rsidR="00251B6C">
              <w:rPr>
                <w:rFonts w:asciiTheme="minorHAnsi" w:hAnsiTheme="minorHAnsi" w:cstheme="minorHAnsi"/>
                <w:sz w:val="22"/>
                <w:szCs w:val="22"/>
                <w:lang w:val="en-GB"/>
              </w:rPr>
              <w:t>; c</w:t>
            </w:r>
            <w:r w:rsidR="00BD37E8">
              <w:rPr>
                <w:rFonts w:asciiTheme="minorHAnsi" w:hAnsiTheme="minorHAnsi" w:cstheme="minorHAnsi"/>
                <w:sz w:val="22"/>
                <w:szCs w:val="22"/>
                <w:lang w:val="en-GB"/>
              </w:rPr>
              <w:t xml:space="preserve">) </w:t>
            </w:r>
            <w:r w:rsidR="00BD37E8" w:rsidRPr="001C5F43">
              <w:rPr>
                <w:rFonts w:asciiTheme="minorHAnsi" w:hAnsiTheme="minorHAnsi" w:cstheme="minorHAnsi"/>
                <w:sz w:val="22"/>
                <w:szCs w:val="22"/>
                <w:lang w:val="en-GB"/>
              </w:rPr>
              <w:t>vulnerable</w:t>
            </w:r>
            <w:r w:rsidRPr="001C5F43">
              <w:rPr>
                <w:rFonts w:asciiTheme="minorHAnsi" w:hAnsiTheme="minorHAnsi" w:cstheme="minorHAnsi"/>
                <w:sz w:val="22"/>
                <w:szCs w:val="22"/>
                <w:lang w:val="en-GB"/>
              </w:rPr>
              <w:t xml:space="preserve"> people across the nation now have access to legal aid, alternative dispute resolution models</w:t>
            </w:r>
            <w:r w:rsidR="00594A38">
              <w:rPr>
                <w:rFonts w:asciiTheme="minorHAnsi" w:hAnsiTheme="minorHAnsi" w:cstheme="minorHAnsi"/>
                <w:sz w:val="22"/>
                <w:szCs w:val="22"/>
                <w:lang w:val="en-GB"/>
              </w:rPr>
              <w:t>; d)</w:t>
            </w:r>
            <w:r w:rsidRPr="001C5F43">
              <w:rPr>
                <w:rFonts w:asciiTheme="minorHAnsi" w:hAnsiTheme="minorHAnsi" w:cstheme="minorHAnsi"/>
                <w:sz w:val="22"/>
                <w:szCs w:val="22"/>
                <w:lang w:val="en-GB"/>
              </w:rPr>
              <w:t xml:space="preserve"> </w:t>
            </w:r>
            <w:r w:rsidR="00251B6C">
              <w:rPr>
                <w:rFonts w:asciiTheme="minorHAnsi" w:hAnsiTheme="minorHAnsi" w:cstheme="minorHAnsi"/>
                <w:sz w:val="22"/>
                <w:szCs w:val="22"/>
                <w:lang w:val="en-GB"/>
              </w:rPr>
              <w:t xml:space="preserve">police </w:t>
            </w:r>
            <w:r w:rsidRPr="001C5F43">
              <w:rPr>
                <w:rFonts w:asciiTheme="minorHAnsi" w:hAnsiTheme="minorHAnsi" w:cstheme="minorHAnsi"/>
                <w:sz w:val="22"/>
                <w:szCs w:val="22"/>
                <w:lang w:val="en-GB"/>
              </w:rPr>
              <w:t>victim support centres.</w:t>
            </w:r>
            <w:r w:rsidR="008450FF">
              <w:rPr>
                <w:rFonts w:asciiTheme="minorHAnsi" w:hAnsiTheme="minorHAnsi" w:cstheme="minorHAnsi"/>
                <w:sz w:val="22"/>
                <w:szCs w:val="22"/>
                <w:lang w:val="en-GB"/>
              </w:rPr>
              <w:t xml:space="preserve">  However, there have been key challenges, as evidenced by the outcome indicators on human rights and case backlog and the midterm outcome evaluations.  The capabilities of the Bangladesh National Human Rights Commission to act as a key human right defender continued to be limited by the legal framework and scope of its mandate (ICC Of National Institutions for Promotion and Protection of HR 2015).  Further, the backlog of outstanding legal cases in formal </w:t>
            </w:r>
            <w:r w:rsidR="00594A38">
              <w:rPr>
                <w:rFonts w:asciiTheme="minorHAnsi" w:hAnsiTheme="minorHAnsi" w:cstheme="minorHAnsi"/>
                <w:sz w:val="22"/>
                <w:szCs w:val="22"/>
                <w:lang w:val="en-GB"/>
              </w:rPr>
              <w:t>courts</w:t>
            </w:r>
            <w:r w:rsidR="008450FF">
              <w:rPr>
                <w:rFonts w:asciiTheme="minorHAnsi" w:hAnsiTheme="minorHAnsi" w:cstheme="minorHAnsi"/>
                <w:sz w:val="22"/>
                <w:szCs w:val="22"/>
                <w:lang w:val="en-GB"/>
              </w:rPr>
              <w:t xml:space="preserve"> increased every year.  A shortage of human resources continue to limit access to justice (Access to Justice Report, Moran, 2015).  UNDP had to adjust its strategy</w:t>
            </w:r>
            <w:r w:rsidR="00EF7C38">
              <w:rPr>
                <w:rFonts w:asciiTheme="minorHAnsi" w:hAnsiTheme="minorHAnsi" w:cstheme="minorHAnsi"/>
                <w:sz w:val="22"/>
                <w:szCs w:val="22"/>
                <w:lang w:val="en-GB"/>
              </w:rPr>
              <w:t xml:space="preserve"> to</w:t>
            </w:r>
            <w:r w:rsidR="008450FF">
              <w:rPr>
                <w:rFonts w:asciiTheme="minorHAnsi" w:hAnsiTheme="minorHAnsi" w:cstheme="minorHAnsi"/>
                <w:sz w:val="22"/>
                <w:szCs w:val="22"/>
                <w:lang w:val="en-GB"/>
              </w:rPr>
              <w:t xml:space="preserve"> focus on achieving community level results and to pilot </w:t>
            </w:r>
            <w:r w:rsidR="00EF7C38">
              <w:rPr>
                <w:rFonts w:asciiTheme="minorHAnsi" w:hAnsiTheme="minorHAnsi" w:cstheme="minorHAnsi"/>
                <w:sz w:val="22"/>
                <w:szCs w:val="22"/>
                <w:lang w:val="en-GB"/>
              </w:rPr>
              <w:t xml:space="preserve">new </w:t>
            </w:r>
            <w:r w:rsidR="008450FF">
              <w:rPr>
                <w:rFonts w:asciiTheme="minorHAnsi" w:hAnsiTheme="minorHAnsi" w:cstheme="minorHAnsi"/>
                <w:sz w:val="22"/>
                <w:szCs w:val="22"/>
                <w:lang w:val="en-GB"/>
              </w:rPr>
              <w:t>mechanism</w:t>
            </w:r>
            <w:r w:rsidR="00EF7C38">
              <w:rPr>
                <w:rFonts w:asciiTheme="minorHAnsi" w:hAnsiTheme="minorHAnsi" w:cstheme="minorHAnsi"/>
                <w:sz w:val="22"/>
                <w:szCs w:val="22"/>
                <w:lang w:val="en-GB"/>
              </w:rPr>
              <w:t>s</w:t>
            </w:r>
            <w:r w:rsidR="008450FF">
              <w:rPr>
                <w:rFonts w:asciiTheme="minorHAnsi" w:hAnsiTheme="minorHAnsi" w:cstheme="minorHAnsi"/>
                <w:sz w:val="22"/>
                <w:szCs w:val="22"/>
                <w:lang w:val="en-GB"/>
              </w:rPr>
              <w:t xml:space="preserve"> (e.g. Village court and community victims support centers)</w:t>
            </w:r>
            <w:r w:rsidR="00EF7C38">
              <w:rPr>
                <w:rFonts w:asciiTheme="minorHAnsi" w:hAnsiTheme="minorHAnsi" w:cstheme="minorHAnsi"/>
                <w:sz w:val="22"/>
                <w:szCs w:val="22"/>
                <w:lang w:val="en-GB"/>
              </w:rPr>
              <w:t>, which have since proven effective</w:t>
            </w:r>
            <w:r w:rsidR="008450FF">
              <w:rPr>
                <w:rFonts w:asciiTheme="minorHAnsi" w:hAnsiTheme="minorHAnsi" w:cstheme="minorHAnsi"/>
                <w:sz w:val="22"/>
                <w:szCs w:val="22"/>
                <w:lang w:val="en-GB"/>
              </w:rPr>
              <w:t>. UNDP also launched a new programme on human rights working more closely with civil society to ensure enhanced accountability as well as providing analysis and data on violation of human rights</w:t>
            </w:r>
            <w:r w:rsidR="00EF7C38">
              <w:rPr>
                <w:rFonts w:asciiTheme="minorHAnsi" w:hAnsiTheme="minorHAnsi" w:cstheme="minorHAnsi"/>
                <w:sz w:val="22"/>
                <w:szCs w:val="22"/>
                <w:lang w:val="en-GB"/>
              </w:rPr>
              <w:t xml:space="preserve"> and responses.  </w:t>
            </w:r>
            <w:r w:rsidR="008450FF">
              <w:rPr>
                <w:rFonts w:asciiTheme="minorHAnsi" w:hAnsiTheme="minorHAnsi" w:cstheme="minorHAnsi"/>
                <w:sz w:val="22"/>
                <w:szCs w:val="22"/>
                <w:lang w:val="en-GB"/>
              </w:rPr>
              <w:t>UNDP programme</w:t>
            </w:r>
            <w:r w:rsidR="00EF7C38">
              <w:rPr>
                <w:rFonts w:asciiTheme="minorHAnsi" w:hAnsiTheme="minorHAnsi" w:cstheme="minorHAnsi"/>
                <w:sz w:val="22"/>
                <w:szCs w:val="22"/>
                <w:lang w:val="en-GB"/>
              </w:rPr>
              <w:t>s</w:t>
            </w:r>
            <w:r w:rsidR="008450FF">
              <w:rPr>
                <w:rFonts w:asciiTheme="minorHAnsi" w:hAnsiTheme="minorHAnsi" w:cstheme="minorHAnsi"/>
                <w:sz w:val="22"/>
                <w:szCs w:val="22"/>
                <w:lang w:val="en-GB"/>
              </w:rPr>
              <w:t xml:space="preserve"> are now based on a political economic analysis to influence the normative agenda- including gender equality and human right</w:t>
            </w:r>
            <w:r w:rsidR="00EF7C38">
              <w:rPr>
                <w:rFonts w:asciiTheme="minorHAnsi" w:hAnsiTheme="minorHAnsi" w:cstheme="minorHAnsi"/>
                <w:sz w:val="22"/>
                <w:szCs w:val="22"/>
                <w:lang w:val="en-GB"/>
              </w:rPr>
              <w:t>s</w:t>
            </w:r>
            <w:r w:rsidR="008450FF">
              <w:rPr>
                <w:rFonts w:asciiTheme="minorHAnsi" w:hAnsiTheme="minorHAnsi" w:cstheme="minorHAnsi"/>
                <w:sz w:val="22"/>
                <w:szCs w:val="22"/>
                <w:lang w:val="en-GB"/>
              </w:rPr>
              <w:t xml:space="preserve"> (mid</w:t>
            </w:r>
            <w:r w:rsidR="00E959D2">
              <w:rPr>
                <w:rFonts w:asciiTheme="minorHAnsi" w:hAnsiTheme="minorHAnsi" w:cstheme="minorHAnsi"/>
                <w:sz w:val="22"/>
                <w:szCs w:val="22"/>
                <w:lang w:val="en-GB"/>
              </w:rPr>
              <w:t xml:space="preserve">-term </w:t>
            </w:r>
            <w:r w:rsidR="008450FF">
              <w:rPr>
                <w:rFonts w:asciiTheme="minorHAnsi" w:hAnsiTheme="minorHAnsi" w:cstheme="minorHAnsi"/>
                <w:sz w:val="22"/>
                <w:szCs w:val="22"/>
                <w:lang w:val="en-GB"/>
              </w:rPr>
              <w:t xml:space="preserve">outcome evaluation 2015). </w:t>
            </w:r>
          </w:p>
        </w:tc>
      </w:tr>
      <w:tr w:rsidR="00DA4343" w:rsidRPr="001C5F43" w14:paraId="39B0F111" w14:textId="77777777" w:rsidTr="00FE0A9A">
        <w:trPr>
          <w:trHeight w:val="405"/>
        </w:trPr>
        <w:tc>
          <w:tcPr>
            <w:tcW w:w="14017" w:type="dxa"/>
            <w:gridSpan w:val="5"/>
            <w:shd w:val="clear" w:color="auto" w:fill="auto"/>
          </w:tcPr>
          <w:p w14:paraId="566690FB" w14:textId="70599CA8" w:rsidR="00DA4343" w:rsidRPr="001C5F43" w:rsidRDefault="000F31C9" w:rsidP="002E2627">
            <w:pPr>
              <w:pStyle w:val="BodyText2"/>
              <w:jc w:val="both"/>
              <w:rPr>
                <w:rFonts w:asciiTheme="minorHAnsi" w:hAnsiTheme="minorHAnsi" w:cstheme="minorHAnsi"/>
                <w:sz w:val="22"/>
                <w:szCs w:val="22"/>
              </w:rPr>
            </w:pPr>
            <w:r>
              <w:rPr>
                <w:rFonts w:asciiTheme="minorHAnsi" w:hAnsiTheme="minorHAnsi" w:cstheme="minorHAnsi"/>
                <w:b/>
                <w:sz w:val="22"/>
                <w:szCs w:val="22"/>
              </w:rPr>
              <w:t>Progress and Achievement</w:t>
            </w:r>
          </w:p>
          <w:p w14:paraId="4C71FE65" w14:textId="30B30E91" w:rsidR="007A735F" w:rsidRPr="00944AB7" w:rsidRDefault="00EF7C38" w:rsidP="002E2627">
            <w:pPr>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7A735F" w:rsidRPr="00944AB7">
              <w:rPr>
                <w:rFonts w:asciiTheme="minorHAnsi" w:hAnsiTheme="minorHAnsi" w:cstheme="minorHAnsi"/>
                <w:sz w:val="22"/>
                <w:szCs w:val="22"/>
                <w:lang w:val="en-GB"/>
              </w:rPr>
              <w:t xml:space="preserve"> UNDP-piloted Criminal Justice Coordination Committees in 3 districts have now increased annual case disposal</w:t>
            </w:r>
            <w:r w:rsidR="00594A38">
              <w:rPr>
                <w:rFonts w:asciiTheme="minorHAnsi" w:hAnsiTheme="minorHAnsi" w:cstheme="minorHAnsi"/>
                <w:sz w:val="22"/>
                <w:szCs w:val="22"/>
                <w:lang w:val="en-GB"/>
              </w:rPr>
              <w:t xml:space="preserve">. </w:t>
            </w:r>
            <w:r w:rsidR="007A735F" w:rsidRPr="00944AB7">
              <w:rPr>
                <w:rFonts w:asciiTheme="minorHAnsi" w:hAnsiTheme="minorHAnsi" w:cstheme="minorHAnsi"/>
                <w:sz w:val="22"/>
                <w:szCs w:val="22"/>
                <w:lang w:val="en-GB"/>
              </w:rPr>
              <w:t>These mechanisms are providing better coordination for expediting long-pending cases. The government is scaling up this mechanism to 15 districts. UNDP also successfully piloted a Mobile Court system to digitalize case management, appeal and custody processes. The system is easy to use, allows citizens to directly access crime information, tracks progress of complaints and ensures magistrates cannot interfere unduly.</w:t>
            </w:r>
          </w:p>
          <w:p w14:paraId="4E2CD0E2" w14:textId="6A68E9BA" w:rsidR="007A735F" w:rsidRPr="00944AB7" w:rsidRDefault="00251B6C" w:rsidP="002E2627">
            <w:pPr>
              <w:jc w:val="both"/>
              <w:rPr>
                <w:rFonts w:asciiTheme="minorHAnsi" w:hAnsiTheme="minorHAnsi" w:cstheme="minorHAnsi"/>
                <w:sz w:val="22"/>
                <w:szCs w:val="22"/>
                <w:lang w:val="en-GB"/>
              </w:rPr>
            </w:pPr>
            <w:r w:rsidRPr="00944AB7">
              <w:rPr>
                <w:rFonts w:asciiTheme="minorHAnsi" w:hAnsiTheme="minorHAnsi" w:cstheme="minorHAnsi"/>
                <w:sz w:val="22"/>
                <w:szCs w:val="22"/>
                <w:lang w:val="en-GB"/>
              </w:rPr>
              <w:t xml:space="preserve">b) </w:t>
            </w:r>
            <w:r w:rsidR="007A735F" w:rsidRPr="000B309F">
              <w:rPr>
                <w:rFonts w:asciiTheme="minorHAnsi" w:hAnsiTheme="minorHAnsi" w:cstheme="minorHAnsi"/>
                <w:sz w:val="22"/>
                <w:szCs w:val="22"/>
                <w:lang w:val="en-GB"/>
              </w:rPr>
              <w:t>20 million</w:t>
            </w:r>
            <w:r w:rsidR="007A735F" w:rsidRPr="00944AB7">
              <w:rPr>
                <w:rFonts w:asciiTheme="minorHAnsi" w:hAnsiTheme="minorHAnsi" w:cstheme="minorHAnsi"/>
                <w:sz w:val="22"/>
                <w:szCs w:val="22"/>
                <w:lang w:val="en-GB"/>
              </w:rPr>
              <w:t xml:space="preserve"> people will have access to effective justice th</w:t>
            </w:r>
            <w:r w:rsidR="00FE0A9A">
              <w:rPr>
                <w:rFonts w:asciiTheme="minorHAnsi" w:hAnsiTheme="minorHAnsi" w:cstheme="minorHAnsi"/>
                <w:sz w:val="22"/>
                <w:szCs w:val="22"/>
                <w:lang w:val="en-GB"/>
              </w:rPr>
              <w:t>r</w:t>
            </w:r>
            <w:r w:rsidR="007A735F" w:rsidRPr="00944AB7">
              <w:rPr>
                <w:rFonts w:asciiTheme="minorHAnsi" w:hAnsiTheme="minorHAnsi" w:cstheme="minorHAnsi"/>
                <w:sz w:val="22"/>
                <w:szCs w:val="22"/>
                <w:lang w:val="en-GB"/>
              </w:rPr>
              <w:t xml:space="preserve">ough village courts as a result of a 2015 government decision to scale up a UNDP-supported pilot. In the pilot, 351 village courts made judicial services available to 7 million rural citizens with UNDP programme and technical support in partnership with the local government division and civil society. A court user survey highlighted that the courts resolved 80% of reported cases, taking an average of only 45 days and costing users an average of $1.88 to resolve. This represents a significant achievement, given that average costs and time in the formal system are $468 and 592 days. </w:t>
            </w:r>
          </w:p>
          <w:p w14:paraId="37759AD4" w14:textId="334F242A" w:rsidR="00594A38" w:rsidRDefault="007A735F" w:rsidP="00251B6C">
            <w:pPr>
              <w:jc w:val="both"/>
              <w:rPr>
                <w:rFonts w:asciiTheme="minorHAnsi" w:hAnsiTheme="minorHAnsi" w:cstheme="minorHAnsi"/>
                <w:sz w:val="22"/>
                <w:szCs w:val="22"/>
                <w:lang w:val="en-GB"/>
              </w:rPr>
            </w:pPr>
            <w:r w:rsidRPr="00944AB7">
              <w:rPr>
                <w:rFonts w:asciiTheme="minorHAnsi" w:hAnsiTheme="minorHAnsi" w:cstheme="minorHAnsi"/>
                <w:sz w:val="22"/>
                <w:szCs w:val="22"/>
                <w:lang w:val="en-GB"/>
              </w:rPr>
              <w:t>c) Since 2009, with UNDP programme support, legal aid centres have served over 120,000 people; nearly 28,000 in 2015 (about 55% of them women). Further, through the UNDP par</w:t>
            </w:r>
            <w:r w:rsidR="00FE0A9A">
              <w:rPr>
                <w:rFonts w:asciiTheme="minorHAnsi" w:hAnsiTheme="minorHAnsi" w:cstheme="minorHAnsi"/>
                <w:sz w:val="22"/>
                <w:szCs w:val="22"/>
                <w:lang w:val="en-GB"/>
              </w:rPr>
              <w:t xml:space="preserve">tnership with the police, legal aid centres </w:t>
            </w:r>
            <w:r w:rsidRPr="00944AB7">
              <w:rPr>
                <w:rFonts w:asciiTheme="minorHAnsi" w:hAnsiTheme="minorHAnsi" w:cstheme="minorHAnsi"/>
                <w:sz w:val="22"/>
                <w:szCs w:val="22"/>
                <w:lang w:val="en-GB"/>
              </w:rPr>
              <w:t xml:space="preserve">provide an alternative dispute resolution model, which was designed and piloted </w:t>
            </w:r>
            <w:r w:rsidRPr="00944AB7">
              <w:rPr>
                <w:rFonts w:asciiTheme="minorHAnsi" w:hAnsiTheme="minorHAnsi" w:cstheme="minorHAnsi"/>
                <w:sz w:val="22"/>
                <w:szCs w:val="22"/>
                <w:lang w:val="en-GB"/>
              </w:rPr>
              <w:lastRenderedPageBreak/>
              <w:t xml:space="preserve">by UNDP and subsequently </w:t>
            </w:r>
            <w:r w:rsidR="00FE0A9A">
              <w:rPr>
                <w:rFonts w:asciiTheme="minorHAnsi" w:hAnsiTheme="minorHAnsi" w:cstheme="minorHAnsi"/>
                <w:sz w:val="22"/>
                <w:szCs w:val="22"/>
                <w:lang w:val="en-GB"/>
              </w:rPr>
              <w:t>rolled out across Bangladesh. I</w:t>
            </w:r>
            <w:r w:rsidR="00594A38">
              <w:rPr>
                <w:rFonts w:asciiTheme="minorHAnsi" w:hAnsiTheme="minorHAnsi" w:cstheme="minorHAnsi"/>
                <w:sz w:val="22"/>
                <w:szCs w:val="22"/>
                <w:lang w:val="en-GB"/>
              </w:rPr>
              <w:t xml:space="preserve">As of </w:t>
            </w:r>
            <w:r w:rsidRPr="00944AB7">
              <w:rPr>
                <w:rFonts w:asciiTheme="minorHAnsi" w:hAnsiTheme="minorHAnsi" w:cstheme="minorHAnsi"/>
                <w:sz w:val="22"/>
                <w:szCs w:val="22"/>
                <w:lang w:val="en-GB"/>
              </w:rPr>
              <w:t xml:space="preserve">2015, 740 cases have been resolved using this alternative avenue. </w:t>
            </w:r>
            <w:r w:rsidR="00251B6C" w:rsidRPr="00944AB7">
              <w:rPr>
                <w:rFonts w:asciiTheme="minorHAnsi" w:hAnsiTheme="minorHAnsi" w:cstheme="minorHAnsi"/>
                <w:sz w:val="22"/>
                <w:szCs w:val="22"/>
                <w:lang w:val="en-GB"/>
              </w:rPr>
              <w:t xml:space="preserve"> </w:t>
            </w:r>
          </w:p>
          <w:p w14:paraId="794E0A2C" w14:textId="7E2B38CB" w:rsidR="00DA4343" w:rsidRDefault="00594A38" w:rsidP="00251B6C">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 </w:t>
            </w:r>
            <w:r w:rsidR="007A735F" w:rsidRPr="00944AB7">
              <w:rPr>
                <w:rFonts w:asciiTheme="minorHAnsi" w:hAnsiTheme="minorHAnsi" w:cstheme="minorHAnsi"/>
                <w:sz w:val="22"/>
                <w:szCs w:val="22"/>
                <w:lang w:val="en-GB"/>
              </w:rPr>
              <w:t>The Bangladesh Police now has 8 victim support centres that offer services nationwide</w:t>
            </w:r>
            <w:r>
              <w:rPr>
                <w:rFonts w:asciiTheme="minorHAnsi" w:hAnsiTheme="minorHAnsi" w:cstheme="minorHAnsi"/>
                <w:sz w:val="22"/>
                <w:szCs w:val="22"/>
                <w:lang w:val="en-GB"/>
              </w:rPr>
              <w:t>.</w:t>
            </w:r>
            <w:r w:rsidR="007A735F" w:rsidRPr="00944AB7">
              <w:rPr>
                <w:rFonts w:asciiTheme="minorHAnsi" w:hAnsiTheme="minorHAnsi" w:cstheme="minorHAnsi"/>
                <w:sz w:val="22"/>
                <w:szCs w:val="22"/>
                <w:lang w:val="en-GB"/>
              </w:rPr>
              <w:t xml:space="preserve"> Following UNDP’s police reform programming, over 1,000 women and children found shelter and support in 2015. UNDP worked closely with the Bangladeshi police to pilot such centres and to ensure the gender-responsiveness of policing services. The police now</w:t>
            </w:r>
            <w:r w:rsidR="007A735F" w:rsidRPr="001C5F43">
              <w:rPr>
                <w:rFonts w:asciiTheme="minorHAnsi" w:hAnsiTheme="minorHAnsi" w:cstheme="minorHAnsi"/>
                <w:sz w:val="22"/>
                <w:szCs w:val="22"/>
                <w:lang w:val="en-GB"/>
              </w:rPr>
              <w:t xml:space="preserve"> has 9,000 female police officers. At 6% of the Bangladesh police force, the percent is still low but rising compared to 1.3% in 2008 and 5.3% in 2014. An external DFID review </w:t>
            </w:r>
            <w:r w:rsidR="00BB2D08">
              <w:rPr>
                <w:rFonts w:asciiTheme="minorHAnsi" w:hAnsiTheme="minorHAnsi" w:cstheme="minorHAnsi"/>
                <w:sz w:val="22"/>
                <w:szCs w:val="22"/>
                <w:lang w:val="en-GB"/>
              </w:rPr>
              <w:t xml:space="preserve">has systematically </w:t>
            </w:r>
            <w:r w:rsidR="007A735F" w:rsidRPr="001C5F43">
              <w:rPr>
                <w:rFonts w:asciiTheme="minorHAnsi" w:hAnsiTheme="minorHAnsi" w:cstheme="minorHAnsi"/>
                <w:sz w:val="22"/>
                <w:szCs w:val="22"/>
                <w:lang w:val="en-GB"/>
              </w:rPr>
              <w:t>rated UNDP’s work on police reform with an ‘A’.</w:t>
            </w:r>
          </w:p>
          <w:p w14:paraId="3E17FF7B" w14:textId="6EBFFF7F" w:rsidR="00BB2D08" w:rsidRPr="00251B6C" w:rsidRDefault="00BB2D08" w:rsidP="008450FF">
            <w:pPr>
              <w:jc w:val="both"/>
              <w:rPr>
                <w:rFonts w:asciiTheme="minorHAnsi" w:hAnsiTheme="minorHAnsi" w:cstheme="minorHAnsi"/>
                <w:sz w:val="22"/>
                <w:szCs w:val="22"/>
                <w:lang w:val="en-GB"/>
              </w:rPr>
            </w:pPr>
          </w:p>
        </w:tc>
      </w:tr>
      <w:tr w:rsidR="00DA4343" w:rsidRPr="001C5F43" w14:paraId="6DD38947" w14:textId="77777777" w:rsidTr="00FE0A9A">
        <w:trPr>
          <w:trHeight w:val="405"/>
        </w:trPr>
        <w:tc>
          <w:tcPr>
            <w:tcW w:w="14017" w:type="dxa"/>
            <w:gridSpan w:val="5"/>
            <w:shd w:val="clear" w:color="auto" w:fill="auto"/>
          </w:tcPr>
          <w:p w14:paraId="01AC1B3A" w14:textId="429D3FAF" w:rsidR="00DA4343" w:rsidRPr="001C5F43" w:rsidRDefault="00DA4343" w:rsidP="002E2627">
            <w:pPr>
              <w:pStyle w:val="BodyText2"/>
              <w:jc w:val="both"/>
              <w:rPr>
                <w:rFonts w:asciiTheme="minorHAnsi" w:hAnsiTheme="minorHAnsi" w:cstheme="minorHAnsi"/>
                <w:sz w:val="22"/>
                <w:szCs w:val="22"/>
              </w:rPr>
            </w:pPr>
            <w:r w:rsidRPr="001C5F43">
              <w:rPr>
                <w:rFonts w:asciiTheme="minorHAnsi" w:hAnsiTheme="minorHAnsi" w:cstheme="minorHAnsi"/>
                <w:b/>
                <w:sz w:val="22"/>
                <w:szCs w:val="22"/>
              </w:rPr>
              <w:lastRenderedPageBreak/>
              <w:t>Gender</w:t>
            </w:r>
            <w:r w:rsidRPr="001C5F43">
              <w:rPr>
                <w:rFonts w:asciiTheme="minorHAnsi" w:hAnsiTheme="minorHAnsi" w:cstheme="minorHAnsi"/>
                <w:sz w:val="22"/>
                <w:szCs w:val="22"/>
              </w:rPr>
              <w:t>:</w:t>
            </w:r>
          </w:p>
          <w:p w14:paraId="6092765C" w14:textId="624890FF" w:rsidR="00DA4343" w:rsidRPr="001C5F43" w:rsidRDefault="00AA3FD6" w:rsidP="004215EB">
            <w:pPr>
              <w:pStyle w:val="BodyText2"/>
              <w:jc w:val="both"/>
              <w:rPr>
                <w:rFonts w:asciiTheme="minorHAnsi" w:hAnsiTheme="minorHAnsi" w:cstheme="minorHAnsi"/>
                <w:sz w:val="22"/>
                <w:szCs w:val="22"/>
              </w:rPr>
            </w:pPr>
            <w:r w:rsidRPr="004215EB">
              <w:rPr>
                <w:rFonts w:asciiTheme="minorHAnsi" w:hAnsiTheme="minorHAnsi" w:cstheme="minorHAnsi"/>
                <w:sz w:val="22"/>
                <w:szCs w:val="22"/>
                <w:lang w:val="en-GB"/>
              </w:rPr>
              <w:t xml:space="preserve">The </w:t>
            </w:r>
            <w:r w:rsidR="004215EB" w:rsidRPr="004215EB">
              <w:rPr>
                <w:rFonts w:asciiTheme="minorHAnsi" w:hAnsiTheme="minorHAnsi" w:cstheme="minorHAnsi"/>
                <w:sz w:val="22"/>
                <w:szCs w:val="22"/>
                <w:lang w:val="en-GB"/>
              </w:rPr>
              <w:t xml:space="preserve">gender marker indicated that 84% </w:t>
            </w:r>
            <w:r w:rsidRPr="004215EB">
              <w:rPr>
                <w:rFonts w:asciiTheme="minorHAnsi" w:hAnsiTheme="minorHAnsi" w:cstheme="minorHAnsi"/>
                <w:sz w:val="22"/>
                <w:szCs w:val="22"/>
                <w:lang w:val="en-GB"/>
              </w:rPr>
              <w:t xml:space="preserve">of </w:t>
            </w:r>
            <w:r w:rsidR="004215EB" w:rsidRPr="004215EB">
              <w:rPr>
                <w:rFonts w:asciiTheme="minorHAnsi" w:hAnsiTheme="minorHAnsi" w:cstheme="minorHAnsi"/>
                <w:sz w:val="22"/>
                <w:szCs w:val="22"/>
                <w:lang w:val="en-GB"/>
              </w:rPr>
              <w:t xml:space="preserve">UNDP </w:t>
            </w:r>
            <w:r w:rsidRPr="004215EB">
              <w:rPr>
                <w:rFonts w:asciiTheme="minorHAnsi" w:hAnsiTheme="minorHAnsi" w:cstheme="minorHAnsi"/>
                <w:sz w:val="22"/>
                <w:szCs w:val="22"/>
                <w:lang w:val="en-GB"/>
              </w:rPr>
              <w:t>total</w:t>
            </w:r>
            <w:r>
              <w:rPr>
                <w:rFonts w:asciiTheme="minorHAnsi" w:hAnsiTheme="minorHAnsi" w:cstheme="minorHAnsi"/>
                <w:sz w:val="22"/>
                <w:szCs w:val="22"/>
                <w:lang w:val="en-GB"/>
              </w:rPr>
              <w:t xml:space="preserve"> </w:t>
            </w:r>
            <w:r w:rsidR="004215EB">
              <w:rPr>
                <w:rFonts w:asciiTheme="minorHAnsi" w:hAnsiTheme="minorHAnsi" w:cstheme="minorHAnsi"/>
                <w:sz w:val="22"/>
                <w:szCs w:val="22"/>
                <w:lang w:val="en-GB"/>
              </w:rPr>
              <w:t xml:space="preserve">programme resources (2012-2016) </w:t>
            </w:r>
            <w:r>
              <w:rPr>
                <w:rFonts w:asciiTheme="minorHAnsi" w:hAnsiTheme="minorHAnsi" w:cstheme="minorHAnsi"/>
                <w:sz w:val="22"/>
                <w:szCs w:val="22"/>
                <w:lang w:val="en-GB"/>
              </w:rPr>
              <w:t xml:space="preserve">in this outcome contributed to gender equality in a </w:t>
            </w:r>
            <w:r w:rsidR="004215EB">
              <w:rPr>
                <w:rFonts w:asciiTheme="minorHAnsi" w:hAnsiTheme="minorHAnsi" w:cstheme="minorHAnsi"/>
                <w:sz w:val="22"/>
                <w:szCs w:val="22"/>
                <w:lang w:val="en-GB"/>
              </w:rPr>
              <w:t xml:space="preserve">principal or significant way (GEN2; GEN3). </w:t>
            </w:r>
            <w:r>
              <w:rPr>
                <w:rFonts w:asciiTheme="minorHAnsi" w:hAnsiTheme="minorHAnsi" w:cstheme="minorHAnsi"/>
                <w:sz w:val="22"/>
                <w:szCs w:val="22"/>
                <w:lang w:val="en-GB"/>
              </w:rPr>
              <w:t xml:space="preserve">As evidenced by the midterm evaluation on this outcome, </w:t>
            </w:r>
            <w:r w:rsidR="00FE0A9A">
              <w:rPr>
                <w:rFonts w:asciiTheme="minorHAnsi" w:hAnsiTheme="minorHAnsi" w:cstheme="minorHAnsi"/>
                <w:sz w:val="22"/>
                <w:szCs w:val="22"/>
                <w:lang w:val="en-GB"/>
              </w:rPr>
              <w:t>s</w:t>
            </w:r>
            <w:r w:rsidR="007A735F" w:rsidRPr="001C5F43">
              <w:rPr>
                <w:rFonts w:asciiTheme="minorHAnsi" w:hAnsiTheme="minorHAnsi" w:cstheme="minorHAnsi"/>
                <w:sz w:val="22"/>
                <w:szCs w:val="22"/>
                <w:lang w:val="en-GB"/>
              </w:rPr>
              <w:t>ignificant contributions to gender equality and women’s empowerment were in the areas of women’s access to justice, security and legal rights. For example, women were increasingly involved in village court decision-making processes; participation increased to 16%</w:t>
            </w:r>
            <w:r w:rsidR="00F8025C">
              <w:rPr>
                <w:rFonts w:asciiTheme="minorHAnsi" w:hAnsiTheme="minorHAnsi" w:cstheme="minorHAnsi"/>
                <w:sz w:val="22"/>
                <w:szCs w:val="22"/>
                <w:lang w:val="en-GB"/>
              </w:rPr>
              <w:t xml:space="preserve"> in 2015, from 11% in 2013</w:t>
            </w:r>
            <w:r w:rsidR="007A735F" w:rsidRPr="001C5F43">
              <w:rPr>
                <w:rFonts w:asciiTheme="minorHAnsi" w:hAnsiTheme="minorHAnsi" w:cstheme="minorHAnsi"/>
                <w:sz w:val="22"/>
                <w:szCs w:val="22"/>
                <w:lang w:val="en-GB"/>
              </w:rPr>
              <w:t>. Further, UNDP support helped develop the first online registration system</w:t>
            </w:r>
            <w:r w:rsidR="00F8025C">
              <w:rPr>
                <w:rFonts w:asciiTheme="minorHAnsi" w:hAnsiTheme="minorHAnsi" w:cstheme="minorHAnsi"/>
                <w:sz w:val="22"/>
                <w:szCs w:val="22"/>
                <w:lang w:val="en-GB"/>
              </w:rPr>
              <w:t xml:space="preserve"> and database</w:t>
            </w:r>
            <w:r w:rsidR="007A735F" w:rsidRPr="001C5F43">
              <w:rPr>
                <w:rFonts w:asciiTheme="minorHAnsi" w:hAnsiTheme="minorHAnsi" w:cstheme="minorHAnsi"/>
                <w:sz w:val="22"/>
                <w:szCs w:val="22"/>
                <w:lang w:val="en-GB"/>
              </w:rPr>
              <w:t xml:space="preserve"> to track reports of violence against women, and </w:t>
            </w:r>
            <w:r w:rsidR="00F8025C">
              <w:rPr>
                <w:rFonts w:asciiTheme="minorHAnsi" w:hAnsiTheme="minorHAnsi" w:cstheme="minorHAnsi"/>
                <w:sz w:val="22"/>
                <w:szCs w:val="22"/>
                <w:lang w:val="en-GB"/>
              </w:rPr>
              <w:t>to connect</w:t>
            </w:r>
            <w:r w:rsidR="007A735F" w:rsidRPr="001C5F43">
              <w:rPr>
                <w:rFonts w:asciiTheme="minorHAnsi" w:hAnsiTheme="minorHAnsi" w:cstheme="minorHAnsi"/>
                <w:sz w:val="22"/>
                <w:szCs w:val="22"/>
                <w:lang w:val="en-GB"/>
              </w:rPr>
              <w:t xml:space="preserve"> victims with health, legal aid and police services in a common platform. In </w:t>
            </w:r>
            <w:r w:rsidR="00F8025C">
              <w:rPr>
                <w:rFonts w:asciiTheme="minorHAnsi" w:hAnsiTheme="minorHAnsi" w:cstheme="minorHAnsi"/>
                <w:sz w:val="22"/>
                <w:szCs w:val="22"/>
                <w:lang w:val="en-GB"/>
              </w:rPr>
              <w:t xml:space="preserve">just </w:t>
            </w:r>
            <w:r w:rsidR="007A735F" w:rsidRPr="001C5F43">
              <w:rPr>
                <w:rFonts w:asciiTheme="minorHAnsi" w:hAnsiTheme="minorHAnsi" w:cstheme="minorHAnsi"/>
                <w:sz w:val="22"/>
                <w:szCs w:val="22"/>
                <w:lang w:val="en-GB"/>
              </w:rPr>
              <w:t>5 months of reporting</w:t>
            </w:r>
            <w:r w:rsidR="00F8025C">
              <w:rPr>
                <w:rFonts w:asciiTheme="minorHAnsi" w:hAnsiTheme="minorHAnsi" w:cstheme="minorHAnsi"/>
                <w:sz w:val="22"/>
                <w:szCs w:val="22"/>
                <w:lang w:val="en-GB"/>
              </w:rPr>
              <w:t xml:space="preserve"> in 2015</w:t>
            </w:r>
            <w:r w:rsidR="007A735F" w:rsidRPr="001C5F43">
              <w:rPr>
                <w:rFonts w:asciiTheme="minorHAnsi" w:hAnsiTheme="minorHAnsi" w:cstheme="minorHAnsi"/>
                <w:sz w:val="22"/>
                <w:szCs w:val="22"/>
                <w:lang w:val="en-GB"/>
              </w:rPr>
              <w:t>, 861 reports were registered in the database; 518 followed up on. Following an amendment of the Legal Aid Act 2014 and Alternative Dispute Resolution Rules 2015, which removed barriers to women’s access to legal aid, a UNDP-supported legal aid facility has increased the number</w:t>
            </w:r>
            <w:r w:rsidR="00F8025C">
              <w:rPr>
                <w:rFonts w:asciiTheme="minorHAnsi" w:hAnsiTheme="minorHAnsi" w:cstheme="minorHAnsi"/>
                <w:sz w:val="22"/>
                <w:szCs w:val="22"/>
                <w:lang w:val="en-GB"/>
              </w:rPr>
              <w:t xml:space="preserve"> of women receiving legal aid; s</w:t>
            </w:r>
            <w:r w:rsidR="007A735F" w:rsidRPr="001C5F43">
              <w:rPr>
                <w:rFonts w:asciiTheme="minorHAnsi" w:hAnsiTheme="minorHAnsi" w:cstheme="minorHAnsi"/>
                <w:sz w:val="22"/>
                <w:szCs w:val="22"/>
                <w:lang w:val="en-GB"/>
              </w:rPr>
              <w:t xml:space="preserve">ince 2009, legal aid centres have served around 66,000 women (55% of the targeted people). </w:t>
            </w:r>
          </w:p>
        </w:tc>
      </w:tr>
      <w:tr w:rsidR="003F7D0B" w:rsidRPr="001C5F43" w14:paraId="10F75DF4" w14:textId="77777777" w:rsidTr="00FE0A9A">
        <w:tc>
          <w:tcPr>
            <w:tcW w:w="3060" w:type="dxa"/>
            <w:shd w:val="clear" w:color="auto" w:fill="95B3D7" w:themeFill="accent1" w:themeFillTint="99"/>
          </w:tcPr>
          <w:p w14:paraId="3B5C1293" w14:textId="77777777" w:rsidR="003F7D0B" w:rsidRPr="001C5F43" w:rsidRDefault="003F7D0B"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3. Economic growth is achieved in a more inclusive manner, with economic opportunities reaching the rural and urban poor and facilitating the protection of vulnerable groups against shocks</w:t>
            </w:r>
          </w:p>
        </w:tc>
        <w:tc>
          <w:tcPr>
            <w:tcW w:w="1530" w:type="dxa"/>
            <w:gridSpan w:val="2"/>
            <w:shd w:val="clear" w:color="auto" w:fill="auto"/>
          </w:tcPr>
          <w:p w14:paraId="5641635F" w14:textId="4003AB43" w:rsidR="003F7D0B" w:rsidRPr="001C5F43" w:rsidRDefault="00A81BA9" w:rsidP="002E2627">
            <w:pPr>
              <w:pStyle w:val="BodyText2"/>
              <w:jc w:val="both"/>
              <w:rPr>
                <w:rFonts w:asciiTheme="minorHAnsi" w:hAnsiTheme="minorHAnsi" w:cstheme="minorHAnsi"/>
                <w:sz w:val="22"/>
                <w:szCs w:val="22"/>
                <w:highlight w:val="yellow"/>
              </w:rPr>
            </w:pPr>
            <w:r>
              <w:rPr>
                <w:rFonts w:asciiTheme="minorHAnsi" w:hAnsiTheme="minorHAnsi" w:cstheme="minorHAnsi"/>
                <w:sz w:val="22"/>
                <w:szCs w:val="22"/>
              </w:rPr>
              <w:t xml:space="preserve">$ </w:t>
            </w:r>
            <w:r w:rsidRPr="00A81BA9">
              <w:rPr>
                <w:rFonts w:asciiTheme="minorHAnsi" w:hAnsiTheme="minorHAnsi" w:cstheme="minorHAnsi"/>
                <w:sz w:val="22"/>
                <w:szCs w:val="22"/>
              </w:rPr>
              <w:t xml:space="preserve"> 129,722,302</w:t>
            </w:r>
          </w:p>
        </w:tc>
        <w:tc>
          <w:tcPr>
            <w:tcW w:w="3960" w:type="dxa"/>
            <w:tcBorders>
              <w:left w:val="single" w:sz="4" w:space="0" w:color="auto"/>
            </w:tcBorders>
          </w:tcPr>
          <w:p w14:paraId="258E28C7" w14:textId="77777777" w:rsidR="003F7D0B" w:rsidRPr="001C5F43" w:rsidRDefault="003F7D0B" w:rsidP="00273296">
            <w:pPr>
              <w:pStyle w:val="BodyText2"/>
              <w:numPr>
                <w:ilvl w:val="0"/>
                <w:numId w:val="7"/>
              </w:numPr>
              <w:ind w:left="409" w:hanging="450"/>
              <w:jc w:val="both"/>
              <w:rPr>
                <w:rFonts w:asciiTheme="minorHAnsi" w:hAnsiTheme="minorHAnsi" w:cstheme="minorHAnsi"/>
                <w:sz w:val="22"/>
                <w:szCs w:val="22"/>
              </w:rPr>
            </w:pPr>
            <w:r w:rsidRPr="001C5F43">
              <w:rPr>
                <w:rFonts w:asciiTheme="minorHAnsi" w:hAnsiTheme="minorHAnsi" w:cstheme="minorHAnsi"/>
                <w:sz w:val="22"/>
                <w:szCs w:val="22"/>
              </w:rPr>
              <w:t>Labour force participation rate, disaggregated by gender</w:t>
            </w:r>
          </w:p>
          <w:p w14:paraId="59BF1808" w14:textId="77777777" w:rsidR="003F7D0B" w:rsidRPr="001C5F43" w:rsidRDefault="003F7D0B" w:rsidP="002E2627">
            <w:pPr>
              <w:pStyle w:val="BodyText2"/>
              <w:jc w:val="both"/>
              <w:rPr>
                <w:rFonts w:asciiTheme="minorHAnsi" w:eastAsia="Calibri,Times New Roman" w:hAnsiTheme="minorHAnsi" w:cstheme="minorHAnsi"/>
                <w:sz w:val="22"/>
                <w:szCs w:val="22"/>
              </w:rPr>
            </w:pPr>
          </w:p>
          <w:p w14:paraId="1309DE86" w14:textId="77777777" w:rsidR="003F7D0B" w:rsidRPr="001C5F43" w:rsidRDefault="003F7D0B" w:rsidP="002E2627">
            <w:pPr>
              <w:pStyle w:val="BodyText2"/>
              <w:jc w:val="both"/>
              <w:rPr>
                <w:rFonts w:asciiTheme="minorHAnsi" w:eastAsia="Calibri,Times New Roman" w:hAnsiTheme="minorHAnsi" w:cstheme="minorHAnsi"/>
                <w:sz w:val="22"/>
                <w:szCs w:val="22"/>
              </w:rPr>
            </w:pPr>
          </w:p>
          <w:p w14:paraId="7CAA7891" w14:textId="77777777" w:rsidR="003F7D0B" w:rsidRPr="001C5F43" w:rsidRDefault="003F7D0B" w:rsidP="002E2627">
            <w:pPr>
              <w:pStyle w:val="BodyText2"/>
              <w:jc w:val="both"/>
              <w:rPr>
                <w:rFonts w:asciiTheme="minorHAnsi" w:eastAsia="Calibri,Times New Roman" w:hAnsiTheme="minorHAnsi" w:cstheme="minorHAnsi"/>
                <w:sz w:val="22"/>
                <w:szCs w:val="22"/>
              </w:rPr>
            </w:pPr>
          </w:p>
          <w:p w14:paraId="32E0543A" w14:textId="77777777" w:rsidR="003F7D0B" w:rsidRPr="001C5F43" w:rsidRDefault="003F7D0B" w:rsidP="002E2627">
            <w:pPr>
              <w:pStyle w:val="BodyText2"/>
              <w:jc w:val="both"/>
              <w:rPr>
                <w:rFonts w:asciiTheme="minorHAnsi" w:eastAsia="Calibri,Times New Roman" w:hAnsiTheme="minorHAnsi" w:cstheme="minorHAnsi"/>
                <w:sz w:val="22"/>
                <w:szCs w:val="22"/>
              </w:rPr>
            </w:pPr>
          </w:p>
          <w:p w14:paraId="630C1128" w14:textId="77777777" w:rsidR="003F7D0B" w:rsidRPr="001C5F43" w:rsidRDefault="003F7D0B" w:rsidP="002E2627">
            <w:pPr>
              <w:pStyle w:val="BodyText2"/>
              <w:jc w:val="both"/>
              <w:rPr>
                <w:rFonts w:asciiTheme="minorHAnsi" w:eastAsia="Calibri,Times New Roman" w:hAnsiTheme="minorHAnsi" w:cstheme="minorHAnsi"/>
                <w:sz w:val="22"/>
                <w:szCs w:val="22"/>
              </w:rPr>
            </w:pPr>
          </w:p>
          <w:p w14:paraId="1A65AF8A" w14:textId="77777777" w:rsidR="003F7D0B" w:rsidRPr="001C5F43" w:rsidRDefault="003F7D0B" w:rsidP="002E2627">
            <w:pPr>
              <w:pStyle w:val="BodyText2"/>
              <w:jc w:val="both"/>
              <w:rPr>
                <w:rFonts w:asciiTheme="minorHAnsi" w:eastAsia="Calibri,Times New Roman" w:hAnsiTheme="minorHAnsi" w:cstheme="minorHAnsi"/>
                <w:sz w:val="22"/>
                <w:szCs w:val="22"/>
              </w:rPr>
            </w:pPr>
          </w:p>
          <w:p w14:paraId="4A0BF43C" w14:textId="77777777" w:rsidR="003F7D0B" w:rsidRPr="001C5F43" w:rsidRDefault="003F7D0B" w:rsidP="00273296">
            <w:pPr>
              <w:pStyle w:val="BodyText2"/>
              <w:numPr>
                <w:ilvl w:val="0"/>
                <w:numId w:val="7"/>
              </w:numPr>
              <w:ind w:left="319" w:hanging="319"/>
              <w:jc w:val="both"/>
              <w:rPr>
                <w:rFonts w:asciiTheme="minorHAnsi" w:eastAsia="Calibri,Times New Roman" w:hAnsiTheme="minorHAnsi" w:cstheme="minorHAnsi"/>
                <w:sz w:val="22"/>
                <w:szCs w:val="22"/>
              </w:rPr>
            </w:pPr>
            <w:r w:rsidRPr="001C5F43">
              <w:rPr>
                <w:rFonts w:asciiTheme="minorHAnsi" w:eastAsia="Calibri,Times New Roman" w:hAnsiTheme="minorHAnsi" w:cstheme="minorHAnsi"/>
                <w:sz w:val="22"/>
                <w:szCs w:val="22"/>
              </w:rPr>
              <w:t>Percentage of poorest quintile in national consumption</w:t>
            </w:r>
          </w:p>
          <w:p w14:paraId="47A576FD" w14:textId="77777777" w:rsidR="003F7D0B" w:rsidRPr="001C5F43" w:rsidRDefault="003F7D0B" w:rsidP="002E2627">
            <w:pPr>
              <w:pStyle w:val="BodyText2"/>
              <w:jc w:val="both"/>
              <w:rPr>
                <w:rFonts w:asciiTheme="minorHAnsi" w:eastAsia="Calibri,Times New Roman" w:hAnsiTheme="minorHAnsi" w:cstheme="minorHAnsi"/>
                <w:sz w:val="22"/>
                <w:szCs w:val="22"/>
              </w:rPr>
            </w:pPr>
          </w:p>
          <w:p w14:paraId="31D2B5E8" w14:textId="77777777" w:rsidR="003F7D0B" w:rsidRPr="001C5F43" w:rsidRDefault="003F7D0B" w:rsidP="002E2627">
            <w:pPr>
              <w:pStyle w:val="BodyText2"/>
              <w:jc w:val="both"/>
              <w:rPr>
                <w:rFonts w:asciiTheme="minorHAnsi" w:eastAsia="Calibri,Times New Roman" w:hAnsiTheme="minorHAnsi" w:cstheme="minorHAnsi"/>
                <w:sz w:val="22"/>
                <w:szCs w:val="22"/>
              </w:rPr>
            </w:pPr>
          </w:p>
          <w:p w14:paraId="7B9951A1" w14:textId="5B3C9F5F" w:rsidR="003F7D0B" w:rsidRPr="001C5F43" w:rsidRDefault="00F8025C" w:rsidP="00273296">
            <w:pPr>
              <w:pStyle w:val="BodyText2"/>
              <w:numPr>
                <w:ilvl w:val="0"/>
                <w:numId w:val="7"/>
              </w:numPr>
              <w:ind w:left="319" w:hanging="319"/>
              <w:jc w:val="both"/>
              <w:rPr>
                <w:rFonts w:asciiTheme="minorHAnsi" w:eastAsia="Calibri,Times New Roman" w:hAnsiTheme="minorHAnsi" w:cstheme="minorHAnsi"/>
                <w:sz w:val="22"/>
                <w:szCs w:val="22"/>
              </w:rPr>
            </w:pPr>
            <w:r>
              <w:rPr>
                <w:rFonts w:asciiTheme="minorHAnsi" w:eastAsia="Calibri,Times New Roman" w:hAnsiTheme="minorHAnsi" w:cstheme="minorHAnsi"/>
                <w:sz w:val="22"/>
                <w:szCs w:val="22"/>
              </w:rPr>
              <w:t>Poverty h</w:t>
            </w:r>
            <w:r w:rsidR="003F7D0B" w:rsidRPr="001C5F43">
              <w:rPr>
                <w:rFonts w:asciiTheme="minorHAnsi" w:eastAsia="Calibri,Times New Roman" w:hAnsiTheme="minorHAnsi" w:cstheme="minorHAnsi"/>
                <w:sz w:val="22"/>
                <w:szCs w:val="22"/>
              </w:rPr>
              <w:t>eadcount disaggregated by rural and urban</w:t>
            </w:r>
          </w:p>
          <w:p w14:paraId="43DD9136" w14:textId="77777777" w:rsidR="003F7D0B" w:rsidRPr="001C5F43" w:rsidRDefault="003F7D0B" w:rsidP="002E2627">
            <w:pPr>
              <w:pStyle w:val="BodyText2"/>
              <w:jc w:val="both"/>
              <w:rPr>
                <w:rFonts w:asciiTheme="minorHAnsi" w:hAnsiTheme="minorHAnsi" w:cstheme="minorHAnsi"/>
                <w:sz w:val="22"/>
                <w:szCs w:val="22"/>
                <w:lang w:val="en-GB"/>
              </w:rPr>
            </w:pPr>
          </w:p>
        </w:tc>
        <w:tc>
          <w:tcPr>
            <w:tcW w:w="5467" w:type="dxa"/>
            <w:shd w:val="clear" w:color="auto" w:fill="auto"/>
          </w:tcPr>
          <w:p w14:paraId="2618AB0C" w14:textId="5772FE48" w:rsidR="003F7D0B" w:rsidRDefault="003F7D0B" w:rsidP="00273296">
            <w:pPr>
              <w:pStyle w:val="BodyText2"/>
              <w:numPr>
                <w:ilvl w:val="0"/>
                <w:numId w:val="8"/>
              </w:numPr>
              <w:ind w:left="319" w:hanging="319"/>
              <w:jc w:val="both"/>
              <w:rPr>
                <w:rFonts w:asciiTheme="minorHAnsi" w:hAnsiTheme="minorHAnsi" w:cstheme="minorHAnsi"/>
                <w:i/>
                <w:sz w:val="22"/>
                <w:szCs w:val="22"/>
              </w:rPr>
            </w:pPr>
            <w:r w:rsidRPr="001C5F43">
              <w:rPr>
                <w:rFonts w:asciiTheme="minorHAnsi" w:hAnsiTheme="minorHAnsi" w:cstheme="minorHAnsi"/>
                <w:i/>
                <w:sz w:val="22"/>
                <w:szCs w:val="22"/>
              </w:rPr>
              <w:t xml:space="preserve">In </w:t>
            </w:r>
            <w:r w:rsidR="00101123" w:rsidRPr="001C5F43">
              <w:rPr>
                <w:rFonts w:asciiTheme="minorHAnsi" w:hAnsiTheme="minorHAnsi" w:cstheme="minorHAnsi"/>
                <w:i/>
                <w:sz w:val="22"/>
                <w:szCs w:val="22"/>
              </w:rPr>
              <w:t xml:space="preserve">the </w:t>
            </w:r>
            <w:r w:rsidRPr="001C5F43">
              <w:rPr>
                <w:rFonts w:asciiTheme="minorHAnsi" w:hAnsiTheme="minorHAnsi" w:cstheme="minorHAnsi"/>
                <w:i/>
                <w:sz w:val="22"/>
                <w:szCs w:val="22"/>
              </w:rPr>
              <w:t>base</w:t>
            </w:r>
            <w:r w:rsidR="00101123" w:rsidRPr="001C5F43">
              <w:rPr>
                <w:rFonts w:asciiTheme="minorHAnsi" w:hAnsiTheme="minorHAnsi" w:cstheme="minorHAnsi"/>
                <w:i/>
                <w:sz w:val="22"/>
                <w:szCs w:val="22"/>
              </w:rPr>
              <w:t>line</w:t>
            </w:r>
            <w:r w:rsidRPr="001C5F43">
              <w:rPr>
                <w:rFonts w:asciiTheme="minorHAnsi" w:hAnsiTheme="minorHAnsi" w:cstheme="minorHAnsi"/>
                <w:i/>
                <w:sz w:val="22"/>
                <w:szCs w:val="22"/>
              </w:rPr>
              <w:t xml:space="preserve"> year</w:t>
            </w:r>
            <w:r w:rsidR="00101123" w:rsidRPr="001C5F43">
              <w:rPr>
                <w:rFonts w:asciiTheme="minorHAnsi" w:hAnsiTheme="minorHAnsi" w:cstheme="minorHAnsi"/>
                <w:i/>
                <w:sz w:val="22"/>
                <w:szCs w:val="22"/>
              </w:rPr>
              <w:t xml:space="preserve"> of</w:t>
            </w:r>
            <w:r w:rsidRPr="001C5F43">
              <w:rPr>
                <w:rFonts w:asciiTheme="minorHAnsi" w:hAnsiTheme="minorHAnsi" w:cstheme="minorHAnsi"/>
                <w:i/>
                <w:sz w:val="22"/>
                <w:szCs w:val="22"/>
              </w:rPr>
              <w:t xml:space="preserve"> 2010, the labour force participation rate was 59.3% (Women</w:t>
            </w:r>
            <w:r w:rsidR="00101123" w:rsidRPr="001C5F43">
              <w:rPr>
                <w:rFonts w:asciiTheme="minorHAnsi" w:hAnsiTheme="minorHAnsi" w:cstheme="minorHAnsi"/>
                <w:i/>
                <w:sz w:val="22"/>
                <w:szCs w:val="22"/>
              </w:rPr>
              <w:t>:</w:t>
            </w:r>
            <w:r w:rsidRPr="001C5F43">
              <w:rPr>
                <w:rFonts w:asciiTheme="minorHAnsi" w:hAnsiTheme="minorHAnsi" w:cstheme="minorHAnsi"/>
                <w:i/>
                <w:sz w:val="22"/>
                <w:szCs w:val="22"/>
              </w:rPr>
              <w:t xml:space="preserve"> 36.0%; Men</w:t>
            </w:r>
            <w:r w:rsidR="00101123" w:rsidRPr="001C5F43">
              <w:rPr>
                <w:rFonts w:asciiTheme="minorHAnsi" w:hAnsiTheme="minorHAnsi" w:cstheme="minorHAnsi"/>
                <w:i/>
                <w:sz w:val="22"/>
                <w:szCs w:val="22"/>
              </w:rPr>
              <w:t xml:space="preserve">: </w:t>
            </w:r>
            <w:r w:rsidRPr="001C5F43">
              <w:rPr>
                <w:rFonts w:asciiTheme="minorHAnsi" w:hAnsiTheme="minorHAnsi" w:cstheme="minorHAnsi"/>
                <w:i/>
                <w:sz w:val="22"/>
                <w:szCs w:val="22"/>
              </w:rPr>
              <w:t xml:space="preserve">82.5%). This rate declined to 57.1% (Women: 33.5%, Men: 81.7%) in 2013 due to the recent steep </w:t>
            </w:r>
            <w:r w:rsidR="00E97C56">
              <w:rPr>
                <w:rFonts w:asciiTheme="minorHAnsi" w:hAnsiTheme="minorHAnsi" w:cstheme="minorHAnsi"/>
                <w:i/>
                <w:sz w:val="22"/>
                <w:szCs w:val="22"/>
              </w:rPr>
              <w:t>increase in the working age</w:t>
            </w:r>
            <w:r w:rsidRPr="001C5F43">
              <w:rPr>
                <w:rFonts w:asciiTheme="minorHAnsi" w:hAnsiTheme="minorHAnsi" w:cstheme="minorHAnsi"/>
                <w:i/>
                <w:sz w:val="22"/>
                <w:szCs w:val="22"/>
              </w:rPr>
              <w:t xml:space="preserve"> populatio</w:t>
            </w:r>
            <w:r w:rsidR="00E97C56">
              <w:rPr>
                <w:rFonts w:asciiTheme="minorHAnsi" w:hAnsiTheme="minorHAnsi" w:cstheme="minorHAnsi"/>
                <w:i/>
                <w:sz w:val="22"/>
                <w:szCs w:val="22"/>
              </w:rPr>
              <w:t>n, specifically young people who have</w:t>
            </w:r>
            <w:r w:rsidRPr="001C5F43">
              <w:rPr>
                <w:rFonts w:asciiTheme="minorHAnsi" w:hAnsiTheme="minorHAnsi" w:cstheme="minorHAnsi"/>
                <w:i/>
                <w:sz w:val="22"/>
                <w:szCs w:val="22"/>
              </w:rPr>
              <w:t xml:space="preserve"> not yet participated in the labour force.</w:t>
            </w:r>
          </w:p>
          <w:p w14:paraId="6F1B887C" w14:textId="77777777" w:rsidR="002E2627" w:rsidRPr="001C5F43" w:rsidRDefault="002E2627" w:rsidP="002E2627">
            <w:pPr>
              <w:pStyle w:val="BodyText2"/>
              <w:jc w:val="both"/>
              <w:rPr>
                <w:rFonts w:asciiTheme="minorHAnsi" w:hAnsiTheme="minorHAnsi" w:cstheme="minorHAnsi"/>
                <w:i/>
                <w:sz w:val="22"/>
                <w:szCs w:val="22"/>
              </w:rPr>
            </w:pPr>
          </w:p>
          <w:p w14:paraId="1B66AA74" w14:textId="69CE5DA7" w:rsidR="003F7D0B" w:rsidRDefault="003F7D0B" w:rsidP="00273296">
            <w:pPr>
              <w:pStyle w:val="BodyText2"/>
              <w:numPr>
                <w:ilvl w:val="0"/>
                <w:numId w:val="8"/>
              </w:numPr>
              <w:ind w:left="319" w:hanging="270"/>
              <w:jc w:val="both"/>
              <w:rPr>
                <w:rFonts w:asciiTheme="minorHAnsi" w:hAnsiTheme="minorHAnsi" w:cstheme="minorHAnsi"/>
                <w:i/>
                <w:sz w:val="22"/>
                <w:szCs w:val="22"/>
              </w:rPr>
            </w:pPr>
            <w:r w:rsidRPr="001C5F43">
              <w:rPr>
                <w:rFonts w:asciiTheme="minorHAnsi" w:hAnsiTheme="minorHAnsi" w:cstheme="minorHAnsi"/>
                <w:i/>
                <w:sz w:val="22"/>
                <w:szCs w:val="22"/>
              </w:rPr>
              <w:t>According to the last Household Income and Expenditure Surv</w:t>
            </w:r>
            <w:r w:rsidR="00E97C56">
              <w:rPr>
                <w:rFonts w:asciiTheme="minorHAnsi" w:hAnsiTheme="minorHAnsi" w:cstheme="minorHAnsi"/>
                <w:i/>
                <w:sz w:val="22"/>
                <w:szCs w:val="22"/>
              </w:rPr>
              <w:t>ey (HIES) in 2010, 8.85% of people were</w:t>
            </w:r>
            <w:r w:rsidRPr="001C5F43">
              <w:rPr>
                <w:rFonts w:asciiTheme="minorHAnsi" w:hAnsiTheme="minorHAnsi" w:cstheme="minorHAnsi"/>
                <w:i/>
                <w:sz w:val="22"/>
                <w:szCs w:val="22"/>
              </w:rPr>
              <w:t xml:space="preserve"> under the poorest quintile in national consumption. The target was set </w:t>
            </w:r>
            <w:r w:rsidR="00CC78A8">
              <w:rPr>
                <w:rFonts w:asciiTheme="minorHAnsi" w:hAnsiTheme="minorHAnsi" w:cstheme="minorHAnsi"/>
                <w:i/>
                <w:sz w:val="22"/>
                <w:szCs w:val="22"/>
              </w:rPr>
              <w:t>for 10.62%, however, the data for the latest HIES, conducted every 5 years, has yet to be published.</w:t>
            </w:r>
            <w:r w:rsidRPr="001C5F43">
              <w:rPr>
                <w:rFonts w:asciiTheme="minorHAnsi" w:hAnsiTheme="minorHAnsi" w:cstheme="minorHAnsi"/>
                <w:i/>
                <w:sz w:val="22"/>
                <w:szCs w:val="22"/>
              </w:rPr>
              <w:t xml:space="preserve"> </w:t>
            </w:r>
          </w:p>
          <w:p w14:paraId="0E4FF349" w14:textId="77777777" w:rsidR="002E2627" w:rsidRPr="001C5F43" w:rsidRDefault="002E2627" w:rsidP="002E2627">
            <w:pPr>
              <w:pStyle w:val="BodyText2"/>
              <w:jc w:val="both"/>
              <w:rPr>
                <w:rFonts w:asciiTheme="minorHAnsi" w:hAnsiTheme="minorHAnsi" w:cstheme="minorHAnsi"/>
                <w:i/>
                <w:sz w:val="22"/>
                <w:szCs w:val="22"/>
              </w:rPr>
            </w:pPr>
          </w:p>
          <w:p w14:paraId="4CA5D55E" w14:textId="3FE5F002" w:rsidR="003F7D0B" w:rsidRPr="001C5F43" w:rsidRDefault="003F7D0B" w:rsidP="00273296">
            <w:pPr>
              <w:pStyle w:val="BodyText2"/>
              <w:numPr>
                <w:ilvl w:val="0"/>
                <w:numId w:val="8"/>
              </w:numPr>
              <w:ind w:left="319" w:hanging="270"/>
              <w:jc w:val="both"/>
              <w:rPr>
                <w:rFonts w:asciiTheme="minorHAnsi" w:hAnsiTheme="minorHAnsi" w:cstheme="minorHAnsi"/>
                <w:i/>
                <w:sz w:val="22"/>
                <w:szCs w:val="22"/>
              </w:rPr>
            </w:pPr>
            <w:r w:rsidRPr="001C5F43">
              <w:rPr>
                <w:rFonts w:asciiTheme="minorHAnsi" w:hAnsiTheme="minorHAnsi" w:cstheme="minorHAnsi"/>
                <w:i/>
                <w:sz w:val="22"/>
                <w:szCs w:val="22"/>
              </w:rPr>
              <w:t xml:space="preserve">In 2010, the rate of </w:t>
            </w:r>
            <w:r w:rsidR="00101123" w:rsidRPr="001C5F43">
              <w:rPr>
                <w:rFonts w:asciiTheme="minorHAnsi" w:hAnsiTheme="minorHAnsi" w:cstheme="minorHAnsi"/>
                <w:i/>
                <w:sz w:val="22"/>
                <w:szCs w:val="22"/>
              </w:rPr>
              <w:t>poverty was 31.5% (Rural: 35.2%;</w:t>
            </w:r>
            <w:r w:rsidRPr="001C5F43">
              <w:rPr>
                <w:rFonts w:asciiTheme="minorHAnsi" w:hAnsiTheme="minorHAnsi" w:cstheme="minorHAnsi"/>
                <w:i/>
                <w:sz w:val="22"/>
                <w:szCs w:val="22"/>
              </w:rPr>
              <w:t xml:space="preserve"> Urban: 21.3%). By the end of 2015, </w:t>
            </w:r>
            <w:r w:rsidR="00101123" w:rsidRPr="001C5F43">
              <w:rPr>
                <w:rFonts w:asciiTheme="minorHAnsi" w:hAnsiTheme="minorHAnsi" w:cstheme="minorHAnsi"/>
                <w:i/>
                <w:sz w:val="22"/>
                <w:szCs w:val="22"/>
              </w:rPr>
              <w:t>the rate was</w:t>
            </w:r>
            <w:r w:rsidRPr="001C5F43">
              <w:rPr>
                <w:rFonts w:asciiTheme="minorHAnsi" w:hAnsiTheme="minorHAnsi" w:cstheme="minorHAnsi"/>
                <w:i/>
                <w:sz w:val="22"/>
                <w:szCs w:val="22"/>
              </w:rPr>
              <w:t xml:space="preserve"> 24.8% (Rural: 27.7%</w:t>
            </w:r>
            <w:r w:rsidR="00101123" w:rsidRPr="001C5F43">
              <w:rPr>
                <w:rFonts w:asciiTheme="minorHAnsi" w:hAnsiTheme="minorHAnsi" w:cstheme="minorHAnsi"/>
                <w:i/>
                <w:sz w:val="22"/>
                <w:szCs w:val="22"/>
              </w:rPr>
              <w:t>;</w:t>
            </w:r>
            <w:r w:rsidRPr="001C5F43">
              <w:rPr>
                <w:rFonts w:asciiTheme="minorHAnsi" w:hAnsiTheme="minorHAnsi" w:cstheme="minorHAnsi"/>
                <w:i/>
                <w:sz w:val="22"/>
                <w:szCs w:val="22"/>
              </w:rPr>
              <w:t xml:space="preserve"> Urban: 16.8%). </w:t>
            </w:r>
          </w:p>
        </w:tc>
      </w:tr>
      <w:tr w:rsidR="00630D84" w:rsidRPr="001C5F43" w14:paraId="6AA0A64D" w14:textId="77777777" w:rsidTr="00FE0A9A">
        <w:trPr>
          <w:trHeight w:val="270"/>
        </w:trPr>
        <w:tc>
          <w:tcPr>
            <w:tcW w:w="14017" w:type="dxa"/>
            <w:gridSpan w:val="5"/>
            <w:shd w:val="clear" w:color="auto" w:fill="auto"/>
          </w:tcPr>
          <w:p w14:paraId="2FA1B415" w14:textId="3EAED5F3" w:rsidR="00630D84" w:rsidRPr="001C5F43" w:rsidRDefault="000F31C9" w:rsidP="002E2627">
            <w:pPr>
              <w:pStyle w:val="BodyText2"/>
              <w:jc w:val="both"/>
              <w:rPr>
                <w:rFonts w:asciiTheme="minorHAnsi" w:hAnsiTheme="minorHAnsi" w:cstheme="minorHAnsi"/>
                <w:sz w:val="22"/>
                <w:szCs w:val="22"/>
              </w:rPr>
            </w:pPr>
            <w:r>
              <w:rPr>
                <w:rFonts w:asciiTheme="minorHAnsi" w:hAnsiTheme="minorHAnsi" w:cstheme="minorHAnsi"/>
                <w:b/>
                <w:sz w:val="22"/>
                <w:szCs w:val="22"/>
              </w:rPr>
              <w:t>UNDP Contribution</w:t>
            </w:r>
          </w:p>
          <w:p w14:paraId="7B89A58A" w14:textId="681A8895" w:rsidR="00630D84" w:rsidRPr="001C5F43" w:rsidRDefault="00AA3FD6" w:rsidP="00E97C56">
            <w:pPr>
              <w:pStyle w:val="BodyText2"/>
              <w:jc w:val="both"/>
              <w:rPr>
                <w:rFonts w:asciiTheme="minorHAnsi" w:hAnsiTheme="minorHAnsi" w:cstheme="minorHAnsi"/>
                <w:sz w:val="22"/>
                <w:szCs w:val="22"/>
              </w:rPr>
            </w:pPr>
            <w:r>
              <w:rPr>
                <w:rFonts w:asciiTheme="minorHAnsi" w:hAnsiTheme="minorHAnsi" w:cstheme="minorHAnsi"/>
                <w:sz w:val="22"/>
                <w:szCs w:val="22"/>
              </w:rPr>
              <w:lastRenderedPageBreak/>
              <w:t>In spite of progress, there is insufficient data available to asses</w:t>
            </w:r>
            <w:r w:rsidR="00E97C56">
              <w:rPr>
                <w:rFonts w:asciiTheme="minorHAnsi" w:hAnsiTheme="minorHAnsi" w:cstheme="minorHAnsi"/>
                <w:sz w:val="22"/>
                <w:szCs w:val="22"/>
              </w:rPr>
              <w:t>s</w:t>
            </w:r>
            <w:r>
              <w:rPr>
                <w:rFonts w:asciiTheme="minorHAnsi" w:hAnsiTheme="minorHAnsi" w:cstheme="minorHAnsi"/>
                <w:sz w:val="22"/>
                <w:szCs w:val="22"/>
              </w:rPr>
              <w:t xml:space="preserve"> whether economic growth in Bangladesh has become more inclusive.  The latest labor force participation rate is from 2013, consumption data from 2010 and the Household Income and expenditure survey have b</w:t>
            </w:r>
            <w:r w:rsidR="00E97C56">
              <w:rPr>
                <w:rFonts w:asciiTheme="minorHAnsi" w:hAnsiTheme="minorHAnsi" w:cstheme="minorHAnsi"/>
                <w:sz w:val="22"/>
                <w:szCs w:val="22"/>
              </w:rPr>
              <w:t>e</w:t>
            </w:r>
            <w:r>
              <w:rPr>
                <w:rFonts w:asciiTheme="minorHAnsi" w:hAnsiTheme="minorHAnsi" w:cstheme="minorHAnsi"/>
                <w:sz w:val="22"/>
                <w:szCs w:val="22"/>
              </w:rPr>
              <w:t xml:space="preserve">en delayed and </w:t>
            </w:r>
            <w:r w:rsidR="00E97C56">
              <w:rPr>
                <w:rFonts w:asciiTheme="minorHAnsi" w:hAnsiTheme="minorHAnsi" w:cstheme="minorHAnsi"/>
                <w:sz w:val="22"/>
                <w:szCs w:val="22"/>
              </w:rPr>
              <w:t xml:space="preserve">is </w:t>
            </w:r>
            <w:r>
              <w:rPr>
                <w:rFonts w:asciiTheme="minorHAnsi" w:hAnsiTheme="minorHAnsi" w:cstheme="minorHAnsi"/>
                <w:sz w:val="22"/>
                <w:szCs w:val="22"/>
              </w:rPr>
              <w:t>expected to be finalized in 2016.  Nevertheless, there has been significant progress on this outcome.  Recent estimates suggest that the poverty h</w:t>
            </w:r>
            <w:r w:rsidR="00E97C56">
              <w:rPr>
                <w:rFonts w:asciiTheme="minorHAnsi" w:hAnsiTheme="minorHAnsi" w:cstheme="minorHAnsi"/>
                <w:sz w:val="22"/>
                <w:szCs w:val="22"/>
              </w:rPr>
              <w:t>e</w:t>
            </w:r>
            <w:r>
              <w:rPr>
                <w:rFonts w:asciiTheme="minorHAnsi" w:hAnsiTheme="minorHAnsi" w:cstheme="minorHAnsi"/>
                <w:sz w:val="22"/>
                <w:szCs w:val="22"/>
              </w:rPr>
              <w:t xml:space="preserve">ad count declined from 32% in 2010 to 25% in 2015 (MDG Progress Report 2015). </w:t>
            </w:r>
            <w:r w:rsidR="00A05BA9">
              <w:rPr>
                <w:rFonts w:asciiTheme="minorHAnsi" w:hAnsiTheme="minorHAnsi" w:cstheme="minorHAnsi"/>
                <w:sz w:val="22"/>
                <w:szCs w:val="22"/>
              </w:rPr>
              <w:t xml:space="preserve"> </w:t>
            </w:r>
            <w:r w:rsidR="001C5F43" w:rsidRPr="001C5F43">
              <w:rPr>
                <w:rFonts w:asciiTheme="minorHAnsi" w:hAnsiTheme="minorHAnsi" w:cstheme="minorHAnsi"/>
                <w:sz w:val="22"/>
                <w:szCs w:val="22"/>
              </w:rPr>
              <w:t>UNDP delivere</w:t>
            </w:r>
            <w:r>
              <w:rPr>
                <w:rFonts w:asciiTheme="minorHAnsi" w:hAnsiTheme="minorHAnsi" w:cstheme="minorHAnsi"/>
                <w:sz w:val="22"/>
                <w:szCs w:val="22"/>
              </w:rPr>
              <w:t xml:space="preserve">d three planned key outputs that </w:t>
            </w:r>
            <w:r w:rsidR="001C5F43" w:rsidRPr="001C5F43">
              <w:rPr>
                <w:rFonts w:asciiTheme="minorHAnsi" w:hAnsiTheme="minorHAnsi" w:cstheme="minorHAnsi"/>
                <w:sz w:val="22"/>
                <w:szCs w:val="22"/>
              </w:rPr>
              <w:t xml:space="preserve">provided the rural and urban poor with more economic opportunities and protected vulnerable groups against shocks: </w:t>
            </w:r>
            <w:r>
              <w:rPr>
                <w:rFonts w:asciiTheme="minorHAnsi" w:hAnsiTheme="minorHAnsi" w:cstheme="minorHAnsi"/>
                <w:sz w:val="22"/>
                <w:szCs w:val="22"/>
              </w:rPr>
              <w:t xml:space="preserve"> a) </w:t>
            </w:r>
            <w:r w:rsidR="001C5F43" w:rsidRPr="001C5F43">
              <w:rPr>
                <w:rFonts w:asciiTheme="minorHAnsi" w:hAnsiTheme="minorHAnsi" w:cstheme="minorHAnsi"/>
                <w:sz w:val="22"/>
                <w:szCs w:val="22"/>
              </w:rPr>
              <w:t>job creation and livelihood s</w:t>
            </w:r>
            <w:r>
              <w:rPr>
                <w:rFonts w:asciiTheme="minorHAnsi" w:hAnsiTheme="minorHAnsi" w:cstheme="minorHAnsi"/>
                <w:sz w:val="22"/>
                <w:szCs w:val="22"/>
              </w:rPr>
              <w:t>upport for urban and rural poor;</w:t>
            </w:r>
            <w:r w:rsidR="001C5F43" w:rsidRPr="001C5F43">
              <w:rPr>
                <w:rFonts w:asciiTheme="minorHAnsi" w:hAnsiTheme="minorHAnsi" w:cstheme="minorHAnsi"/>
                <w:sz w:val="22"/>
                <w:szCs w:val="22"/>
              </w:rPr>
              <w:t xml:space="preserve"> </w:t>
            </w:r>
            <w:r>
              <w:rPr>
                <w:rFonts w:asciiTheme="minorHAnsi" w:hAnsiTheme="minorHAnsi" w:cstheme="minorHAnsi"/>
                <w:sz w:val="22"/>
                <w:szCs w:val="22"/>
              </w:rPr>
              <w:t xml:space="preserve">b) </w:t>
            </w:r>
            <w:r w:rsidR="001C5F43" w:rsidRPr="001C5F43">
              <w:rPr>
                <w:rFonts w:asciiTheme="minorHAnsi" w:hAnsiTheme="minorHAnsi" w:cstheme="minorHAnsi"/>
                <w:sz w:val="22"/>
                <w:szCs w:val="22"/>
              </w:rPr>
              <w:t>adoption of the Na</w:t>
            </w:r>
            <w:r>
              <w:rPr>
                <w:rFonts w:asciiTheme="minorHAnsi" w:hAnsiTheme="minorHAnsi" w:cstheme="minorHAnsi"/>
                <w:sz w:val="22"/>
                <w:szCs w:val="22"/>
              </w:rPr>
              <w:t>tional Social Security Strategy;</w:t>
            </w:r>
            <w:r w:rsidR="001C5F43" w:rsidRPr="001C5F43">
              <w:rPr>
                <w:rFonts w:asciiTheme="minorHAnsi" w:hAnsiTheme="minorHAnsi" w:cstheme="minorHAnsi"/>
                <w:sz w:val="22"/>
                <w:szCs w:val="22"/>
              </w:rPr>
              <w:t xml:space="preserve"> and </w:t>
            </w:r>
            <w:r>
              <w:rPr>
                <w:rFonts w:asciiTheme="minorHAnsi" w:hAnsiTheme="minorHAnsi" w:cstheme="minorHAnsi"/>
                <w:sz w:val="22"/>
                <w:szCs w:val="22"/>
              </w:rPr>
              <w:t xml:space="preserve">c) </w:t>
            </w:r>
            <w:r w:rsidR="001C5F43" w:rsidRPr="001C5F43">
              <w:rPr>
                <w:rFonts w:asciiTheme="minorHAnsi" w:hAnsiTheme="minorHAnsi" w:cstheme="minorHAnsi"/>
                <w:sz w:val="22"/>
                <w:szCs w:val="22"/>
              </w:rPr>
              <w:t>adoption of a new national development plan focused on pro-poor economic growth, sustainable development, and resilience.</w:t>
            </w:r>
            <w:r w:rsidR="00A05BA9">
              <w:rPr>
                <w:rFonts w:asciiTheme="minorHAnsi" w:hAnsiTheme="minorHAnsi" w:cstheme="minorHAnsi"/>
                <w:sz w:val="22"/>
                <w:szCs w:val="22"/>
              </w:rPr>
              <w:t xml:space="preserve">  UNDP approach in supporting the government’s planning and testing models of poverty reduction has proven effective and sustainable.  For example, the UNDP supported national urban poverty programme is being scaled up to reach 9 million urban poor.  Notably, the UNDP targeted interventions in the CHT region </w:t>
            </w:r>
            <w:r w:rsidR="00E97C56">
              <w:rPr>
                <w:rFonts w:asciiTheme="minorHAnsi" w:hAnsiTheme="minorHAnsi" w:cstheme="minorHAnsi"/>
                <w:sz w:val="22"/>
                <w:szCs w:val="22"/>
              </w:rPr>
              <w:t>helped raise the incomes of tribal groups</w:t>
            </w:r>
            <w:r w:rsidR="00A05BA9">
              <w:rPr>
                <w:rFonts w:asciiTheme="minorHAnsi" w:hAnsiTheme="minorHAnsi" w:cstheme="minorHAnsi"/>
                <w:sz w:val="22"/>
                <w:szCs w:val="22"/>
              </w:rPr>
              <w:t xml:space="preserve"> considerably and reduc</w:t>
            </w:r>
            <w:r w:rsidR="00E97C56">
              <w:rPr>
                <w:rFonts w:asciiTheme="minorHAnsi" w:hAnsiTheme="minorHAnsi" w:cstheme="minorHAnsi"/>
                <w:sz w:val="22"/>
                <w:szCs w:val="22"/>
              </w:rPr>
              <w:t>e income gaps between tribal</w:t>
            </w:r>
            <w:r w:rsidR="00A05BA9">
              <w:rPr>
                <w:rFonts w:asciiTheme="minorHAnsi" w:hAnsiTheme="minorHAnsi" w:cstheme="minorHAnsi"/>
                <w:sz w:val="22"/>
                <w:szCs w:val="22"/>
              </w:rPr>
              <w:t xml:space="preserve"> and Bengali communities.   Overall, UNDP contributions to this outcome are well recognized by the midterm outcome review and partners reviews, including DFID project reviews (rating UNDP systematically with A).  </w:t>
            </w:r>
          </w:p>
        </w:tc>
      </w:tr>
      <w:tr w:rsidR="00630D84" w:rsidRPr="001C5F43" w14:paraId="5BC03B39" w14:textId="77777777" w:rsidTr="00FE0A9A">
        <w:trPr>
          <w:trHeight w:val="270"/>
        </w:trPr>
        <w:tc>
          <w:tcPr>
            <w:tcW w:w="14017" w:type="dxa"/>
            <w:gridSpan w:val="5"/>
            <w:shd w:val="clear" w:color="auto" w:fill="auto"/>
          </w:tcPr>
          <w:p w14:paraId="497F770A" w14:textId="77777777" w:rsidR="00AA3FD6" w:rsidRPr="001C5F43" w:rsidRDefault="00AA3FD6" w:rsidP="00AA3FD6">
            <w:pPr>
              <w:pStyle w:val="BodyText2"/>
              <w:jc w:val="both"/>
              <w:rPr>
                <w:rFonts w:asciiTheme="minorHAnsi" w:hAnsiTheme="minorHAnsi" w:cstheme="minorHAnsi"/>
                <w:sz w:val="22"/>
                <w:szCs w:val="22"/>
              </w:rPr>
            </w:pPr>
            <w:r>
              <w:rPr>
                <w:rFonts w:asciiTheme="minorHAnsi" w:hAnsiTheme="minorHAnsi" w:cstheme="minorHAnsi"/>
                <w:b/>
                <w:sz w:val="22"/>
                <w:szCs w:val="22"/>
              </w:rPr>
              <w:lastRenderedPageBreak/>
              <w:t>Progress and Achievement</w:t>
            </w:r>
          </w:p>
          <w:p w14:paraId="7E9A449F" w14:textId="4AEDCC16" w:rsidR="001C5F43" w:rsidRPr="001C5F43" w:rsidRDefault="00AA3FD6" w:rsidP="002E2627">
            <w:pPr>
              <w:jc w:val="both"/>
              <w:rPr>
                <w:rFonts w:asciiTheme="minorHAnsi" w:hAnsiTheme="minorHAnsi" w:cstheme="minorHAnsi"/>
                <w:sz w:val="22"/>
                <w:szCs w:val="22"/>
              </w:rPr>
            </w:pPr>
            <w:r>
              <w:rPr>
                <w:rFonts w:asciiTheme="minorHAnsi" w:hAnsiTheme="minorHAnsi" w:cstheme="minorHAnsi"/>
                <w:sz w:val="22"/>
                <w:szCs w:val="22"/>
              </w:rPr>
              <w:t>a)  U</w:t>
            </w:r>
            <w:r w:rsidR="001C5F43" w:rsidRPr="001C5F43">
              <w:rPr>
                <w:rFonts w:asciiTheme="minorHAnsi" w:hAnsiTheme="minorHAnsi" w:cstheme="minorHAnsi"/>
                <w:sz w:val="22"/>
                <w:szCs w:val="22"/>
              </w:rPr>
              <w:t>NDP programme and technical support helped create approximately 3.6 million jobs and strengthened livelihoods for urban and rural poor and vulnerable people. UNDP-led interventions on agriculture, skills and vocational training in farming methods and techniques benefited over 187</w:t>
            </w:r>
            <w:r w:rsidR="00E97C56">
              <w:rPr>
                <w:rFonts w:asciiTheme="minorHAnsi" w:hAnsiTheme="minorHAnsi" w:cstheme="minorHAnsi"/>
                <w:sz w:val="22"/>
                <w:szCs w:val="22"/>
              </w:rPr>
              <w:t>,000 extreme poor and tribal</w:t>
            </w:r>
            <w:r w:rsidR="001C5F43" w:rsidRPr="001C5F43">
              <w:rPr>
                <w:rFonts w:asciiTheme="minorHAnsi" w:hAnsiTheme="minorHAnsi" w:cstheme="minorHAnsi"/>
                <w:sz w:val="22"/>
                <w:szCs w:val="22"/>
              </w:rPr>
              <w:t xml:space="preserve"> people in the CHT region (50% women). Around 330,000 urban poor that received UNDP enterprise grants and apprenticeships remained employed.  </w:t>
            </w:r>
            <w:r w:rsidR="00A05BA9">
              <w:rPr>
                <w:rFonts w:asciiTheme="minorHAnsi" w:hAnsiTheme="minorHAnsi" w:cstheme="minorHAnsi"/>
                <w:sz w:val="22"/>
                <w:szCs w:val="22"/>
              </w:rPr>
              <w:t>UNDP used a multidimensional approach to support job creation and to strengthen livelihoods. The rate of improvement in multidimensional aspects of poverty (access to health services, clean water, sanitation and education) was higher in UND</w:t>
            </w:r>
            <w:r w:rsidR="00E97C56">
              <w:rPr>
                <w:rFonts w:asciiTheme="minorHAnsi" w:hAnsiTheme="minorHAnsi" w:cstheme="minorHAnsi"/>
                <w:sz w:val="22"/>
                <w:szCs w:val="22"/>
              </w:rPr>
              <w:t>P</w:t>
            </w:r>
            <w:r w:rsidR="00A05BA9">
              <w:rPr>
                <w:rFonts w:asciiTheme="minorHAnsi" w:hAnsiTheme="minorHAnsi" w:cstheme="minorHAnsi"/>
                <w:sz w:val="22"/>
                <w:szCs w:val="22"/>
              </w:rPr>
              <w:t xml:space="preserve"> supported areas than in control groups (Midterm outcome evaluation 2.1).  </w:t>
            </w:r>
          </w:p>
          <w:p w14:paraId="782EE9EB" w14:textId="157DABC4" w:rsidR="001C5F43" w:rsidRPr="001C5F43" w:rsidRDefault="00AA3FD6" w:rsidP="002E2627">
            <w:pPr>
              <w:jc w:val="both"/>
              <w:rPr>
                <w:rFonts w:asciiTheme="minorHAnsi" w:hAnsiTheme="minorHAnsi" w:cstheme="minorHAnsi"/>
                <w:sz w:val="22"/>
                <w:szCs w:val="22"/>
              </w:rPr>
            </w:pPr>
            <w:r w:rsidRPr="00AA3FD6">
              <w:rPr>
                <w:rFonts w:asciiTheme="minorHAnsi" w:hAnsiTheme="minorHAnsi" w:cstheme="minorHAnsi"/>
                <w:sz w:val="22"/>
                <w:szCs w:val="22"/>
              </w:rPr>
              <w:t xml:space="preserve">b) </w:t>
            </w:r>
            <w:r w:rsidR="001C5F43" w:rsidRPr="001C5F43">
              <w:rPr>
                <w:rFonts w:asciiTheme="minorHAnsi" w:hAnsiTheme="minorHAnsi" w:cstheme="minorHAnsi"/>
                <w:sz w:val="22"/>
                <w:szCs w:val="22"/>
              </w:rPr>
              <w:t xml:space="preserve"> UNDP technical and advocacy support and assistance with consultations and coordination across line ministries helped Bangladesh adopt a National Social Security Strategy. UNDP has been supporting government efforts to operationalize the Strategy across ministries. For example, the National Forum for Social Protection, set up with UNDP policy advocacy support, will pilot grievance systems to strengthen governmen</w:t>
            </w:r>
            <w:r w:rsidR="00E97C56">
              <w:rPr>
                <w:rFonts w:asciiTheme="minorHAnsi" w:hAnsiTheme="minorHAnsi" w:cstheme="minorHAnsi"/>
                <w:sz w:val="22"/>
                <w:szCs w:val="22"/>
              </w:rPr>
              <w:t>t accountability. UNDP-</w:t>
            </w:r>
            <w:r w:rsidR="001C5F43" w:rsidRPr="001C5F43">
              <w:rPr>
                <w:rFonts w:asciiTheme="minorHAnsi" w:hAnsiTheme="minorHAnsi" w:cstheme="minorHAnsi"/>
                <w:sz w:val="22"/>
                <w:szCs w:val="22"/>
              </w:rPr>
              <w:t>pilot</w:t>
            </w:r>
            <w:r w:rsidR="00E97C56">
              <w:rPr>
                <w:rFonts w:asciiTheme="minorHAnsi" w:hAnsiTheme="minorHAnsi" w:cstheme="minorHAnsi"/>
                <w:sz w:val="22"/>
                <w:szCs w:val="22"/>
              </w:rPr>
              <w:t>ed</w:t>
            </w:r>
            <w:r w:rsidR="001C5F43" w:rsidRPr="001C5F43">
              <w:rPr>
                <w:rFonts w:asciiTheme="minorHAnsi" w:hAnsiTheme="minorHAnsi" w:cstheme="minorHAnsi"/>
                <w:sz w:val="22"/>
                <w:szCs w:val="22"/>
              </w:rPr>
              <w:t xml:space="preserve"> social protection schemes</w:t>
            </w:r>
            <w:r w:rsidR="00E97C56">
              <w:rPr>
                <w:rFonts w:asciiTheme="minorHAnsi" w:hAnsiTheme="minorHAnsi" w:cstheme="minorHAnsi"/>
                <w:sz w:val="22"/>
                <w:szCs w:val="22"/>
              </w:rPr>
              <w:t>,</w:t>
            </w:r>
            <w:r w:rsidR="001C5F43" w:rsidRPr="001C5F43">
              <w:rPr>
                <w:rFonts w:asciiTheme="minorHAnsi" w:hAnsiTheme="minorHAnsi" w:cstheme="minorHAnsi"/>
                <w:sz w:val="22"/>
                <w:szCs w:val="22"/>
              </w:rPr>
              <w:t xml:space="preserve"> involving cash grants and food transfers</w:t>
            </w:r>
            <w:r w:rsidR="00E97C56">
              <w:rPr>
                <w:rFonts w:asciiTheme="minorHAnsi" w:hAnsiTheme="minorHAnsi" w:cstheme="minorHAnsi"/>
                <w:sz w:val="22"/>
                <w:szCs w:val="22"/>
              </w:rPr>
              <w:t>,</w:t>
            </w:r>
            <w:r w:rsidR="001C5F43" w:rsidRPr="001C5F43">
              <w:rPr>
                <w:rFonts w:asciiTheme="minorHAnsi" w:hAnsiTheme="minorHAnsi" w:cstheme="minorHAnsi"/>
                <w:sz w:val="22"/>
                <w:szCs w:val="22"/>
              </w:rPr>
              <w:t xml:space="preserve"> targeting poor and vulnerable people in rural areas are helping the government implement the Strategy.</w:t>
            </w:r>
            <w:r w:rsidR="00E97C56">
              <w:rPr>
                <w:rFonts w:asciiTheme="minorHAnsi" w:hAnsiTheme="minorHAnsi" w:cstheme="minorHAnsi"/>
                <w:sz w:val="22"/>
                <w:szCs w:val="22"/>
              </w:rPr>
              <w:t xml:space="preserve"> The DFID annual review rated UNDP support with an ‘A’</w:t>
            </w:r>
            <w:r w:rsidR="001C5F43" w:rsidRPr="001C5F43">
              <w:rPr>
                <w:rFonts w:asciiTheme="minorHAnsi" w:hAnsiTheme="minorHAnsi" w:cstheme="minorHAnsi"/>
                <w:sz w:val="22"/>
                <w:szCs w:val="22"/>
              </w:rPr>
              <w:t xml:space="preserve">.   </w:t>
            </w:r>
          </w:p>
          <w:p w14:paraId="44CD8082" w14:textId="6EB0B63C" w:rsidR="00630D84" w:rsidRDefault="00AA3FD6" w:rsidP="00AA3FD6">
            <w:pPr>
              <w:jc w:val="both"/>
              <w:rPr>
                <w:rFonts w:asciiTheme="minorHAnsi" w:hAnsiTheme="minorHAnsi" w:cstheme="minorHAnsi"/>
                <w:sz w:val="22"/>
                <w:szCs w:val="22"/>
              </w:rPr>
            </w:pPr>
            <w:r>
              <w:rPr>
                <w:rFonts w:asciiTheme="minorHAnsi" w:hAnsiTheme="minorHAnsi" w:cstheme="minorHAnsi"/>
                <w:sz w:val="22"/>
                <w:szCs w:val="22"/>
              </w:rPr>
              <w:t>c) B</w:t>
            </w:r>
            <w:r w:rsidR="001C5F43" w:rsidRPr="001C5F43">
              <w:rPr>
                <w:rFonts w:asciiTheme="minorHAnsi" w:hAnsiTheme="minorHAnsi" w:cstheme="minorHAnsi"/>
                <w:sz w:val="22"/>
                <w:szCs w:val="22"/>
              </w:rPr>
              <w:t>angladesh adopted the 7th five-year plan, which focuses on pro-poor economic growth, sustainable development and resilience. UNDP technical advice and capacity support to the Planning Commission included policy diagnostics, risk analysis and broad national- and local-level consultations to promote alignment with the post-2015 agenda. Consequently, 14 of 17 goals are thematically fully aligned with the SDGs. This plan includes government commitments to implement the CHT Peace Accord by 2021. This is a significant result given that implementation of the Peace Accord in the C</w:t>
            </w:r>
            <w:r w:rsidR="00E97C56">
              <w:rPr>
                <w:rFonts w:asciiTheme="minorHAnsi" w:hAnsiTheme="minorHAnsi" w:cstheme="minorHAnsi"/>
                <w:sz w:val="22"/>
                <w:szCs w:val="22"/>
              </w:rPr>
              <w:t xml:space="preserve">HT is lagging, marginalizing </w:t>
            </w:r>
            <w:r w:rsidR="001C5F43" w:rsidRPr="001C5F43">
              <w:rPr>
                <w:rFonts w:asciiTheme="minorHAnsi" w:hAnsiTheme="minorHAnsi" w:cstheme="minorHAnsi"/>
                <w:sz w:val="22"/>
                <w:szCs w:val="22"/>
              </w:rPr>
              <w:t>the poorest and most vulnerable. Such policy achievements followed from UNDP long-term engagement and policy advocacy in the CHT. Further, UNDP technical support helped establi</w:t>
            </w:r>
            <w:r w:rsidR="00E97C56">
              <w:rPr>
                <w:rFonts w:asciiTheme="minorHAnsi" w:hAnsiTheme="minorHAnsi" w:cstheme="minorHAnsi"/>
                <w:sz w:val="22"/>
                <w:szCs w:val="22"/>
              </w:rPr>
              <w:t>sh two</w:t>
            </w:r>
            <w:r w:rsidR="001C5F43" w:rsidRPr="001C5F43">
              <w:rPr>
                <w:rFonts w:asciiTheme="minorHAnsi" w:hAnsiTheme="minorHAnsi" w:cstheme="minorHAnsi"/>
                <w:sz w:val="22"/>
                <w:szCs w:val="22"/>
              </w:rPr>
              <w:t xml:space="preserve"> economic advisory units in the Ministry of Pl</w:t>
            </w:r>
            <w:r w:rsidR="00EA6469">
              <w:rPr>
                <w:rFonts w:asciiTheme="minorHAnsi" w:hAnsiTheme="minorHAnsi" w:cstheme="minorHAnsi"/>
                <w:sz w:val="22"/>
                <w:szCs w:val="22"/>
              </w:rPr>
              <w:t>anning to help ensure the Plan</w:t>
            </w:r>
            <w:r w:rsidR="001C5F43" w:rsidRPr="001C5F43">
              <w:rPr>
                <w:rFonts w:asciiTheme="minorHAnsi" w:hAnsiTheme="minorHAnsi" w:cstheme="minorHAnsi"/>
                <w:sz w:val="22"/>
                <w:szCs w:val="22"/>
              </w:rPr>
              <w:t xml:space="preserve"> has a pro-poor focus.</w:t>
            </w:r>
          </w:p>
          <w:p w14:paraId="7666AB22" w14:textId="09A9E85B" w:rsidR="00AA3FD6" w:rsidRPr="001C5F43" w:rsidRDefault="00AA3FD6" w:rsidP="00AA3FD6">
            <w:pPr>
              <w:jc w:val="both"/>
              <w:rPr>
                <w:rFonts w:asciiTheme="minorHAnsi" w:hAnsiTheme="minorHAnsi" w:cstheme="minorHAnsi"/>
                <w:sz w:val="22"/>
                <w:szCs w:val="22"/>
              </w:rPr>
            </w:pPr>
          </w:p>
        </w:tc>
      </w:tr>
      <w:tr w:rsidR="00630D84" w:rsidRPr="001C5F43" w14:paraId="1D304603" w14:textId="77777777" w:rsidTr="00FE0A9A">
        <w:trPr>
          <w:trHeight w:val="270"/>
        </w:trPr>
        <w:tc>
          <w:tcPr>
            <w:tcW w:w="14017" w:type="dxa"/>
            <w:gridSpan w:val="5"/>
            <w:shd w:val="clear" w:color="auto" w:fill="auto"/>
          </w:tcPr>
          <w:p w14:paraId="5DE7437F" w14:textId="77777777" w:rsidR="00630D84" w:rsidRPr="001C5F43" w:rsidRDefault="00630D84" w:rsidP="002E2627">
            <w:pPr>
              <w:pStyle w:val="BodyText2"/>
              <w:jc w:val="both"/>
              <w:rPr>
                <w:rFonts w:asciiTheme="minorHAnsi" w:hAnsiTheme="minorHAnsi" w:cstheme="minorHAnsi"/>
                <w:sz w:val="22"/>
                <w:szCs w:val="22"/>
              </w:rPr>
            </w:pPr>
            <w:r w:rsidRPr="001C5F43">
              <w:rPr>
                <w:rFonts w:asciiTheme="minorHAnsi" w:hAnsiTheme="minorHAnsi" w:cstheme="minorHAnsi"/>
                <w:b/>
                <w:sz w:val="22"/>
                <w:szCs w:val="22"/>
              </w:rPr>
              <w:t>Gender</w:t>
            </w:r>
            <w:r w:rsidRPr="001C5F43">
              <w:rPr>
                <w:rFonts w:asciiTheme="minorHAnsi" w:hAnsiTheme="minorHAnsi" w:cstheme="minorHAnsi"/>
                <w:sz w:val="22"/>
                <w:szCs w:val="22"/>
              </w:rPr>
              <w:t>:</w:t>
            </w:r>
          </w:p>
          <w:p w14:paraId="78ACEDEB" w14:textId="3B8A600B" w:rsidR="00630D84" w:rsidRPr="001C5F43" w:rsidRDefault="00A05BA9" w:rsidP="004215EB">
            <w:pPr>
              <w:pStyle w:val="BodyText2"/>
              <w:jc w:val="both"/>
              <w:rPr>
                <w:rFonts w:asciiTheme="minorHAnsi" w:hAnsiTheme="minorHAnsi" w:cstheme="minorHAnsi"/>
                <w:sz w:val="22"/>
                <w:szCs w:val="22"/>
              </w:rPr>
            </w:pPr>
            <w:r w:rsidRPr="004215EB">
              <w:rPr>
                <w:rFonts w:asciiTheme="minorHAnsi" w:hAnsiTheme="minorHAnsi" w:cstheme="minorHAnsi"/>
                <w:sz w:val="22"/>
                <w:szCs w:val="22"/>
              </w:rPr>
              <w:t>The gender marker indicates that 9</w:t>
            </w:r>
            <w:r w:rsidR="004215EB" w:rsidRPr="004215EB">
              <w:rPr>
                <w:rFonts w:asciiTheme="minorHAnsi" w:hAnsiTheme="minorHAnsi" w:cstheme="minorHAnsi"/>
                <w:sz w:val="22"/>
                <w:szCs w:val="22"/>
              </w:rPr>
              <w:t xml:space="preserve">9% of total UNDP programme resources </w:t>
            </w:r>
            <w:r w:rsidRPr="004215EB">
              <w:rPr>
                <w:rFonts w:asciiTheme="minorHAnsi" w:hAnsiTheme="minorHAnsi" w:cstheme="minorHAnsi"/>
                <w:sz w:val="22"/>
                <w:szCs w:val="22"/>
              </w:rPr>
              <w:t xml:space="preserve">contributed to gender equality in a principal or significant way.  </w:t>
            </w:r>
            <w:r w:rsidR="001C5F43" w:rsidRPr="001C5F43">
              <w:rPr>
                <w:rFonts w:asciiTheme="minorHAnsi" w:hAnsiTheme="minorHAnsi" w:cstheme="minorHAnsi"/>
                <w:sz w:val="22"/>
                <w:szCs w:val="22"/>
              </w:rPr>
              <w:t xml:space="preserve">UNDP’s targeted approach (employment and training opportunities and building leadership skills) enhanced the ability of poor women to participate in the economy. In </w:t>
            </w:r>
            <w:r w:rsidR="001C5F43" w:rsidRPr="001C5F43">
              <w:rPr>
                <w:rFonts w:asciiTheme="minorHAnsi" w:hAnsiTheme="minorHAnsi" w:cstheme="minorHAnsi"/>
                <w:sz w:val="22"/>
                <w:szCs w:val="22"/>
              </w:rPr>
              <w:lastRenderedPageBreak/>
              <w:t>urban slums, 90% of community development committees and federations’ elected members were women. 37 of these leader</w:t>
            </w:r>
            <w:r w:rsidR="00BA5B83">
              <w:rPr>
                <w:rFonts w:asciiTheme="minorHAnsi" w:hAnsiTheme="minorHAnsi" w:cstheme="minorHAnsi"/>
                <w:sz w:val="22"/>
                <w:szCs w:val="22"/>
              </w:rPr>
              <w:t xml:space="preserve">s, following UNDP </w:t>
            </w:r>
            <w:r w:rsidR="001C5F43" w:rsidRPr="001C5F43">
              <w:rPr>
                <w:rFonts w:asciiTheme="minorHAnsi" w:hAnsiTheme="minorHAnsi" w:cstheme="minorHAnsi"/>
                <w:sz w:val="22"/>
                <w:szCs w:val="22"/>
              </w:rPr>
              <w:t>capacity building, ran for local government elections</w:t>
            </w:r>
            <w:r w:rsidR="00EA6469">
              <w:rPr>
                <w:rFonts w:asciiTheme="minorHAnsi" w:hAnsiTheme="minorHAnsi" w:cstheme="minorHAnsi"/>
                <w:sz w:val="22"/>
                <w:szCs w:val="22"/>
              </w:rPr>
              <w:t xml:space="preserve"> in 2015</w:t>
            </w:r>
            <w:r w:rsidR="001C5F43" w:rsidRPr="001C5F43">
              <w:rPr>
                <w:rFonts w:asciiTheme="minorHAnsi" w:hAnsiTheme="minorHAnsi" w:cstheme="minorHAnsi"/>
                <w:sz w:val="22"/>
                <w:szCs w:val="22"/>
              </w:rPr>
              <w:t>; 11 were elected.</w:t>
            </w:r>
            <w:r w:rsidR="00B119AA">
              <w:rPr>
                <w:rFonts w:asciiTheme="minorHAnsi" w:hAnsiTheme="minorHAnsi" w:cstheme="minorHAnsi"/>
                <w:sz w:val="22"/>
                <w:szCs w:val="22"/>
              </w:rPr>
              <w:t xml:space="preserve"> Further, the government is scaling up another successful </w:t>
            </w:r>
            <w:r w:rsidR="00BA5B83">
              <w:rPr>
                <w:rFonts w:asciiTheme="minorHAnsi" w:hAnsiTheme="minorHAnsi" w:cstheme="minorHAnsi"/>
                <w:sz w:val="22"/>
                <w:szCs w:val="22"/>
              </w:rPr>
              <w:t xml:space="preserve">UNDP </w:t>
            </w:r>
            <w:r w:rsidR="00B119AA">
              <w:rPr>
                <w:rFonts w:asciiTheme="minorHAnsi" w:hAnsiTheme="minorHAnsi" w:cstheme="minorHAnsi"/>
                <w:sz w:val="22"/>
                <w:szCs w:val="22"/>
              </w:rPr>
              <w:t>pilot p</w:t>
            </w:r>
            <w:r w:rsidR="00EA6469">
              <w:rPr>
                <w:rFonts w:asciiTheme="minorHAnsi" w:hAnsiTheme="minorHAnsi" w:cstheme="minorHAnsi"/>
                <w:sz w:val="22"/>
                <w:szCs w:val="22"/>
              </w:rPr>
              <w:t>rogramme that generated jobs for</w:t>
            </w:r>
            <w:r w:rsidR="00B119AA">
              <w:rPr>
                <w:rFonts w:asciiTheme="minorHAnsi" w:hAnsiTheme="minorHAnsi" w:cstheme="minorHAnsi"/>
                <w:sz w:val="22"/>
                <w:szCs w:val="22"/>
              </w:rPr>
              <w:t xml:space="preserve"> extremely poor women widows and heads </w:t>
            </w:r>
            <w:r w:rsidR="00EA6469">
              <w:rPr>
                <w:rFonts w:asciiTheme="minorHAnsi" w:hAnsiTheme="minorHAnsi" w:cstheme="minorHAnsi"/>
                <w:sz w:val="22"/>
                <w:szCs w:val="22"/>
              </w:rPr>
              <w:t>of households.</w:t>
            </w:r>
          </w:p>
        </w:tc>
      </w:tr>
      <w:tr w:rsidR="00630D84" w:rsidRPr="001C5F43" w14:paraId="0E48C6C5" w14:textId="77777777" w:rsidTr="00FE0A9A">
        <w:tc>
          <w:tcPr>
            <w:tcW w:w="3060" w:type="dxa"/>
            <w:shd w:val="clear" w:color="auto" w:fill="95B3D7" w:themeFill="accent1" w:themeFillTint="99"/>
          </w:tcPr>
          <w:p w14:paraId="7CDC1535" w14:textId="77777777" w:rsidR="00630D84" w:rsidRPr="001C5F43" w:rsidRDefault="00630D84"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lastRenderedPageBreak/>
              <w:t>4. By 2016, populations vulnerable to climate change and natural disaster have become more resilient to adapt to risks.</w:t>
            </w:r>
          </w:p>
        </w:tc>
        <w:tc>
          <w:tcPr>
            <w:tcW w:w="1530" w:type="dxa"/>
            <w:gridSpan w:val="2"/>
            <w:shd w:val="clear" w:color="auto" w:fill="auto"/>
          </w:tcPr>
          <w:p w14:paraId="22267B9B" w14:textId="2F51D80B" w:rsidR="00630D84" w:rsidRPr="001C5F43" w:rsidRDefault="00996080" w:rsidP="002E2627">
            <w:pPr>
              <w:pStyle w:val="BodyText2"/>
              <w:jc w:val="both"/>
              <w:rPr>
                <w:rFonts w:asciiTheme="minorHAnsi" w:hAnsiTheme="minorHAnsi" w:cstheme="minorHAnsi"/>
                <w:sz w:val="22"/>
                <w:szCs w:val="22"/>
                <w:highlight w:val="yellow"/>
              </w:rPr>
            </w:pPr>
            <w:r>
              <w:rPr>
                <w:rFonts w:asciiTheme="minorHAnsi" w:hAnsiTheme="minorHAnsi" w:cstheme="minorHAnsi"/>
                <w:sz w:val="22"/>
                <w:szCs w:val="22"/>
              </w:rPr>
              <w:t xml:space="preserve">$ </w:t>
            </w:r>
            <w:r w:rsidRPr="00996080">
              <w:rPr>
                <w:rFonts w:asciiTheme="minorHAnsi" w:hAnsiTheme="minorHAnsi" w:cstheme="minorHAnsi"/>
                <w:sz w:val="22"/>
                <w:szCs w:val="22"/>
              </w:rPr>
              <w:t xml:space="preserve"> 70,645,361</w:t>
            </w:r>
          </w:p>
        </w:tc>
        <w:tc>
          <w:tcPr>
            <w:tcW w:w="3960" w:type="dxa"/>
            <w:tcBorders>
              <w:left w:val="single" w:sz="4" w:space="0" w:color="auto"/>
            </w:tcBorders>
          </w:tcPr>
          <w:p w14:paraId="3960ABC5" w14:textId="77777777" w:rsidR="00630D84" w:rsidRPr="001C5F43" w:rsidRDefault="00630D84" w:rsidP="00273296">
            <w:pPr>
              <w:pStyle w:val="BodyText2"/>
              <w:numPr>
                <w:ilvl w:val="0"/>
                <w:numId w:val="9"/>
              </w:numPr>
              <w:ind w:left="319"/>
              <w:jc w:val="both"/>
              <w:rPr>
                <w:rFonts w:asciiTheme="minorHAnsi" w:hAnsiTheme="minorHAnsi" w:cstheme="minorHAnsi"/>
                <w:sz w:val="22"/>
                <w:szCs w:val="22"/>
              </w:rPr>
            </w:pPr>
            <w:r w:rsidRPr="001C5F43">
              <w:rPr>
                <w:rFonts w:asciiTheme="minorHAnsi" w:eastAsia="Garamond,Times New Roman" w:hAnsiTheme="minorHAnsi" w:cstheme="minorHAnsi"/>
                <w:color w:val="000000" w:themeColor="text1"/>
                <w:sz w:val="22"/>
                <w:szCs w:val="22"/>
                <w:lang w:val="en-GB"/>
              </w:rPr>
              <w:t>Environment, climate and disaster vulnerability index</w:t>
            </w:r>
          </w:p>
          <w:p w14:paraId="4CAA82D3" w14:textId="77777777" w:rsidR="00630D84" w:rsidRPr="001C5F43" w:rsidRDefault="00630D84" w:rsidP="002E2627">
            <w:pPr>
              <w:pStyle w:val="BodyText2"/>
              <w:ind w:left="319"/>
              <w:jc w:val="both"/>
              <w:rPr>
                <w:rFonts w:asciiTheme="minorHAnsi" w:hAnsiTheme="minorHAnsi" w:cstheme="minorHAnsi"/>
                <w:sz w:val="22"/>
                <w:szCs w:val="22"/>
              </w:rPr>
            </w:pPr>
          </w:p>
          <w:p w14:paraId="4469C5D3" w14:textId="77777777" w:rsidR="00630D84" w:rsidRPr="001C5F43" w:rsidRDefault="00630D84" w:rsidP="00273296">
            <w:pPr>
              <w:pStyle w:val="BodyText2"/>
              <w:numPr>
                <w:ilvl w:val="0"/>
                <w:numId w:val="9"/>
              </w:numPr>
              <w:ind w:left="319"/>
              <w:jc w:val="both"/>
              <w:rPr>
                <w:rFonts w:asciiTheme="minorHAnsi" w:hAnsiTheme="minorHAnsi" w:cstheme="minorHAnsi"/>
                <w:sz w:val="22"/>
                <w:szCs w:val="22"/>
              </w:rPr>
            </w:pPr>
            <w:r w:rsidRPr="001C5F43">
              <w:rPr>
                <w:rFonts w:asciiTheme="minorHAnsi" w:eastAsia="Garamond,Times New Roman" w:hAnsiTheme="minorHAnsi" w:cstheme="minorHAnsi"/>
                <w:color w:val="000000" w:themeColor="text1"/>
                <w:sz w:val="22"/>
                <w:szCs w:val="22"/>
                <w:lang w:val="en-GB"/>
              </w:rPr>
              <w:t>Community Asset Score for disaster risk and reduction</w:t>
            </w:r>
          </w:p>
          <w:p w14:paraId="28D6FC15" w14:textId="77777777" w:rsidR="00630D84" w:rsidRPr="001C5F43" w:rsidRDefault="00630D84" w:rsidP="002E2627">
            <w:pPr>
              <w:pStyle w:val="BodyText2"/>
              <w:jc w:val="both"/>
              <w:rPr>
                <w:rFonts w:asciiTheme="minorHAnsi" w:hAnsiTheme="minorHAnsi" w:cstheme="minorHAnsi"/>
                <w:sz w:val="22"/>
                <w:szCs w:val="22"/>
              </w:rPr>
            </w:pPr>
          </w:p>
        </w:tc>
        <w:tc>
          <w:tcPr>
            <w:tcW w:w="5467" w:type="dxa"/>
            <w:shd w:val="clear" w:color="auto" w:fill="auto"/>
          </w:tcPr>
          <w:p w14:paraId="5A916F98" w14:textId="489231EA" w:rsidR="00630D84" w:rsidRDefault="00630D84" w:rsidP="00273296">
            <w:pPr>
              <w:pStyle w:val="BodyText2"/>
              <w:numPr>
                <w:ilvl w:val="0"/>
                <w:numId w:val="10"/>
              </w:numPr>
              <w:ind w:left="319" w:hanging="270"/>
              <w:jc w:val="both"/>
              <w:rPr>
                <w:rFonts w:asciiTheme="minorHAnsi" w:hAnsiTheme="minorHAnsi" w:cstheme="minorHAnsi"/>
                <w:i/>
                <w:sz w:val="22"/>
                <w:szCs w:val="22"/>
              </w:rPr>
            </w:pPr>
            <w:r w:rsidRPr="001C5F43">
              <w:rPr>
                <w:rFonts w:asciiTheme="minorHAnsi" w:hAnsiTheme="minorHAnsi" w:cstheme="minorHAnsi"/>
                <w:i/>
                <w:sz w:val="22"/>
                <w:szCs w:val="22"/>
              </w:rPr>
              <w:t xml:space="preserve">In 2011, </w:t>
            </w:r>
            <w:r w:rsidR="004627DB" w:rsidRPr="001C5F43">
              <w:rPr>
                <w:rFonts w:asciiTheme="minorHAnsi" w:hAnsiTheme="minorHAnsi" w:cstheme="minorHAnsi"/>
                <w:i/>
                <w:sz w:val="22"/>
                <w:szCs w:val="22"/>
              </w:rPr>
              <w:t xml:space="preserve">the baseline was set as a </w:t>
            </w:r>
            <w:r w:rsidRPr="001C5F43">
              <w:rPr>
                <w:rFonts w:asciiTheme="minorHAnsi" w:hAnsiTheme="minorHAnsi" w:cstheme="minorHAnsi"/>
                <w:i/>
                <w:sz w:val="22"/>
                <w:szCs w:val="22"/>
              </w:rPr>
              <w:t xml:space="preserve">0% reduction in Environment, </w:t>
            </w:r>
            <w:r w:rsidR="004627DB" w:rsidRPr="001C5F43">
              <w:rPr>
                <w:rFonts w:asciiTheme="minorHAnsi" w:hAnsiTheme="minorHAnsi" w:cstheme="minorHAnsi"/>
                <w:i/>
                <w:sz w:val="22"/>
                <w:szCs w:val="22"/>
              </w:rPr>
              <w:t>C</w:t>
            </w:r>
            <w:r w:rsidRPr="001C5F43">
              <w:rPr>
                <w:rFonts w:asciiTheme="minorHAnsi" w:hAnsiTheme="minorHAnsi" w:cstheme="minorHAnsi"/>
                <w:i/>
                <w:sz w:val="22"/>
                <w:szCs w:val="22"/>
              </w:rPr>
              <w:t xml:space="preserve">limate and </w:t>
            </w:r>
            <w:r w:rsidR="004627DB" w:rsidRPr="001C5F43">
              <w:rPr>
                <w:rFonts w:asciiTheme="minorHAnsi" w:hAnsiTheme="minorHAnsi" w:cstheme="minorHAnsi"/>
                <w:i/>
                <w:sz w:val="22"/>
                <w:szCs w:val="22"/>
              </w:rPr>
              <w:t>D</w:t>
            </w:r>
            <w:r w:rsidRPr="001C5F43">
              <w:rPr>
                <w:rFonts w:asciiTheme="minorHAnsi" w:hAnsiTheme="minorHAnsi" w:cstheme="minorHAnsi"/>
                <w:i/>
                <w:sz w:val="22"/>
                <w:szCs w:val="22"/>
              </w:rPr>
              <w:t xml:space="preserve">isaster </w:t>
            </w:r>
            <w:r w:rsidR="004627DB" w:rsidRPr="001C5F43">
              <w:rPr>
                <w:rFonts w:asciiTheme="minorHAnsi" w:hAnsiTheme="minorHAnsi" w:cstheme="minorHAnsi"/>
                <w:i/>
                <w:sz w:val="22"/>
                <w:szCs w:val="22"/>
              </w:rPr>
              <w:t>V</w:t>
            </w:r>
            <w:r w:rsidRPr="001C5F43">
              <w:rPr>
                <w:rFonts w:asciiTheme="minorHAnsi" w:hAnsiTheme="minorHAnsi" w:cstheme="minorHAnsi"/>
                <w:i/>
                <w:sz w:val="22"/>
                <w:szCs w:val="22"/>
              </w:rPr>
              <w:t xml:space="preserve">ulnerability </w:t>
            </w:r>
            <w:r w:rsidR="004627DB" w:rsidRPr="001C5F43">
              <w:rPr>
                <w:rFonts w:asciiTheme="minorHAnsi" w:hAnsiTheme="minorHAnsi" w:cstheme="minorHAnsi"/>
                <w:i/>
                <w:sz w:val="22"/>
                <w:szCs w:val="22"/>
              </w:rPr>
              <w:t>I</w:t>
            </w:r>
            <w:r w:rsidRPr="001C5F43">
              <w:rPr>
                <w:rFonts w:asciiTheme="minorHAnsi" w:hAnsiTheme="minorHAnsi" w:cstheme="minorHAnsi"/>
                <w:i/>
                <w:sz w:val="22"/>
                <w:szCs w:val="22"/>
              </w:rPr>
              <w:t>ndex. By the end of 2014, the index made a significant change with 19% of reduction</w:t>
            </w:r>
            <w:r w:rsidR="004627DB" w:rsidRPr="001C5F43">
              <w:rPr>
                <w:rFonts w:asciiTheme="minorHAnsi" w:hAnsiTheme="minorHAnsi" w:cstheme="minorHAnsi"/>
                <w:i/>
                <w:sz w:val="22"/>
                <w:szCs w:val="22"/>
              </w:rPr>
              <w:t>, which was maintained by the end of 2015</w:t>
            </w:r>
            <w:r w:rsidRPr="001C5F43">
              <w:rPr>
                <w:rFonts w:asciiTheme="minorHAnsi" w:hAnsiTheme="minorHAnsi" w:cstheme="minorHAnsi"/>
                <w:i/>
                <w:sz w:val="22"/>
                <w:szCs w:val="22"/>
              </w:rPr>
              <w:t>.</w:t>
            </w:r>
          </w:p>
          <w:p w14:paraId="08CB6069" w14:textId="77777777" w:rsidR="002E2627" w:rsidRPr="001C5F43" w:rsidRDefault="002E2627" w:rsidP="002E2627">
            <w:pPr>
              <w:pStyle w:val="BodyText2"/>
              <w:ind w:left="49"/>
              <w:jc w:val="both"/>
              <w:rPr>
                <w:rFonts w:asciiTheme="minorHAnsi" w:hAnsiTheme="minorHAnsi" w:cstheme="minorHAnsi"/>
                <w:i/>
                <w:sz w:val="22"/>
                <w:szCs w:val="22"/>
              </w:rPr>
            </w:pPr>
          </w:p>
          <w:p w14:paraId="1872FC61" w14:textId="3327EE4A" w:rsidR="00630D84" w:rsidRPr="001C5F43" w:rsidRDefault="004627DB" w:rsidP="00273296">
            <w:pPr>
              <w:pStyle w:val="BodyText2"/>
              <w:numPr>
                <w:ilvl w:val="0"/>
                <w:numId w:val="10"/>
              </w:numPr>
              <w:ind w:left="319" w:hanging="319"/>
              <w:jc w:val="both"/>
              <w:rPr>
                <w:rFonts w:asciiTheme="minorHAnsi" w:hAnsiTheme="minorHAnsi" w:cstheme="minorHAnsi"/>
                <w:i/>
                <w:sz w:val="22"/>
                <w:szCs w:val="22"/>
              </w:rPr>
            </w:pPr>
            <w:r w:rsidRPr="001C5F43">
              <w:rPr>
                <w:rFonts w:asciiTheme="minorHAnsi" w:hAnsiTheme="minorHAnsi" w:cstheme="minorHAnsi"/>
                <w:i/>
                <w:sz w:val="22"/>
                <w:szCs w:val="22"/>
              </w:rPr>
              <w:t xml:space="preserve">In </w:t>
            </w:r>
            <w:r w:rsidR="00630D84" w:rsidRPr="001C5F43">
              <w:rPr>
                <w:rFonts w:asciiTheme="minorHAnsi" w:hAnsiTheme="minorHAnsi" w:cstheme="minorHAnsi"/>
                <w:i/>
                <w:sz w:val="22"/>
                <w:szCs w:val="22"/>
              </w:rPr>
              <w:t>2011,</w:t>
            </w:r>
            <w:r w:rsidRPr="001C5F43">
              <w:rPr>
                <w:rFonts w:asciiTheme="minorHAnsi" w:hAnsiTheme="minorHAnsi" w:cstheme="minorHAnsi"/>
                <w:i/>
                <w:sz w:val="22"/>
                <w:szCs w:val="22"/>
              </w:rPr>
              <w:t xml:space="preserve"> the baseline for the</w:t>
            </w:r>
            <w:r w:rsidR="00630D84" w:rsidRPr="001C5F43">
              <w:rPr>
                <w:rFonts w:asciiTheme="minorHAnsi" w:hAnsiTheme="minorHAnsi" w:cstheme="minorHAnsi"/>
                <w:i/>
                <w:sz w:val="22"/>
                <w:szCs w:val="22"/>
              </w:rPr>
              <w:t xml:space="preserve"> Community Asset Score for disaster risk and reduction was 90. By the end of 2015, </w:t>
            </w:r>
            <w:r w:rsidR="00BA5B83">
              <w:rPr>
                <w:rFonts w:asciiTheme="minorHAnsi" w:hAnsiTheme="minorHAnsi" w:cstheme="minorHAnsi"/>
                <w:i/>
                <w:sz w:val="22"/>
                <w:szCs w:val="22"/>
              </w:rPr>
              <w:t>significant progress was</w:t>
            </w:r>
            <w:r w:rsidR="00630D84" w:rsidRPr="001C5F43">
              <w:rPr>
                <w:rFonts w:asciiTheme="minorHAnsi" w:hAnsiTheme="minorHAnsi" w:cstheme="minorHAnsi"/>
                <w:i/>
                <w:sz w:val="22"/>
                <w:szCs w:val="22"/>
              </w:rPr>
              <w:t xml:space="preserve"> made and </w:t>
            </w:r>
            <w:r w:rsidR="00BA5B83">
              <w:rPr>
                <w:rFonts w:asciiTheme="minorHAnsi" w:hAnsiTheme="minorHAnsi" w:cstheme="minorHAnsi"/>
                <w:i/>
                <w:sz w:val="22"/>
                <w:szCs w:val="22"/>
              </w:rPr>
              <w:t xml:space="preserve">the </w:t>
            </w:r>
            <w:r w:rsidR="00630D84" w:rsidRPr="001C5F43">
              <w:rPr>
                <w:rFonts w:asciiTheme="minorHAnsi" w:hAnsiTheme="minorHAnsi" w:cstheme="minorHAnsi"/>
                <w:i/>
                <w:sz w:val="22"/>
                <w:szCs w:val="22"/>
              </w:rPr>
              <w:t>current status of</w:t>
            </w:r>
            <w:r w:rsidRPr="001C5F43">
              <w:rPr>
                <w:rFonts w:asciiTheme="minorHAnsi" w:hAnsiTheme="minorHAnsi" w:cstheme="minorHAnsi"/>
                <w:i/>
                <w:sz w:val="22"/>
                <w:szCs w:val="22"/>
              </w:rPr>
              <w:t xml:space="preserve"> the</w:t>
            </w:r>
            <w:r w:rsidR="00630D84" w:rsidRPr="001C5F43">
              <w:rPr>
                <w:rFonts w:asciiTheme="minorHAnsi" w:hAnsiTheme="minorHAnsi" w:cstheme="minorHAnsi"/>
                <w:i/>
                <w:sz w:val="22"/>
                <w:szCs w:val="22"/>
              </w:rPr>
              <w:t xml:space="preserve"> community asset score is 267.</w:t>
            </w:r>
          </w:p>
        </w:tc>
      </w:tr>
      <w:tr w:rsidR="00630D84" w:rsidRPr="001C5F43" w14:paraId="4E59867D" w14:textId="77777777" w:rsidTr="00FE0A9A">
        <w:trPr>
          <w:trHeight w:val="270"/>
        </w:trPr>
        <w:tc>
          <w:tcPr>
            <w:tcW w:w="14017" w:type="dxa"/>
            <w:gridSpan w:val="5"/>
            <w:shd w:val="clear" w:color="auto" w:fill="auto"/>
          </w:tcPr>
          <w:p w14:paraId="754536B9" w14:textId="7A477511" w:rsidR="00630D84" w:rsidRPr="001C5F43" w:rsidRDefault="000F31C9" w:rsidP="002E2627">
            <w:pPr>
              <w:pStyle w:val="BodyText2"/>
              <w:jc w:val="both"/>
              <w:rPr>
                <w:rFonts w:asciiTheme="minorHAnsi" w:hAnsiTheme="minorHAnsi" w:cstheme="minorHAnsi"/>
                <w:sz w:val="22"/>
                <w:szCs w:val="22"/>
              </w:rPr>
            </w:pPr>
            <w:r>
              <w:rPr>
                <w:rFonts w:asciiTheme="minorHAnsi" w:hAnsiTheme="minorHAnsi" w:cstheme="minorHAnsi"/>
                <w:b/>
                <w:sz w:val="22"/>
                <w:szCs w:val="22"/>
              </w:rPr>
              <w:t>UNDP Contribution</w:t>
            </w:r>
            <w:r w:rsidR="00630D84" w:rsidRPr="001C5F43">
              <w:rPr>
                <w:rFonts w:asciiTheme="minorHAnsi" w:hAnsiTheme="minorHAnsi" w:cstheme="minorHAnsi"/>
                <w:sz w:val="22"/>
                <w:szCs w:val="22"/>
              </w:rPr>
              <w:t>:</w:t>
            </w:r>
          </w:p>
          <w:p w14:paraId="09243D8A" w14:textId="0FA3F2FD" w:rsidR="00630D84" w:rsidRPr="001C5F43" w:rsidRDefault="00B119AA" w:rsidP="00B119AA">
            <w:pPr>
              <w:pStyle w:val="BodyText2"/>
              <w:jc w:val="both"/>
              <w:rPr>
                <w:rFonts w:asciiTheme="minorHAnsi" w:hAnsiTheme="minorHAnsi" w:cstheme="minorHAnsi"/>
                <w:sz w:val="22"/>
                <w:szCs w:val="22"/>
              </w:rPr>
            </w:pPr>
            <w:r>
              <w:rPr>
                <w:rFonts w:asciiTheme="minorHAnsi" w:hAnsiTheme="minorHAnsi" w:cstheme="minorHAnsi"/>
                <w:sz w:val="22"/>
                <w:szCs w:val="22"/>
              </w:rPr>
              <w:t xml:space="preserve">As evidenced by the outcome midterm evaluation, UNDP </w:t>
            </w:r>
            <w:r w:rsidR="00BA5B83">
              <w:rPr>
                <w:rFonts w:asciiTheme="minorHAnsi" w:hAnsiTheme="minorHAnsi" w:cstheme="minorHAnsi"/>
                <w:sz w:val="22"/>
                <w:szCs w:val="22"/>
              </w:rPr>
              <w:t>made significant contribution</w:t>
            </w:r>
            <w:r>
              <w:rPr>
                <w:rFonts w:asciiTheme="minorHAnsi" w:hAnsiTheme="minorHAnsi" w:cstheme="minorHAnsi"/>
                <w:sz w:val="22"/>
                <w:szCs w:val="22"/>
              </w:rPr>
              <w:t xml:space="preserve"> </w:t>
            </w:r>
            <w:r w:rsidR="00BA5B83">
              <w:rPr>
                <w:rFonts w:asciiTheme="minorHAnsi" w:hAnsiTheme="minorHAnsi" w:cstheme="minorHAnsi"/>
                <w:sz w:val="22"/>
                <w:szCs w:val="22"/>
              </w:rPr>
              <w:t>to making</w:t>
            </w:r>
            <w:r w:rsidR="001C5F43" w:rsidRPr="001C5F43">
              <w:rPr>
                <w:rFonts w:asciiTheme="minorHAnsi" w:hAnsiTheme="minorHAnsi" w:cstheme="minorHAnsi"/>
                <w:sz w:val="22"/>
                <w:szCs w:val="22"/>
              </w:rPr>
              <w:t xml:space="preserve"> vulnerable people in Bangladesh more resilient to climate change and natural disasters</w:t>
            </w:r>
            <w:r>
              <w:rPr>
                <w:rFonts w:asciiTheme="minorHAnsi" w:hAnsiTheme="minorHAnsi" w:cstheme="minorHAnsi"/>
                <w:sz w:val="22"/>
                <w:szCs w:val="22"/>
              </w:rPr>
              <w:t>. UNDP delivered three key outputs (amongst others)</w:t>
            </w:r>
            <w:r w:rsidR="001C5F43" w:rsidRPr="001C5F43">
              <w:rPr>
                <w:rFonts w:asciiTheme="minorHAnsi" w:hAnsiTheme="minorHAnsi" w:cstheme="minorHAnsi"/>
                <w:sz w:val="22"/>
                <w:szCs w:val="22"/>
              </w:rPr>
              <w:t xml:space="preserve">: </w:t>
            </w:r>
            <w:r>
              <w:rPr>
                <w:rFonts w:asciiTheme="minorHAnsi" w:hAnsiTheme="minorHAnsi" w:cstheme="minorHAnsi"/>
                <w:sz w:val="22"/>
                <w:szCs w:val="22"/>
              </w:rPr>
              <w:t xml:space="preserve">a) </w:t>
            </w:r>
            <w:r w:rsidR="001C5F43" w:rsidRPr="001C5F43">
              <w:rPr>
                <w:rFonts w:asciiTheme="minorHAnsi" w:hAnsiTheme="minorHAnsi" w:cstheme="minorHAnsi"/>
                <w:sz w:val="22"/>
                <w:szCs w:val="22"/>
              </w:rPr>
              <w:t>emergency and disaster</w:t>
            </w:r>
            <w:r>
              <w:rPr>
                <w:rFonts w:asciiTheme="minorHAnsi" w:hAnsiTheme="minorHAnsi" w:cstheme="minorHAnsi"/>
                <w:sz w:val="22"/>
                <w:szCs w:val="22"/>
              </w:rPr>
              <w:t>-resilient jobs and livelihoods;</w:t>
            </w:r>
            <w:r w:rsidR="001C5F43" w:rsidRPr="001C5F43">
              <w:rPr>
                <w:rFonts w:asciiTheme="minorHAnsi" w:hAnsiTheme="minorHAnsi" w:cstheme="minorHAnsi"/>
                <w:sz w:val="22"/>
                <w:szCs w:val="22"/>
              </w:rPr>
              <w:t xml:space="preserve"> </w:t>
            </w:r>
            <w:r>
              <w:rPr>
                <w:rFonts w:asciiTheme="minorHAnsi" w:hAnsiTheme="minorHAnsi" w:cstheme="minorHAnsi"/>
                <w:sz w:val="22"/>
                <w:szCs w:val="22"/>
              </w:rPr>
              <w:t xml:space="preserve">b) </w:t>
            </w:r>
            <w:r w:rsidR="001C5F43" w:rsidRPr="001C5F43">
              <w:rPr>
                <w:rFonts w:asciiTheme="minorHAnsi" w:hAnsiTheme="minorHAnsi" w:cstheme="minorHAnsi"/>
                <w:sz w:val="22"/>
                <w:szCs w:val="22"/>
              </w:rPr>
              <w:t>a stronger knowledge base for a culture of safety and resilience in Bangladesh, including disaster volunteer readiness</w:t>
            </w:r>
            <w:r>
              <w:rPr>
                <w:rFonts w:asciiTheme="minorHAnsi" w:hAnsiTheme="minorHAnsi" w:cstheme="minorHAnsi"/>
                <w:sz w:val="22"/>
                <w:szCs w:val="22"/>
              </w:rPr>
              <w:t xml:space="preserve">; c) </w:t>
            </w:r>
            <w:r w:rsidRPr="001C5F43">
              <w:rPr>
                <w:rFonts w:asciiTheme="minorHAnsi" w:hAnsiTheme="minorHAnsi" w:cstheme="minorHAnsi"/>
                <w:sz w:val="22"/>
                <w:szCs w:val="22"/>
              </w:rPr>
              <w:t>better organized disaster management response,</w:t>
            </w:r>
            <w:r>
              <w:rPr>
                <w:rFonts w:asciiTheme="minorHAnsi" w:hAnsiTheme="minorHAnsi" w:cstheme="minorHAnsi"/>
                <w:sz w:val="22"/>
                <w:szCs w:val="22"/>
              </w:rPr>
              <w:t xml:space="preserve"> including through participatory risk planning</w:t>
            </w:r>
            <w:r w:rsidR="00BA5B83">
              <w:rPr>
                <w:rFonts w:asciiTheme="minorHAnsi" w:hAnsiTheme="minorHAnsi" w:cstheme="minorHAnsi"/>
                <w:sz w:val="22"/>
                <w:szCs w:val="22"/>
              </w:rPr>
              <w:t>.</w:t>
            </w:r>
          </w:p>
        </w:tc>
      </w:tr>
      <w:tr w:rsidR="00630D84" w:rsidRPr="001C5F43" w14:paraId="7324F6C2" w14:textId="77777777" w:rsidTr="00FE0A9A">
        <w:trPr>
          <w:trHeight w:val="270"/>
        </w:trPr>
        <w:tc>
          <w:tcPr>
            <w:tcW w:w="14017" w:type="dxa"/>
            <w:gridSpan w:val="5"/>
            <w:shd w:val="clear" w:color="auto" w:fill="auto"/>
          </w:tcPr>
          <w:p w14:paraId="4AA0E689" w14:textId="77777777" w:rsidR="000F31C9" w:rsidRPr="001C5F43" w:rsidRDefault="000F31C9" w:rsidP="000F31C9">
            <w:pPr>
              <w:pStyle w:val="BodyText2"/>
              <w:jc w:val="both"/>
              <w:rPr>
                <w:rFonts w:asciiTheme="minorHAnsi" w:hAnsiTheme="minorHAnsi" w:cstheme="minorHAnsi"/>
                <w:sz w:val="22"/>
                <w:szCs w:val="22"/>
              </w:rPr>
            </w:pPr>
            <w:r w:rsidRPr="001C5F43">
              <w:rPr>
                <w:rFonts w:asciiTheme="minorHAnsi" w:hAnsiTheme="minorHAnsi" w:cstheme="minorHAnsi"/>
                <w:b/>
                <w:sz w:val="22"/>
                <w:szCs w:val="22"/>
              </w:rPr>
              <w:t>Progress and Achievements</w:t>
            </w:r>
            <w:r w:rsidRPr="001C5F43">
              <w:rPr>
                <w:rFonts w:asciiTheme="minorHAnsi" w:hAnsiTheme="minorHAnsi" w:cstheme="minorHAnsi"/>
                <w:sz w:val="22"/>
                <w:szCs w:val="22"/>
              </w:rPr>
              <w:t>:</w:t>
            </w:r>
          </w:p>
          <w:p w14:paraId="6577DFF2" w14:textId="1DA241B7" w:rsidR="001C5F43" w:rsidRPr="001C5F43" w:rsidRDefault="001C5F43" w:rsidP="002E2627">
            <w:pPr>
              <w:jc w:val="both"/>
              <w:rPr>
                <w:rFonts w:asciiTheme="minorHAnsi" w:hAnsiTheme="minorHAnsi" w:cstheme="minorHAnsi"/>
                <w:sz w:val="22"/>
                <w:szCs w:val="22"/>
              </w:rPr>
            </w:pPr>
            <w:r w:rsidRPr="00BA5B83">
              <w:rPr>
                <w:rFonts w:asciiTheme="minorHAnsi" w:hAnsiTheme="minorHAnsi" w:cstheme="minorHAnsi"/>
                <w:sz w:val="22"/>
                <w:szCs w:val="22"/>
              </w:rPr>
              <w:t>a)</w:t>
            </w:r>
            <w:r w:rsidRPr="001C5F43">
              <w:rPr>
                <w:rFonts w:asciiTheme="minorHAnsi" w:hAnsiTheme="minorHAnsi" w:cstheme="minorHAnsi"/>
                <w:sz w:val="22"/>
                <w:szCs w:val="22"/>
              </w:rPr>
              <w:t xml:space="preserve"> UNDP-supported disaster management and early recovery programmes benefited over 3.4 million highly vulnerable people (40% women) with emergency and disaster-resilient jobs and livelihood opportunities. This was the result of 35,000 UNDP-supported disaster risk reduction interventions, including disaster resilient homes, embankments and afforestation. Further, UNDP-facilitated cash grants and cash for work initiatives helped over 18,000 families in 7 districts restore their livelihoods and helped local governments rehabilitate community infrastructure in line with local development plans.</w:t>
            </w:r>
          </w:p>
          <w:p w14:paraId="5E5BE0DC" w14:textId="5F01DDED" w:rsidR="00630D84" w:rsidRDefault="001C5F43" w:rsidP="00F54F59">
            <w:pPr>
              <w:jc w:val="both"/>
              <w:rPr>
                <w:rFonts w:asciiTheme="minorHAnsi" w:hAnsiTheme="minorHAnsi" w:cstheme="minorHAnsi"/>
                <w:sz w:val="22"/>
                <w:szCs w:val="22"/>
              </w:rPr>
            </w:pPr>
            <w:r w:rsidRPr="00BA5B83">
              <w:rPr>
                <w:rFonts w:asciiTheme="minorHAnsi" w:hAnsiTheme="minorHAnsi" w:cstheme="minorHAnsi"/>
                <w:sz w:val="22"/>
                <w:szCs w:val="22"/>
              </w:rPr>
              <w:t xml:space="preserve">b) UNDP </w:t>
            </w:r>
            <w:r w:rsidRPr="001C5F43">
              <w:rPr>
                <w:rFonts w:asciiTheme="minorHAnsi" w:hAnsiTheme="minorHAnsi" w:cstheme="minorHAnsi"/>
                <w:sz w:val="22"/>
                <w:szCs w:val="22"/>
              </w:rPr>
              <w:t xml:space="preserve">contributed to knowledge building and a culture of safety and resilience to disaster and climate risks in Bangladesh. UNDP supported the setting up of a Disaster Management Information Centre and prepared over 600 knowledge products on disaster management and response. UNDP also set up a disaster management e-library with over 1,000 publicly accessible knowledge products (accessed by 63,000 people and served 1.2 million search results in 2015). UNDP supported local governments </w:t>
            </w:r>
            <w:r w:rsidR="00BA5B83">
              <w:rPr>
                <w:rFonts w:asciiTheme="minorHAnsi" w:hAnsiTheme="minorHAnsi" w:cstheme="minorHAnsi"/>
                <w:sz w:val="22"/>
                <w:szCs w:val="22"/>
              </w:rPr>
              <w:t xml:space="preserve">to </w:t>
            </w:r>
            <w:r w:rsidRPr="001C5F43">
              <w:rPr>
                <w:rFonts w:asciiTheme="minorHAnsi" w:hAnsiTheme="minorHAnsi" w:cstheme="minorHAnsi"/>
                <w:sz w:val="22"/>
                <w:szCs w:val="22"/>
              </w:rPr>
              <w:t>prepare disaster contingency plans across three major cities, covering 6 million people. With UNDP support, 245 mayors can use the local governance risk assessment toolkit; 70 master trainers and 1,470 members of local government (230 of them women) have operative knowledge for the time before, during and after an emergency.</w:t>
            </w:r>
            <w:r w:rsidR="00F54F59">
              <w:rPr>
                <w:rFonts w:asciiTheme="minorHAnsi" w:hAnsiTheme="minorHAnsi" w:cstheme="minorHAnsi"/>
                <w:sz w:val="22"/>
                <w:szCs w:val="22"/>
              </w:rPr>
              <w:t xml:space="preserve"> </w:t>
            </w:r>
            <w:r w:rsidRPr="001C5F43">
              <w:rPr>
                <w:rFonts w:asciiTheme="minorHAnsi" w:hAnsiTheme="minorHAnsi" w:cstheme="minorHAnsi"/>
                <w:sz w:val="22"/>
                <w:szCs w:val="22"/>
              </w:rPr>
              <w:t>In 7 cities, UNDP mobilized and built the skills of 30,000 urban volunteers (7,000 of them women) to respond to disasters. UNDP supported setting up an integrated urban disaster volunteer organization that will assimilate the volunteers into a structured system for more effective follow up and response. The innovative UNDP-de</w:t>
            </w:r>
            <w:r w:rsidR="00BA5B83">
              <w:rPr>
                <w:rFonts w:asciiTheme="minorHAnsi" w:hAnsiTheme="minorHAnsi" w:cstheme="minorHAnsi"/>
                <w:sz w:val="22"/>
                <w:szCs w:val="22"/>
              </w:rPr>
              <w:t xml:space="preserve">veloped volunteer mechanism is </w:t>
            </w:r>
            <w:r w:rsidRPr="001C5F43">
              <w:rPr>
                <w:rFonts w:asciiTheme="minorHAnsi" w:hAnsiTheme="minorHAnsi" w:cstheme="minorHAnsi"/>
                <w:sz w:val="22"/>
                <w:szCs w:val="22"/>
              </w:rPr>
              <w:t>being scaled up by the World Bank, who will finance the training of a further 32,000 volunteers.</w:t>
            </w:r>
          </w:p>
          <w:p w14:paraId="2B65957F" w14:textId="0E949A7A" w:rsidR="00F54F59" w:rsidRPr="001C5F43" w:rsidRDefault="00F54F59" w:rsidP="008A7436">
            <w:pPr>
              <w:jc w:val="both"/>
              <w:rPr>
                <w:rFonts w:asciiTheme="minorHAnsi" w:hAnsiTheme="minorHAnsi" w:cstheme="minorHAnsi"/>
                <w:b/>
                <w:sz w:val="22"/>
                <w:szCs w:val="22"/>
              </w:rPr>
            </w:pPr>
            <w:r>
              <w:rPr>
                <w:rFonts w:asciiTheme="minorHAnsi" w:hAnsiTheme="minorHAnsi" w:cstheme="minorHAnsi"/>
                <w:sz w:val="22"/>
                <w:szCs w:val="22"/>
              </w:rPr>
              <w:t xml:space="preserve">c) 14 </w:t>
            </w:r>
            <w:r w:rsidR="008A7436">
              <w:rPr>
                <w:rFonts w:asciiTheme="minorHAnsi" w:hAnsiTheme="minorHAnsi" w:cstheme="minorHAnsi"/>
                <w:sz w:val="22"/>
                <w:szCs w:val="22"/>
              </w:rPr>
              <w:t>major</w:t>
            </w:r>
            <w:r>
              <w:rPr>
                <w:rFonts w:asciiTheme="minorHAnsi" w:hAnsiTheme="minorHAnsi" w:cstheme="minorHAnsi"/>
                <w:sz w:val="22"/>
                <w:szCs w:val="22"/>
              </w:rPr>
              <w:t xml:space="preserve"> cities in Bangladesh are </w:t>
            </w:r>
            <w:r w:rsidR="008A7436">
              <w:rPr>
                <w:rFonts w:asciiTheme="minorHAnsi" w:hAnsiTheme="minorHAnsi" w:cstheme="minorHAnsi"/>
                <w:sz w:val="22"/>
                <w:szCs w:val="22"/>
              </w:rPr>
              <w:t>replicating</w:t>
            </w:r>
            <w:r>
              <w:rPr>
                <w:rFonts w:asciiTheme="minorHAnsi" w:hAnsiTheme="minorHAnsi" w:cstheme="minorHAnsi"/>
                <w:sz w:val="22"/>
                <w:szCs w:val="22"/>
              </w:rPr>
              <w:t xml:space="preserve"> an innovative, UNDP-piloted risk informed </w:t>
            </w:r>
            <w:r w:rsidR="008A7436">
              <w:rPr>
                <w:rFonts w:asciiTheme="minorHAnsi" w:hAnsiTheme="minorHAnsi" w:cstheme="minorHAnsi"/>
                <w:sz w:val="22"/>
                <w:szCs w:val="22"/>
              </w:rPr>
              <w:t>participatory</w:t>
            </w:r>
            <w:r>
              <w:rPr>
                <w:rFonts w:asciiTheme="minorHAnsi" w:hAnsiTheme="minorHAnsi" w:cstheme="minorHAnsi"/>
                <w:sz w:val="22"/>
                <w:szCs w:val="22"/>
              </w:rPr>
              <w:t xml:space="preserve"> planning </w:t>
            </w:r>
            <w:r w:rsidR="008A7436">
              <w:rPr>
                <w:rFonts w:asciiTheme="minorHAnsi" w:hAnsiTheme="minorHAnsi" w:cstheme="minorHAnsi"/>
                <w:sz w:val="22"/>
                <w:szCs w:val="22"/>
              </w:rPr>
              <w:t>process (</w:t>
            </w:r>
            <w:r>
              <w:rPr>
                <w:rFonts w:asciiTheme="minorHAnsi" w:hAnsiTheme="minorHAnsi" w:cstheme="minorHAnsi"/>
                <w:sz w:val="22"/>
                <w:szCs w:val="22"/>
              </w:rPr>
              <w:t xml:space="preserve">Final Evaluation of CDMP 2015). </w:t>
            </w:r>
            <w:r>
              <w:rPr>
                <w:rFonts w:asciiTheme="minorHAnsi" w:hAnsiTheme="minorHAnsi" w:cstheme="minorHAnsi"/>
                <w:sz w:val="22"/>
                <w:szCs w:val="22"/>
              </w:rPr>
              <w:lastRenderedPageBreak/>
              <w:t xml:space="preserve">In other cities, 8 million </w:t>
            </w:r>
            <w:r w:rsidR="008A7436">
              <w:rPr>
                <w:rFonts w:asciiTheme="minorHAnsi" w:hAnsiTheme="minorHAnsi" w:cstheme="minorHAnsi"/>
                <w:sz w:val="22"/>
                <w:szCs w:val="22"/>
              </w:rPr>
              <w:t xml:space="preserve">people have benefitted from enhanced earthquake preparedness and faster responses.  UNDP supported-seismic risk assessment were critical to preparing contingency plan and responses. </w:t>
            </w:r>
          </w:p>
        </w:tc>
      </w:tr>
      <w:tr w:rsidR="00630D84" w:rsidRPr="001C5F43" w14:paraId="74C7090F" w14:textId="77777777" w:rsidTr="00FE0A9A">
        <w:trPr>
          <w:trHeight w:val="270"/>
        </w:trPr>
        <w:tc>
          <w:tcPr>
            <w:tcW w:w="14017" w:type="dxa"/>
            <w:gridSpan w:val="5"/>
            <w:shd w:val="clear" w:color="auto" w:fill="auto"/>
          </w:tcPr>
          <w:p w14:paraId="16DFD625" w14:textId="77777777" w:rsidR="00630D84" w:rsidRPr="001C5F43" w:rsidRDefault="00630D84" w:rsidP="002E2627">
            <w:pPr>
              <w:pStyle w:val="BodyText2"/>
              <w:jc w:val="both"/>
              <w:rPr>
                <w:rFonts w:asciiTheme="minorHAnsi" w:hAnsiTheme="minorHAnsi" w:cstheme="minorHAnsi"/>
                <w:sz w:val="22"/>
                <w:szCs w:val="22"/>
              </w:rPr>
            </w:pPr>
            <w:r w:rsidRPr="001C5F43">
              <w:rPr>
                <w:rFonts w:asciiTheme="minorHAnsi" w:hAnsiTheme="minorHAnsi" w:cstheme="minorHAnsi"/>
                <w:b/>
                <w:sz w:val="22"/>
                <w:szCs w:val="22"/>
              </w:rPr>
              <w:lastRenderedPageBreak/>
              <w:t>Gender</w:t>
            </w:r>
            <w:r w:rsidRPr="001C5F43">
              <w:rPr>
                <w:rFonts w:asciiTheme="minorHAnsi" w:hAnsiTheme="minorHAnsi" w:cstheme="minorHAnsi"/>
                <w:sz w:val="22"/>
                <w:szCs w:val="22"/>
              </w:rPr>
              <w:t>:</w:t>
            </w:r>
          </w:p>
          <w:p w14:paraId="6C1B7792" w14:textId="583BACDE" w:rsidR="00630D84" w:rsidRPr="001C5F43" w:rsidRDefault="004215EB" w:rsidP="004A7B9A">
            <w:pPr>
              <w:pStyle w:val="BodyText2"/>
              <w:jc w:val="both"/>
              <w:rPr>
                <w:rFonts w:asciiTheme="minorHAnsi" w:hAnsiTheme="minorHAnsi" w:cstheme="minorHAnsi"/>
                <w:b/>
                <w:sz w:val="22"/>
                <w:szCs w:val="22"/>
              </w:rPr>
            </w:pPr>
            <w:r>
              <w:rPr>
                <w:rFonts w:asciiTheme="minorHAnsi" w:hAnsiTheme="minorHAnsi" w:cstheme="minorHAnsi"/>
                <w:sz w:val="22"/>
                <w:szCs w:val="22"/>
              </w:rPr>
              <w:t>The gender marker indicates that 53</w:t>
            </w:r>
            <w:r w:rsidR="008A7436">
              <w:rPr>
                <w:rFonts w:asciiTheme="minorHAnsi" w:hAnsiTheme="minorHAnsi" w:cstheme="minorHAnsi"/>
                <w:sz w:val="22"/>
                <w:szCs w:val="22"/>
              </w:rPr>
              <w:t>% o</w:t>
            </w:r>
            <w:r w:rsidR="003736EE">
              <w:rPr>
                <w:rFonts w:asciiTheme="minorHAnsi" w:hAnsiTheme="minorHAnsi" w:cstheme="minorHAnsi"/>
                <w:sz w:val="22"/>
                <w:szCs w:val="22"/>
              </w:rPr>
              <w:t xml:space="preserve">f the </w:t>
            </w:r>
            <w:r>
              <w:rPr>
                <w:rFonts w:asciiTheme="minorHAnsi" w:hAnsiTheme="minorHAnsi" w:cstheme="minorHAnsi"/>
                <w:sz w:val="22"/>
                <w:szCs w:val="22"/>
              </w:rPr>
              <w:t xml:space="preserve">UNDP resources </w:t>
            </w:r>
            <w:r w:rsidR="003736EE">
              <w:rPr>
                <w:rFonts w:asciiTheme="minorHAnsi" w:hAnsiTheme="minorHAnsi" w:cstheme="minorHAnsi"/>
                <w:sz w:val="22"/>
                <w:szCs w:val="22"/>
              </w:rPr>
              <w:t xml:space="preserve">in this outcome </w:t>
            </w:r>
            <w:r w:rsidR="008A7436">
              <w:rPr>
                <w:rFonts w:asciiTheme="minorHAnsi" w:hAnsiTheme="minorHAnsi" w:cstheme="minorHAnsi"/>
                <w:sz w:val="22"/>
                <w:szCs w:val="22"/>
              </w:rPr>
              <w:t>contribute</w:t>
            </w:r>
            <w:r w:rsidR="00BA5B83">
              <w:rPr>
                <w:rFonts w:asciiTheme="minorHAnsi" w:hAnsiTheme="minorHAnsi" w:cstheme="minorHAnsi"/>
                <w:sz w:val="22"/>
                <w:szCs w:val="22"/>
              </w:rPr>
              <w:t>d</w:t>
            </w:r>
            <w:r w:rsidR="008A7436">
              <w:rPr>
                <w:rFonts w:asciiTheme="minorHAnsi" w:hAnsiTheme="minorHAnsi" w:cstheme="minorHAnsi"/>
                <w:sz w:val="22"/>
                <w:szCs w:val="22"/>
              </w:rPr>
              <w:t xml:space="preserve"> to gender equality and women’s empowerment in a significant way </w:t>
            </w:r>
            <w:r w:rsidR="004A7B9A">
              <w:rPr>
                <w:rFonts w:asciiTheme="minorHAnsi" w:hAnsiTheme="minorHAnsi" w:cstheme="minorHAnsi"/>
                <w:sz w:val="22"/>
                <w:szCs w:val="22"/>
              </w:rPr>
              <w:t xml:space="preserve">or principal way </w:t>
            </w:r>
            <w:r w:rsidR="008A7436">
              <w:rPr>
                <w:rFonts w:asciiTheme="minorHAnsi" w:hAnsiTheme="minorHAnsi" w:cstheme="minorHAnsi"/>
                <w:sz w:val="22"/>
                <w:szCs w:val="22"/>
              </w:rPr>
              <w:t>(GEN2</w:t>
            </w:r>
            <w:r w:rsidR="004A7B9A">
              <w:rPr>
                <w:rFonts w:asciiTheme="minorHAnsi" w:hAnsiTheme="minorHAnsi" w:cstheme="minorHAnsi"/>
                <w:sz w:val="22"/>
                <w:szCs w:val="22"/>
              </w:rPr>
              <w:t>; GEN3</w:t>
            </w:r>
            <w:r w:rsidR="008A7436">
              <w:rPr>
                <w:rFonts w:asciiTheme="minorHAnsi" w:hAnsiTheme="minorHAnsi" w:cstheme="minorHAnsi"/>
                <w:sz w:val="22"/>
                <w:szCs w:val="22"/>
              </w:rPr>
              <w:t>)</w:t>
            </w:r>
            <w:r w:rsidR="004A7B9A">
              <w:rPr>
                <w:rFonts w:asciiTheme="minorHAnsi" w:hAnsiTheme="minorHAnsi" w:cstheme="minorHAnsi"/>
                <w:sz w:val="22"/>
                <w:szCs w:val="22"/>
              </w:rPr>
              <w:t xml:space="preserve">. </w:t>
            </w:r>
            <w:r w:rsidR="008A7436">
              <w:rPr>
                <w:rFonts w:asciiTheme="minorHAnsi" w:hAnsiTheme="minorHAnsi" w:cstheme="minorHAnsi"/>
                <w:sz w:val="22"/>
                <w:szCs w:val="22"/>
              </w:rPr>
              <w:t xml:space="preserve">According to the midterm outcome evaluation, UNDP should adopt a more systematic approach in ensuring that all efforts in promoting resilience and risk are gender responsive.  Key results included: </w:t>
            </w:r>
            <w:r w:rsidR="001C5F43" w:rsidRPr="001C5F43">
              <w:rPr>
                <w:rFonts w:asciiTheme="minorHAnsi" w:hAnsiTheme="minorHAnsi" w:cstheme="minorHAnsi"/>
                <w:sz w:val="22"/>
                <w:szCs w:val="22"/>
              </w:rPr>
              <w:t>UNDP-supported disaster management and early recovery programmes benefited over 1.3 million women (40% of the target population) with emergency and disaster resilient jobs and livelihoods. These included extremely poor and marginalized women, living in the most vulnerable coastal areas of Bangladesh. UNDP’s interventions combined livelihood programming with decision-making skills. As a result, more women are now participating in government implementation processes and are better accessing services and expressing their opinions on policies.</w:t>
            </w:r>
          </w:p>
        </w:tc>
      </w:tr>
      <w:tr w:rsidR="00630D84" w:rsidRPr="001C5F43" w14:paraId="41D647F4" w14:textId="77777777" w:rsidTr="00FE0A9A">
        <w:tc>
          <w:tcPr>
            <w:tcW w:w="3060" w:type="dxa"/>
            <w:shd w:val="clear" w:color="auto" w:fill="95B3D7" w:themeFill="accent1" w:themeFillTint="99"/>
          </w:tcPr>
          <w:p w14:paraId="18FE2984" w14:textId="77777777" w:rsidR="00630D84" w:rsidRPr="001C5F43" w:rsidRDefault="00630D84" w:rsidP="002E262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5. By 2016, vulnerable populations benefit from better natural resource management and access to low carbon energy.</w:t>
            </w:r>
          </w:p>
        </w:tc>
        <w:tc>
          <w:tcPr>
            <w:tcW w:w="1530" w:type="dxa"/>
            <w:gridSpan w:val="2"/>
            <w:shd w:val="clear" w:color="auto" w:fill="auto"/>
          </w:tcPr>
          <w:p w14:paraId="698B7E66" w14:textId="14221F4D" w:rsidR="00630D84" w:rsidRPr="001C5F43" w:rsidRDefault="00846B77" w:rsidP="002E2627">
            <w:pPr>
              <w:pStyle w:val="BodyText2"/>
              <w:jc w:val="both"/>
              <w:rPr>
                <w:rFonts w:asciiTheme="minorHAnsi" w:hAnsiTheme="minorHAnsi" w:cstheme="minorHAnsi"/>
                <w:sz w:val="22"/>
                <w:szCs w:val="22"/>
                <w:highlight w:val="yellow"/>
              </w:rPr>
            </w:pPr>
            <w:r>
              <w:rPr>
                <w:rFonts w:asciiTheme="minorHAnsi" w:hAnsiTheme="minorHAnsi" w:cstheme="minorHAnsi"/>
                <w:sz w:val="22"/>
                <w:szCs w:val="22"/>
              </w:rPr>
              <w:t xml:space="preserve">$ </w:t>
            </w:r>
            <w:r w:rsidRPr="00846B77">
              <w:rPr>
                <w:rFonts w:asciiTheme="minorHAnsi" w:hAnsiTheme="minorHAnsi" w:cstheme="minorHAnsi"/>
                <w:sz w:val="22"/>
                <w:szCs w:val="22"/>
              </w:rPr>
              <w:t xml:space="preserve"> 18,579,949</w:t>
            </w:r>
          </w:p>
        </w:tc>
        <w:tc>
          <w:tcPr>
            <w:tcW w:w="3960" w:type="dxa"/>
            <w:tcBorders>
              <w:left w:val="single" w:sz="4" w:space="0" w:color="auto"/>
            </w:tcBorders>
          </w:tcPr>
          <w:p w14:paraId="277CF9E7" w14:textId="77777777" w:rsidR="00630D84" w:rsidRPr="001C5F43" w:rsidRDefault="00630D84" w:rsidP="00273296">
            <w:pPr>
              <w:pStyle w:val="BodyText2"/>
              <w:numPr>
                <w:ilvl w:val="0"/>
                <w:numId w:val="11"/>
              </w:numPr>
              <w:ind w:left="319"/>
              <w:jc w:val="both"/>
              <w:rPr>
                <w:rFonts w:asciiTheme="minorHAnsi" w:hAnsiTheme="minorHAnsi" w:cstheme="minorHAnsi"/>
                <w:sz w:val="22"/>
                <w:szCs w:val="22"/>
              </w:rPr>
            </w:pPr>
            <w:r w:rsidRPr="001C5F43">
              <w:rPr>
                <w:rFonts w:asciiTheme="minorHAnsi" w:hAnsiTheme="minorHAnsi" w:cstheme="minorHAnsi"/>
                <w:sz w:val="22"/>
                <w:szCs w:val="22"/>
              </w:rPr>
              <w:t xml:space="preserve"> Number of Government policies, strategies or plans approved in support of sustainable management of natural resources</w:t>
            </w:r>
          </w:p>
          <w:p w14:paraId="008BED83" w14:textId="77777777" w:rsidR="00630D84" w:rsidRPr="001C5F43" w:rsidRDefault="00630D84" w:rsidP="002E2627">
            <w:pPr>
              <w:pStyle w:val="BodyText2"/>
              <w:jc w:val="both"/>
              <w:rPr>
                <w:rFonts w:asciiTheme="minorHAnsi" w:hAnsiTheme="minorHAnsi" w:cstheme="minorHAnsi"/>
                <w:sz w:val="22"/>
                <w:szCs w:val="22"/>
              </w:rPr>
            </w:pPr>
          </w:p>
          <w:p w14:paraId="13235EDC" w14:textId="77777777" w:rsidR="00630D84" w:rsidRPr="001C5F43" w:rsidRDefault="00630D84" w:rsidP="002E2627">
            <w:pPr>
              <w:pStyle w:val="BodyText2"/>
              <w:jc w:val="both"/>
              <w:rPr>
                <w:rFonts w:asciiTheme="minorHAnsi" w:hAnsiTheme="minorHAnsi" w:cstheme="minorHAnsi"/>
                <w:sz w:val="22"/>
                <w:szCs w:val="22"/>
              </w:rPr>
            </w:pPr>
          </w:p>
          <w:p w14:paraId="4EFACE1A" w14:textId="77777777" w:rsidR="00630D84" w:rsidRPr="001C5F43" w:rsidRDefault="00630D84" w:rsidP="00273296">
            <w:pPr>
              <w:pStyle w:val="BodyText2"/>
              <w:numPr>
                <w:ilvl w:val="0"/>
                <w:numId w:val="11"/>
              </w:numPr>
              <w:ind w:left="319"/>
              <w:jc w:val="both"/>
              <w:rPr>
                <w:rFonts w:asciiTheme="minorHAnsi" w:eastAsia="Garamond,Times New Roman" w:hAnsiTheme="minorHAnsi" w:cstheme="minorHAnsi"/>
                <w:color w:val="000000" w:themeColor="text1"/>
                <w:sz w:val="22"/>
                <w:szCs w:val="22"/>
                <w:lang w:val="en-GB"/>
              </w:rPr>
            </w:pPr>
            <w:r w:rsidRPr="001C5F43">
              <w:rPr>
                <w:rFonts w:asciiTheme="minorHAnsi" w:hAnsiTheme="minorHAnsi" w:cstheme="minorHAnsi"/>
                <w:sz w:val="22"/>
                <w:szCs w:val="22"/>
              </w:rPr>
              <w:t>Number of MW generated from renewable sources</w:t>
            </w:r>
          </w:p>
        </w:tc>
        <w:tc>
          <w:tcPr>
            <w:tcW w:w="5467" w:type="dxa"/>
            <w:shd w:val="clear" w:color="auto" w:fill="auto"/>
          </w:tcPr>
          <w:p w14:paraId="06C198EC" w14:textId="2E3E3F12" w:rsidR="00630D84" w:rsidRDefault="00630D84" w:rsidP="00273296">
            <w:pPr>
              <w:pStyle w:val="BodyText2"/>
              <w:numPr>
                <w:ilvl w:val="0"/>
                <w:numId w:val="12"/>
              </w:numPr>
              <w:ind w:left="319" w:hanging="319"/>
              <w:jc w:val="both"/>
              <w:rPr>
                <w:rFonts w:asciiTheme="minorHAnsi" w:hAnsiTheme="minorHAnsi" w:cstheme="minorHAnsi"/>
                <w:i/>
                <w:sz w:val="22"/>
                <w:szCs w:val="22"/>
              </w:rPr>
            </w:pPr>
            <w:r w:rsidRPr="001C5F43">
              <w:rPr>
                <w:rFonts w:asciiTheme="minorHAnsi" w:hAnsiTheme="minorHAnsi" w:cstheme="minorHAnsi"/>
                <w:i/>
                <w:sz w:val="22"/>
                <w:szCs w:val="22"/>
              </w:rPr>
              <w:t>In 2011, the Number of Government policies, strategies or plans approved in support of sustainable management of natural resources w</w:t>
            </w:r>
            <w:r w:rsidR="008F0742" w:rsidRPr="001C5F43">
              <w:rPr>
                <w:rFonts w:asciiTheme="minorHAnsi" w:hAnsiTheme="minorHAnsi" w:cstheme="minorHAnsi"/>
                <w:i/>
                <w:sz w:val="22"/>
                <w:szCs w:val="22"/>
              </w:rPr>
              <w:t>as</w:t>
            </w:r>
            <w:r w:rsidRPr="001C5F43">
              <w:rPr>
                <w:rFonts w:asciiTheme="minorHAnsi" w:hAnsiTheme="minorHAnsi" w:cstheme="minorHAnsi"/>
                <w:i/>
                <w:sz w:val="22"/>
                <w:szCs w:val="22"/>
              </w:rPr>
              <w:t xml:space="preserve"> 18. By the end of 2015, </w:t>
            </w:r>
            <w:r w:rsidR="008F0742" w:rsidRPr="001C5F43">
              <w:rPr>
                <w:rFonts w:asciiTheme="minorHAnsi" w:hAnsiTheme="minorHAnsi" w:cstheme="minorHAnsi"/>
                <w:i/>
                <w:sz w:val="22"/>
                <w:szCs w:val="22"/>
              </w:rPr>
              <w:t>that reached</w:t>
            </w:r>
            <w:r w:rsidRPr="001C5F43">
              <w:rPr>
                <w:rFonts w:asciiTheme="minorHAnsi" w:hAnsiTheme="minorHAnsi" w:cstheme="minorHAnsi"/>
                <w:i/>
                <w:sz w:val="22"/>
                <w:szCs w:val="22"/>
              </w:rPr>
              <w:t xml:space="preserve"> 20</w:t>
            </w:r>
            <w:r w:rsidR="008F0742" w:rsidRPr="001C5F43">
              <w:rPr>
                <w:rFonts w:asciiTheme="minorHAnsi" w:hAnsiTheme="minorHAnsi" w:cstheme="minorHAnsi"/>
                <w:i/>
                <w:sz w:val="22"/>
                <w:szCs w:val="22"/>
              </w:rPr>
              <w:t>, with a target of 22 for end of 2016</w:t>
            </w:r>
            <w:r w:rsidRPr="001C5F43">
              <w:rPr>
                <w:rFonts w:asciiTheme="minorHAnsi" w:hAnsiTheme="minorHAnsi" w:cstheme="minorHAnsi"/>
                <w:i/>
                <w:sz w:val="22"/>
                <w:szCs w:val="22"/>
              </w:rPr>
              <w:t>.</w:t>
            </w:r>
          </w:p>
          <w:p w14:paraId="7D3E56A9" w14:textId="77777777" w:rsidR="002E2627" w:rsidRPr="001C5F43" w:rsidRDefault="002E2627" w:rsidP="002E2627">
            <w:pPr>
              <w:pStyle w:val="BodyText2"/>
              <w:jc w:val="both"/>
              <w:rPr>
                <w:rFonts w:asciiTheme="minorHAnsi" w:hAnsiTheme="minorHAnsi" w:cstheme="minorHAnsi"/>
                <w:i/>
                <w:sz w:val="22"/>
                <w:szCs w:val="22"/>
              </w:rPr>
            </w:pPr>
          </w:p>
          <w:p w14:paraId="4C144CE2" w14:textId="4A30C4D4" w:rsidR="00630D84" w:rsidRPr="001C5F43" w:rsidRDefault="008F0742" w:rsidP="00273296">
            <w:pPr>
              <w:pStyle w:val="BodyText2"/>
              <w:numPr>
                <w:ilvl w:val="0"/>
                <w:numId w:val="12"/>
              </w:numPr>
              <w:ind w:left="319" w:hanging="319"/>
              <w:jc w:val="both"/>
              <w:rPr>
                <w:rFonts w:asciiTheme="minorHAnsi" w:hAnsiTheme="minorHAnsi" w:cstheme="minorHAnsi"/>
                <w:i/>
                <w:sz w:val="22"/>
                <w:szCs w:val="22"/>
              </w:rPr>
            </w:pPr>
            <w:r w:rsidRPr="001C5F43">
              <w:rPr>
                <w:rFonts w:asciiTheme="minorHAnsi" w:hAnsiTheme="minorHAnsi" w:cstheme="minorHAnsi"/>
                <w:i/>
                <w:sz w:val="22"/>
                <w:szCs w:val="22"/>
              </w:rPr>
              <w:t>In</w:t>
            </w:r>
            <w:r w:rsidR="00481CB0" w:rsidRPr="001C5F43">
              <w:rPr>
                <w:rFonts w:asciiTheme="minorHAnsi" w:hAnsiTheme="minorHAnsi" w:cstheme="minorHAnsi"/>
                <w:i/>
                <w:sz w:val="22"/>
                <w:szCs w:val="22"/>
              </w:rPr>
              <w:t xml:space="preserve"> 2011, the baseline for </w:t>
            </w:r>
            <w:r w:rsidR="00630D84" w:rsidRPr="001C5F43">
              <w:rPr>
                <w:rFonts w:asciiTheme="minorHAnsi" w:hAnsiTheme="minorHAnsi" w:cstheme="minorHAnsi"/>
                <w:i/>
                <w:sz w:val="22"/>
                <w:szCs w:val="22"/>
              </w:rPr>
              <w:t>M</w:t>
            </w:r>
            <w:r w:rsidR="00481CB0" w:rsidRPr="001C5F43">
              <w:rPr>
                <w:rFonts w:asciiTheme="minorHAnsi" w:hAnsiTheme="minorHAnsi" w:cstheme="minorHAnsi"/>
                <w:i/>
                <w:sz w:val="22"/>
                <w:szCs w:val="22"/>
              </w:rPr>
              <w:t xml:space="preserve">ega </w:t>
            </w:r>
            <w:r w:rsidR="00630D84" w:rsidRPr="001C5F43">
              <w:rPr>
                <w:rFonts w:asciiTheme="minorHAnsi" w:hAnsiTheme="minorHAnsi" w:cstheme="minorHAnsi"/>
                <w:i/>
                <w:sz w:val="22"/>
                <w:szCs w:val="22"/>
              </w:rPr>
              <w:t>W</w:t>
            </w:r>
            <w:r w:rsidR="00481CB0" w:rsidRPr="001C5F43">
              <w:rPr>
                <w:rFonts w:asciiTheme="minorHAnsi" w:hAnsiTheme="minorHAnsi" w:cstheme="minorHAnsi"/>
                <w:i/>
                <w:sz w:val="22"/>
                <w:szCs w:val="22"/>
              </w:rPr>
              <w:t>atts</w:t>
            </w:r>
            <w:r w:rsidR="00630D84" w:rsidRPr="001C5F43">
              <w:rPr>
                <w:rFonts w:asciiTheme="minorHAnsi" w:hAnsiTheme="minorHAnsi" w:cstheme="minorHAnsi"/>
                <w:i/>
                <w:sz w:val="22"/>
                <w:szCs w:val="22"/>
              </w:rPr>
              <w:t xml:space="preserve"> generated from renewable sources</w:t>
            </w:r>
            <w:r w:rsidR="00481CB0" w:rsidRPr="001C5F43">
              <w:rPr>
                <w:rFonts w:asciiTheme="minorHAnsi" w:hAnsiTheme="minorHAnsi" w:cstheme="minorHAnsi"/>
                <w:i/>
                <w:sz w:val="22"/>
                <w:szCs w:val="22"/>
              </w:rPr>
              <w:t xml:space="preserve"> was 72MW. B</w:t>
            </w:r>
            <w:r w:rsidR="00630D84" w:rsidRPr="001C5F43">
              <w:rPr>
                <w:rFonts w:asciiTheme="minorHAnsi" w:hAnsiTheme="minorHAnsi" w:cstheme="minorHAnsi"/>
                <w:i/>
                <w:sz w:val="22"/>
                <w:szCs w:val="22"/>
              </w:rPr>
              <w:t xml:space="preserve">y the end of 2015 significant progress has </w:t>
            </w:r>
            <w:r w:rsidR="00BA5B83">
              <w:rPr>
                <w:rFonts w:asciiTheme="minorHAnsi" w:hAnsiTheme="minorHAnsi" w:cstheme="minorHAnsi"/>
                <w:i/>
                <w:sz w:val="22"/>
                <w:szCs w:val="22"/>
              </w:rPr>
              <w:t xml:space="preserve">been </w:t>
            </w:r>
            <w:r w:rsidR="00630D84" w:rsidRPr="001C5F43">
              <w:rPr>
                <w:rFonts w:asciiTheme="minorHAnsi" w:hAnsiTheme="minorHAnsi" w:cstheme="minorHAnsi"/>
                <w:i/>
                <w:sz w:val="22"/>
                <w:szCs w:val="22"/>
              </w:rPr>
              <w:t>made</w:t>
            </w:r>
            <w:r w:rsidR="00481CB0" w:rsidRPr="001C5F43">
              <w:rPr>
                <w:rFonts w:asciiTheme="minorHAnsi" w:hAnsiTheme="minorHAnsi" w:cstheme="minorHAnsi"/>
                <w:i/>
                <w:sz w:val="22"/>
                <w:szCs w:val="22"/>
              </w:rPr>
              <w:t>, with 405MW being</w:t>
            </w:r>
            <w:r w:rsidR="00630D84" w:rsidRPr="001C5F43">
              <w:rPr>
                <w:rFonts w:asciiTheme="minorHAnsi" w:hAnsiTheme="minorHAnsi" w:cstheme="minorHAnsi"/>
                <w:i/>
                <w:sz w:val="22"/>
                <w:szCs w:val="22"/>
              </w:rPr>
              <w:t xml:space="preserve"> generat</w:t>
            </w:r>
            <w:r w:rsidR="00481CB0" w:rsidRPr="001C5F43">
              <w:rPr>
                <w:rFonts w:asciiTheme="minorHAnsi" w:hAnsiTheme="minorHAnsi" w:cstheme="minorHAnsi"/>
                <w:i/>
                <w:sz w:val="22"/>
                <w:szCs w:val="22"/>
              </w:rPr>
              <w:t>ed, however, this is still short of the 2016 target of 800MW</w:t>
            </w:r>
            <w:r w:rsidR="00630D84" w:rsidRPr="001C5F43">
              <w:rPr>
                <w:rFonts w:asciiTheme="minorHAnsi" w:hAnsiTheme="minorHAnsi" w:cstheme="minorHAnsi"/>
                <w:i/>
                <w:sz w:val="22"/>
                <w:szCs w:val="22"/>
              </w:rPr>
              <w:t>.</w:t>
            </w:r>
          </w:p>
        </w:tc>
      </w:tr>
      <w:tr w:rsidR="00630D84" w:rsidRPr="001C5F43" w14:paraId="51081FDE" w14:textId="77777777" w:rsidTr="00FE0A9A">
        <w:trPr>
          <w:trHeight w:val="270"/>
        </w:trPr>
        <w:tc>
          <w:tcPr>
            <w:tcW w:w="14017" w:type="dxa"/>
            <w:gridSpan w:val="5"/>
          </w:tcPr>
          <w:p w14:paraId="4351AE18" w14:textId="0985BDD4" w:rsidR="00630D84" w:rsidRPr="001C5F43" w:rsidRDefault="000F31C9" w:rsidP="002E2627">
            <w:pPr>
              <w:pStyle w:val="BodyText2"/>
              <w:jc w:val="both"/>
              <w:rPr>
                <w:rFonts w:asciiTheme="minorHAnsi" w:hAnsiTheme="minorHAnsi" w:cstheme="minorHAnsi"/>
                <w:sz w:val="22"/>
                <w:szCs w:val="22"/>
              </w:rPr>
            </w:pPr>
            <w:r>
              <w:rPr>
                <w:rFonts w:asciiTheme="minorHAnsi" w:hAnsiTheme="minorHAnsi" w:cstheme="minorHAnsi"/>
                <w:b/>
                <w:sz w:val="22"/>
                <w:szCs w:val="22"/>
              </w:rPr>
              <w:t>UNDP Contribution:</w:t>
            </w:r>
            <w:r w:rsidRPr="001C5F43">
              <w:rPr>
                <w:rFonts w:asciiTheme="minorHAnsi" w:hAnsiTheme="minorHAnsi" w:cstheme="minorHAnsi"/>
                <w:sz w:val="22"/>
                <w:szCs w:val="22"/>
              </w:rPr>
              <w:t xml:space="preserve"> </w:t>
            </w:r>
          </w:p>
          <w:p w14:paraId="23BAD19C" w14:textId="448C65A5" w:rsidR="00630D84" w:rsidRPr="001C5F43" w:rsidRDefault="00D757CE" w:rsidP="00BA5B83">
            <w:pPr>
              <w:pStyle w:val="BodyText2"/>
              <w:jc w:val="both"/>
              <w:rPr>
                <w:rFonts w:asciiTheme="minorHAnsi" w:hAnsiTheme="minorHAnsi" w:cstheme="minorHAnsi"/>
                <w:sz w:val="22"/>
                <w:szCs w:val="22"/>
              </w:rPr>
            </w:pPr>
            <w:r>
              <w:rPr>
                <w:rFonts w:asciiTheme="minorHAnsi" w:hAnsiTheme="minorHAnsi" w:cstheme="minorHAnsi"/>
                <w:sz w:val="22"/>
                <w:szCs w:val="22"/>
              </w:rPr>
              <w:t xml:space="preserve">Overall significant progress has been made </w:t>
            </w:r>
            <w:r w:rsidR="001C5F43" w:rsidRPr="001C5F43">
              <w:rPr>
                <w:rFonts w:asciiTheme="minorHAnsi" w:hAnsiTheme="minorHAnsi" w:cstheme="minorHAnsi"/>
                <w:sz w:val="22"/>
                <w:szCs w:val="22"/>
              </w:rPr>
              <w:t>to support vulnerable populations to benefit from better natural resource management and access to low-carbon energy</w:t>
            </w:r>
            <w:r>
              <w:rPr>
                <w:rFonts w:asciiTheme="minorHAnsi" w:hAnsiTheme="minorHAnsi" w:cstheme="minorHAnsi"/>
                <w:sz w:val="22"/>
                <w:szCs w:val="22"/>
              </w:rPr>
              <w:t xml:space="preserve">. The new </w:t>
            </w:r>
            <w:r w:rsidR="00BA5B83">
              <w:rPr>
                <w:rFonts w:asciiTheme="minorHAnsi" w:hAnsiTheme="minorHAnsi" w:cstheme="minorHAnsi"/>
                <w:sz w:val="22"/>
                <w:szCs w:val="22"/>
              </w:rPr>
              <w:t>7</w:t>
            </w:r>
            <w:r w:rsidR="00BA5B83" w:rsidRPr="00BA5B83">
              <w:rPr>
                <w:rFonts w:asciiTheme="minorHAnsi" w:hAnsiTheme="minorHAnsi" w:cstheme="minorHAnsi"/>
                <w:sz w:val="22"/>
                <w:szCs w:val="22"/>
                <w:vertAlign w:val="superscript"/>
              </w:rPr>
              <w:t>th</w:t>
            </w:r>
            <w:r w:rsidR="00BA5B83">
              <w:rPr>
                <w:rFonts w:asciiTheme="minorHAnsi" w:hAnsiTheme="minorHAnsi" w:cstheme="minorHAnsi"/>
                <w:sz w:val="22"/>
                <w:szCs w:val="22"/>
              </w:rPr>
              <w:t xml:space="preserve"> FYP</w:t>
            </w:r>
            <w:r>
              <w:rPr>
                <w:rFonts w:asciiTheme="minorHAnsi" w:hAnsiTheme="minorHAnsi" w:cstheme="minorHAnsi"/>
                <w:sz w:val="22"/>
                <w:szCs w:val="22"/>
              </w:rPr>
              <w:t xml:space="preserve"> incorporates a risk informed approach to natural resource management, environmental sustainability and green growth. This followed UNDP long term advocacy and technical support. Government’s investments in climate change and environmental protection were recognized internationally through the Prime Minister’s re</w:t>
            </w:r>
            <w:r w:rsidR="00BA5B83">
              <w:rPr>
                <w:rFonts w:asciiTheme="minorHAnsi" w:hAnsiTheme="minorHAnsi" w:cstheme="minorHAnsi"/>
                <w:sz w:val="22"/>
                <w:szCs w:val="22"/>
              </w:rPr>
              <w:t>ceipt of the Champion of the Earth A</w:t>
            </w:r>
            <w:r>
              <w:rPr>
                <w:rFonts w:asciiTheme="minorHAnsi" w:hAnsiTheme="minorHAnsi" w:cstheme="minorHAnsi"/>
                <w:sz w:val="22"/>
                <w:szCs w:val="22"/>
              </w:rPr>
              <w:t>ward from UNEP</w:t>
            </w:r>
            <w:r w:rsidR="00BA5B83">
              <w:rPr>
                <w:rFonts w:asciiTheme="minorHAnsi" w:hAnsiTheme="minorHAnsi" w:cstheme="minorHAnsi"/>
                <w:sz w:val="22"/>
                <w:szCs w:val="22"/>
              </w:rPr>
              <w:t xml:space="preserve"> in 2015.</w:t>
            </w:r>
            <w:r>
              <w:rPr>
                <w:rFonts w:asciiTheme="minorHAnsi" w:hAnsiTheme="minorHAnsi" w:cstheme="minorHAnsi"/>
                <w:sz w:val="22"/>
                <w:szCs w:val="22"/>
              </w:rPr>
              <w:t xml:space="preserve"> UNDP provide</w:t>
            </w:r>
            <w:r w:rsidR="00BA5B83">
              <w:rPr>
                <w:rFonts w:asciiTheme="minorHAnsi" w:hAnsiTheme="minorHAnsi" w:cstheme="minorHAnsi"/>
                <w:sz w:val="22"/>
                <w:szCs w:val="22"/>
              </w:rPr>
              <w:t>d</w:t>
            </w:r>
            <w:r>
              <w:rPr>
                <w:rFonts w:asciiTheme="minorHAnsi" w:hAnsiTheme="minorHAnsi" w:cstheme="minorHAnsi"/>
                <w:sz w:val="22"/>
                <w:szCs w:val="22"/>
              </w:rPr>
              <w:t xml:space="preserve"> su</w:t>
            </w:r>
            <w:r w:rsidR="00BA5B83">
              <w:rPr>
                <w:rFonts w:asciiTheme="minorHAnsi" w:hAnsiTheme="minorHAnsi" w:cstheme="minorHAnsi"/>
                <w:sz w:val="22"/>
                <w:szCs w:val="22"/>
              </w:rPr>
              <w:t>bstantial support to government</w:t>
            </w:r>
            <w:r>
              <w:rPr>
                <w:rFonts w:asciiTheme="minorHAnsi" w:hAnsiTheme="minorHAnsi" w:cstheme="minorHAnsi"/>
                <w:sz w:val="22"/>
                <w:szCs w:val="22"/>
              </w:rPr>
              <w:t xml:space="preserve"> efforts in this </w:t>
            </w:r>
            <w:r w:rsidR="00BA5B83">
              <w:rPr>
                <w:rFonts w:asciiTheme="minorHAnsi" w:hAnsiTheme="minorHAnsi" w:cstheme="minorHAnsi"/>
                <w:sz w:val="22"/>
                <w:szCs w:val="22"/>
              </w:rPr>
              <w:t>a</w:t>
            </w:r>
            <w:r>
              <w:rPr>
                <w:rFonts w:asciiTheme="minorHAnsi" w:hAnsiTheme="minorHAnsi" w:cstheme="minorHAnsi"/>
                <w:sz w:val="22"/>
                <w:szCs w:val="22"/>
              </w:rPr>
              <w:t>rea, including through establishment of the Bangladesh Climate Change Strategy and Action Plan.  As per midterm outcome evaluation, key achievements in Bangladesh can be at</w:t>
            </w:r>
            <w:r w:rsidR="00BA5B83">
              <w:rPr>
                <w:rFonts w:asciiTheme="minorHAnsi" w:hAnsiTheme="minorHAnsi" w:cstheme="minorHAnsi"/>
                <w:sz w:val="22"/>
                <w:szCs w:val="22"/>
              </w:rPr>
              <w:t>tributed to UNDP long-term</w:t>
            </w:r>
            <w:r>
              <w:rPr>
                <w:rFonts w:asciiTheme="minorHAnsi" w:hAnsiTheme="minorHAnsi" w:cstheme="minorHAnsi"/>
                <w:sz w:val="22"/>
                <w:szCs w:val="22"/>
              </w:rPr>
              <w:t xml:space="preserve"> support in this area, including dedicated and capable experts and decision-makers.  Key outputs included: </w:t>
            </w:r>
            <w:r w:rsidR="008A7436">
              <w:rPr>
                <w:rFonts w:asciiTheme="minorHAnsi" w:hAnsiTheme="minorHAnsi" w:cstheme="minorHAnsi"/>
                <w:sz w:val="22"/>
                <w:szCs w:val="22"/>
              </w:rPr>
              <w:t xml:space="preserve"> </w:t>
            </w:r>
            <w:r w:rsidR="001C5F43" w:rsidRPr="001C5F43">
              <w:rPr>
                <w:rFonts w:asciiTheme="minorHAnsi" w:hAnsiTheme="minorHAnsi" w:cstheme="minorHAnsi"/>
                <w:sz w:val="22"/>
                <w:szCs w:val="22"/>
              </w:rPr>
              <w:t xml:space="preserve"> </w:t>
            </w:r>
            <w:r w:rsidR="008A7436">
              <w:rPr>
                <w:rFonts w:asciiTheme="minorHAnsi" w:hAnsiTheme="minorHAnsi" w:cstheme="minorHAnsi"/>
                <w:sz w:val="22"/>
                <w:szCs w:val="22"/>
              </w:rPr>
              <w:t xml:space="preserve">a) </w:t>
            </w:r>
            <w:r w:rsidR="001C5F43" w:rsidRPr="001C5F43">
              <w:rPr>
                <w:rFonts w:asciiTheme="minorHAnsi" w:hAnsiTheme="minorHAnsi" w:cstheme="minorHAnsi"/>
                <w:sz w:val="22"/>
                <w:szCs w:val="22"/>
              </w:rPr>
              <w:t xml:space="preserve">energy </w:t>
            </w:r>
            <w:r w:rsidR="008A7436">
              <w:rPr>
                <w:rFonts w:asciiTheme="minorHAnsi" w:hAnsiTheme="minorHAnsi" w:cstheme="minorHAnsi"/>
                <w:sz w:val="22"/>
                <w:szCs w:val="22"/>
              </w:rPr>
              <w:t xml:space="preserve">standards for consumer products improved; b) </w:t>
            </w:r>
            <w:r w:rsidR="001C5F43" w:rsidRPr="001C5F43">
              <w:rPr>
                <w:rFonts w:asciiTheme="minorHAnsi" w:hAnsiTheme="minorHAnsi" w:cstheme="minorHAnsi"/>
                <w:sz w:val="22"/>
                <w:szCs w:val="22"/>
              </w:rPr>
              <w:t>protective ecosystems</w:t>
            </w:r>
            <w:r w:rsidR="008A7436">
              <w:rPr>
                <w:rFonts w:asciiTheme="minorHAnsi" w:hAnsiTheme="minorHAnsi" w:cstheme="minorHAnsi"/>
                <w:sz w:val="22"/>
                <w:szCs w:val="22"/>
              </w:rPr>
              <w:t xml:space="preserve"> strengthened; c)</w:t>
            </w:r>
            <w:r w:rsidR="001C5F43" w:rsidRPr="001C5F43">
              <w:rPr>
                <w:rFonts w:asciiTheme="minorHAnsi" w:hAnsiTheme="minorHAnsi" w:cstheme="minorHAnsi"/>
                <w:sz w:val="22"/>
                <w:szCs w:val="22"/>
              </w:rPr>
              <w:t xml:space="preserve"> </w:t>
            </w:r>
            <w:r w:rsidR="00BA5B83">
              <w:rPr>
                <w:rFonts w:asciiTheme="minorHAnsi" w:hAnsiTheme="minorHAnsi" w:cstheme="minorHAnsi"/>
                <w:sz w:val="22"/>
                <w:szCs w:val="22"/>
              </w:rPr>
              <w:t xml:space="preserve">Effective response to </w:t>
            </w:r>
            <w:r w:rsidR="008A7436">
              <w:rPr>
                <w:rFonts w:asciiTheme="minorHAnsi" w:hAnsiTheme="minorHAnsi" w:cstheme="minorHAnsi"/>
                <w:sz w:val="22"/>
                <w:szCs w:val="22"/>
              </w:rPr>
              <w:t>the oil spill in the Sundarbans</w:t>
            </w:r>
            <w:r w:rsidR="00BA5B83">
              <w:rPr>
                <w:rFonts w:asciiTheme="minorHAnsi" w:hAnsiTheme="minorHAnsi" w:cstheme="minorHAnsi"/>
                <w:sz w:val="22"/>
                <w:szCs w:val="22"/>
              </w:rPr>
              <w:t xml:space="preserve"> ecologically protected area</w:t>
            </w:r>
            <w:r w:rsidR="008A7436">
              <w:rPr>
                <w:rFonts w:asciiTheme="minorHAnsi" w:hAnsiTheme="minorHAnsi" w:cstheme="minorHAnsi"/>
                <w:sz w:val="22"/>
                <w:szCs w:val="22"/>
              </w:rPr>
              <w:t>;</w:t>
            </w:r>
            <w:r w:rsidR="001C5F43" w:rsidRPr="001C5F43">
              <w:rPr>
                <w:rFonts w:asciiTheme="minorHAnsi" w:hAnsiTheme="minorHAnsi" w:cstheme="minorHAnsi"/>
                <w:sz w:val="22"/>
                <w:szCs w:val="22"/>
              </w:rPr>
              <w:t xml:space="preserve"> </w:t>
            </w:r>
            <w:r w:rsidR="008A7436">
              <w:rPr>
                <w:rFonts w:asciiTheme="minorHAnsi" w:hAnsiTheme="minorHAnsi" w:cstheme="minorHAnsi"/>
                <w:sz w:val="22"/>
                <w:szCs w:val="22"/>
              </w:rPr>
              <w:t xml:space="preserve">d) enhanced </w:t>
            </w:r>
            <w:r w:rsidR="001C5F43" w:rsidRPr="001C5F43">
              <w:rPr>
                <w:rFonts w:asciiTheme="minorHAnsi" w:hAnsiTheme="minorHAnsi" w:cstheme="minorHAnsi"/>
                <w:sz w:val="22"/>
                <w:szCs w:val="22"/>
              </w:rPr>
              <w:t>climate financing.</w:t>
            </w:r>
          </w:p>
        </w:tc>
      </w:tr>
      <w:tr w:rsidR="00630D84" w:rsidRPr="001C5F43" w14:paraId="65AC7602" w14:textId="77777777" w:rsidTr="00FE0A9A">
        <w:trPr>
          <w:trHeight w:val="270"/>
        </w:trPr>
        <w:tc>
          <w:tcPr>
            <w:tcW w:w="14017" w:type="dxa"/>
            <w:gridSpan w:val="5"/>
          </w:tcPr>
          <w:p w14:paraId="280BF996" w14:textId="27181AB6" w:rsidR="00630D84" w:rsidRPr="001C5F43" w:rsidRDefault="000F31C9" w:rsidP="002E2627">
            <w:pPr>
              <w:pStyle w:val="BodyText2"/>
              <w:jc w:val="both"/>
              <w:rPr>
                <w:rFonts w:asciiTheme="minorHAnsi" w:hAnsiTheme="minorHAnsi" w:cstheme="minorHAnsi"/>
                <w:sz w:val="22"/>
                <w:szCs w:val="22"/>
              </w:rPr>
            </w:pPr>
            <w:r>
              <w:rPr>
                <w:rFonts w:asciiTheme="minorHAnsi" w:hAnsiTheme="minorHAnsi" w:cstheme="minorHAnsi"/>
                <w:b/>
                <w:sz w:val="22"/>
                <w:szCs w:val="22"/>
              </w:rPr>
              <w:t>Progress and Achievement</w:t>
            </w:r>
          </w:p>
          <w:p w14:paraId="6640B296" w14:textId="5AFCF37F" w:rsidR="001C5F43" w:rsidRPr="001C5F43" w:rsidRDefault="008A7436" w:rsidP="002E2627">
            <w:pPr>
              <w:jc w:val="both"/>
              <w:rPr>
                <w:rFonts w:asciiTheme="minorHAnsi" w:hAnsiTheme="minorHAnsi" w:cstheme="minorHAnsi"/>
                <w:sz w:val="22"/>
                <w:szCs w:val="22"/>
              </w:rPr>
            </w:pPr>
            <w:r>
              <w:rPr>
                <w:rFonts w:asciiTheme="minorHAnsi" w:hAnsiTheme="minorHAnsi" w:cstheme="minorHAnsi"/>
                <w:sz w:val="22"/>
                <w:szCs w:val="22"/>
              </w:rPr>
              <w:t xml:space="preserve">a) </w:t>
            </w:r>
            <w:r w:rsidR="001C5F43" w:rsidRPr="001C5F43">
              <w:rPr>
                <w:rFonts w:asciiTheme="minorHAnsi" w:hAnsiTheme="minorHAnsi" w:cstheme="minorHAnsi"/>
                <w:sz w:val="22"/>
                <w:szCs w:val="22"/>
              </w:rPr>
              <w:t>UNDP advocacy, policy and technical support contributed to a cumulative offset of more than 750MW of energy demand ($750 million in new po</w:t>
            </w:r>
            <w:r w:rsidR="00355BA6">
              <w:rPr>
                <w:rFonts w:asciiTheme="minorHAnsi" w:hAnsiTheme="minorHAnsi" w:cstheme="minorHAnsi"/>
                <w:sz w:val="22"/>
                <w:szCs w:val="22"/>
              </w:rPr>
              <w:t xml:space="preserve">wer plant investment savings) as a result of the </w:t>
            </w:r>
            <w:r w:rsidR="00133B59" w:rsidRPr="001C5F43">
              <w:rPr>
                <w:rFonts w:asciiTheme="minorHAnsi" w:hAnsiTheme="minorHAnsi" w:cstheme="minorHAnsi"/>
                <w:sz w:val="22"/>
                <w:szCs w:val="22"/>
              </w:rPr>
              <w:t>government</w:t>
            </w:r>
            <w:r w:rsidR="00133B59">
              <w:rPr>
                <w:rFonts w:asciiTheme="minorHAnsi" w:hAnsiTheme="minorHAnsi" w:cstheme="minorHAnsi"/>
                <w:sz w:val="22"/>
                <w:szCs w:val="22"/>
              </w:rPr>
              <w:t>s’</w:t>
            </w:r>
            <w:r w:rsidR="001C5F43" w:rsidRPr="001C5F43">
              <w:rPr>
                <w:rFonts w:asciiTheme="minorHAnsi" w:hAnsiTheme="minorHAnsi" w:cstheme="minorHAnsi"/>
                <w:sz w:val="22"/>
                <w:szCs w:val="22"/>
              </w:rPr>
              <w:t xml:space="preserve"> implement</w:t>
            </w:r>
            <w:r w:rsidR="00355BA6">
              <w:rPr>
                <w:rFonts w:asciiTheme="minorHAnsi" w:hAnsiTheme="minorHAnsi" w:cstheme="minorHAnsi"/>
                <w:sz w:val="22"/>
                <w:szCs w:val="22"/>
              </w:rPr>
              <w:t>ation of</w:t>
            </w:r>
            <w:r w:rsidR="001C5F43" w:rsidRPr="001C5F43">
              <w:rPr>
                <w:rFonts w:asciiTheme="minorHAnsi" w:hAnsiTheme="minorHAnsi" w:cstheme="minorHAnsi"/>
                <w:sz w:val="22"/>
                <w:szCs w:val="22"/>
              </w:rPr>
              <w:t xml:space="preserve"> energy standards, grading and labelling policies for consumer products.  UNDP </w:t>
            </w:r>
            <w:r w:rsidR="001C5F43" w:rsidRPr="001C5F43">
              <w:rPr>
                <w:rFonts w:asciiTheme="minorHAnsi" w:hAnsiTheme="minorHAnsi" w:cstheme="minorHAnsi"/>
                <w:sz w:val="22"/>
                <w:szCs w:val="22"/>
              </w:rPr>
              <w:lastRenderedPageBreak/>
              <w:t>focused on piloting new demonstration technology and enhancing partnership with t</w:t>
            </w:r>
            <w:r w:rsidR="00355BA6">
              <w:rPr>
                <w:rFonts w:asciiTheme="minorHAnsi" w:hAnsiTheme="minorHAnsi" w:cstheme="minorHAnsi"/>
                <w:sz w:val="22"/>
                <w:szCs w:val="22"/>
              </w:rPr>
              <w:t>he media and the private sector</w:t>
            </w:r>
            <w:r w:rsidR="001C5F43" w:rsidRPr="001C5F43">
              <w:rPr>
                <w:rFonts w:asciiTheme="minorHAnsi" w:hAnsiTheme="minorHAnsi" w:cstheme="minorHAnsi"/>
                <w:sz w:val="22"/>
                <w:szCs w:val="22"/>
              </w:rPr>
              <w:t xml:space="preserve">. The government committed $1.8 million to expand national energy standards and testing laboratory to target additional consumer appliances.  </w:t>
            </w:r>
          </w:p>
          <w:p w14:paraId="11DE9A8F" w14:textId="7940BA85" w:rsidR="001C5F43" w:rsidRPr="001C5F43" w:rsidRDefault="008A7436" w:rsidP="002E2627">
            <w:pPr>
              <w:jc w:val="both"/>
              <w:rPr>
                <w:rFonts w:asciiTheme="minorHAnsi" w:hAnsiTheme="minorHAnsi" w:cstheme="minorHAnsi"/>
                <w:sz w:val="22"/>
                <w:szCs w:val="22"/>
              </w:rPr>
            </w:pPr>
            <w:r w:rsidRPr="00D757CE">
              <w:rPr>
                <w:rFonts w:asciiTheme="minorHAnsi" w:hAnsiTheme="minorHAnsi" w:cstheme="minorHAnsi"/>
                <w:sz w:val="22"/>
                <w:szCs w:val="22"/>
              </w:rPr>
              <w:t xml:space="preserve">b) </w:t>
            </w:r>
            <w:r w:rsidR="001C5F43" w:rsidRPr="001C5F43">
              <w:rPr>
                <w:rFonts w:asciiTheme="minorHAnsi" w:hAnsiTheme="minorHAnsi" w:cstheme="minorHAnsi"/>
                <w:sz w:val="22"/>
                <w:szCs w:val="22"/>
              </w:rPr>
              <w:t xml:space="preserve">To support protective ecosystems, 500 hectares of mangrove plantation were established following combined programming to promote livelihoods and climate resilience. In the post-conflict Chittagong Hill Tract region, indigenous communities now independently manage 4,200 hectares of forest resources. This resulted from new Village Common Forest Rules, drafted with UNDP technical and coordination support. Furthermore, UNDP continued to address biodiversity and salinity challenges related to the oil spill in the Sundarbans, the largest mangrove forest in the world and a UNESCO world heritage site.  UNDP helped the government coordinate the first comprehensive assessment, which played a vital role in devising appropriate short- and long-term responses and in the development of a contingency plan. Following advocacy from UNDP and development partners, the government has re-excavated a navigation road around the Sundarbans site.  </w:t>
            </w:r>
          </w:p>
          <w:p w14:paraId="310B0F83" w14:textId="192C49A5" w:rsidR="00630D84" w:rsidRDefault="001C5F43" w:rsidP="008A7436">
            <w:pPr>
              <w:pStyle w:val="BodyText2"/>
              <w:jc w:val="both"/>
              <w:rPr>
                <w:rFonts w:asciiTheme="minorHAnsi" w:hAnsiTheme="minorHAnsi" w:cstheme="minorHAnsi"/>
                <w:sz w:val="22"/>
                <w:szCs w:val="22"/>
              </w:rPr>
            </w:pPr>
            <w:r w:rsidRPr="008A7436">
              <w:rPr>
                <w:rFonts w:asciiTheme="minorHAnsi" w:hAnsiTheme="minorHAnsi" w:cstheme="minorHAnsi"/>
                <w:sz w:val="22"/>
                <w:szCs w:val="22"/>
              </w:rPr>
              <w:t>c)</w:t>
            </w:r>
            <w:r w:rsidRPr="001C5F43">
              <w:rPr>
                <w:rFonts w:asciiTheme="minorHAnsi" w:hAnsiTheme="minorHAnsi" w:cstheme="minorHAnsi"/>
                <w:sz w:val="22"/>
                <w:szCs w:val="22"/>
              </w:rPr>
              <w:t xml:space="preserve"> Bangladesh is </w:t>
            </w:r>
            <w:r w:rsidR="00355BA6">
              <w:rPr>
                <w:rFonts w:asciiTheme="minorHAnsi" w:hAnsiTheme="minorHAnsi" w:cstheme="minorHAnsi"/>
                <w:sz w:val="22"/>
                <w:szCs w:val="22"/>
              </w:rPr>
              <w:t xml:space="preserve">now </w:t>
            </w:r>
            <w:r w:rsidR="00133B59">
              <w:rPr>
                <w:rFonts w:asciiTheme="minorHAnsi" w:hAnsiTheme="minorHAnsi" w:cstheme="minorHAnsi"/>
                <w:sz w:val="22"/>
                <w:szCs w:val="22"/>
              </w:rPr>
              <w:t xml:space="preserve">better </w:t>
            </w:r>
            <w:r w:rsidRPr="001C5F43">
              <w:rPr>
                <w:rFonts w:asciiTheme="minorHAnsi" w:hAnsiTheme="minorHAnsi" w:cstheme="minorHAnsi"/>
                <w:sz w:val="22"/>
                <w:szCs w:val="22"/>
              </w:rPr>
              <w:t>prepared to access climate finance. UNDP support included building institutional capacities of the national designated authority, identifying potential national implementing entities and developing a climate finance strategic framework and a project pipeline.</w:t>
            </w:r>
          </w:p>
          <w:p w14:paraId="2EC5647A" w14:textId="14BDF5B8" w:rsidR="008A7436" w:rsidRPr="001C5F43" w:rsidRDefault="008A7436" w:rsidP="008A7436">
            <w:pPr>
              <w:pStyle w:val="BodyText2"/>
              <w:jc w:val="both"/>
              <w:rPr>
                <w:rFonts w:asciiTheme="minorHAnsi" w:hAnsiTheme="minorHAnsi" w:cstheme="minorHAnsi"/>
                <w:b/>
                <w:sz w:val="22"/>
                <w:szCs w:val="22"/>
              </w:rPr>
            </w:pPr>
            <w:r>
              <w:rPr>
                <w:rFonts w:asciiTheme="minorHAnsi" w:hAnsiTheme="minorHAnsi" w:cstheme="minorHAnsi"/>
                <w:sz w:val="22"/>
                <w:szCs w:val="22"/>
              </w:rPr>
              <w:t xml:space="preserve">There were, however, outputs that could not be delivered.  For example, a demonstration center for energy efficient bricks was deemed no longer feasible and UNDP had to revise the approach.  The midterm evaluation </w:t>
            </w:r>
            <w:r w:rsidR="00355BA6">
              <w:rPr>
                <w:rFonts w:asciiTheme="minorHAnsi" w:hAnsiTheme="minorHAnsi" w:cstheme="minorHAnsi"/>
                <w:sz w:val="22"/>
                <w:szCs w:val="22"/>
              </w:rPr>
              <w:t xml:space="preserve">(2014) </w:t>
            </w:r>
            <w:r>
              <w:rPr>
                <w:rFonts w:asciiTheme="minorHAnsi" w:hAnsiTheme="minorHAnsi" w:cstheme="minorHAnsi"/>
                <w:sz w:val="22"/>
                <w:szCs w:val="22"/>
              </w:rPr>
              <w:t>highlighted that competition against cheaper, high-carbon methods remains</w:t>
            </w:r>
            <w:r w:rsidR="00355BA6">
              <w:rPr>
                <w:rFonts w:asciiTheme="minorHAnsi" w:hAnsiTheme="minorHAnsi" w:cstheme="minorHAnsi"/>
                <w:sz w:val="22"/>
                <w:szCs w:val="22"/>
              </w:rPr>
              <w:t xml:space="preserve"> a</w:t>
            </w:r>
            <w:r>
              <w:rPr>
                <w:rFonts w:asciiTheme="minorHAnsi" w:hAnsiTheme="minorHAnsi" w:cstheme="minorHAnsi"/>
                <w:sz w:val="22"/>
                <w:szCs w:val="22"/>
              </w:rPr>
              <w:t xml:space="preserve"> challenge. </w:t>
            </w:r>
            <w:r w:rsidR="00355BA6">
              <w:rPr>
                <w:rFonts w:asciiTheme="minorHAnsi" w:hAnsiTheme="minorHAnsi" w:cstheme="minorHAnsi"/>
                <w:sz w:val="22"/>
                <w:szCs w:val="22"/>
              </w:rPr>
              <w:t xml:space="preserve"> In response</w:t>
            </w:r>
            <w:r w:rsidR="00D757CE">
              <w:rPr>
                <w:rFonts w:asciiTheme="minorHAnsi" w:hAnsiTheme="minorHAnsi" w:cstheme="minorHAnsi"/>
                <w:sz w:val="22"/>
                <w:szCs w:val="22"/>
              </w:rPr>
              <w:t xml:space="preserve"> UNDP revised its</w:t>
            </w:r>
            <w:r>
              <w:rPr>
                <w:rFonts w:asciiTheme="minorHAnsi" w:hAnsiTheme="minorHAnsi" w:cstheme="minorHAnsi"/>
                <w:sz w:val="22"/>
                <w:szCs w:val="22"/>
              </w:rPr>
              <w:t xml:space="preserve"> approach and established new partnerships (including with the university of Engineering and Technology). </w:t>
            </w:r>
          </w:p>
        </w:tc>
      </w:tr>
      <w:tr w:rsidR="00630D84" w:rsidRPr="001C5F43" w14:paraId="1683C449" w14:textId="77777777" w:rsidTr="00FE0A9A">
        <w:trPr>
          <w:trHeight w:val="270"/>
        </w:trPr>
        <w:tc>
          <w:tcPr>
            <w:tcW w:w="14017" w:type="dxa"/>
            <w:gridSpan w:val="5"/>
          </w:tcPr>
          <w:p w14:paraId="3F58B077" w14:textId="77777777" w:rsidR="00630D84" w:rsidRPr="001C5F43" w:rsidRDefault="00630D84" w:rsidP="002E2627">
            <w:pPr>
              <w:pStyle w:val="BodyText2"/>
              <w:jc w:val="both"/>
              <w:rPr>
                <w:rFonts w:asciiTheme="minorHAnsi" w:hAnsiTheme="minorHAnsi" w:cstheme="minorHAnsi"/>
                <w:sz w:val="22"/>
                <w:szCs w:val="22"/>
              </w:rPr>
            </w:pPr>
            <w:r w:rsidRPr="001C5F43">
              <w:rPr>
                <w:rFonts w:asciiTheme="minorHAnsi" w:hAnsiTheme="minorHAnsi" w:cstheme="minorHAnsi"/>
                <w:b/>
                <w:sz w:val="22"/>
                <w:szCs w:val="22"/>
              </w:rPr>
              <w:lastRenderedPageBreak/>
              <w:t>Gender</w:t>
            </w:r>
            <w:r w:rsidRPr="001C5F43">
              <w:rPr>
                <w:rFonts w:asciiTheme="minorHAnsi" w:hAnsiTheme="minorHAnsi" w:cstheme="minorHAnsi"/>
                <w:sz w:val="22"/>
                <w:szCs w:val="22"/>
              </w:rPr>
              <w:t>:</w:t>
            </w:r>
          </w:p>
          <w:p w14:paraId="243814D4" w14:textId="258518AB" w:rsidR="00630D84" w:rsidRPr="001C5F43" w:rsidRDefault="004A7B9A" w:rsidP="004A7B9A">
            <w:pPr>
              <w:pStyle w:val="BodyText2"/>
              <w:jc w:val="both"/>
              <w:rPr>
                <w:rFonts w:asciiTheme="minorHAnsi" w:hAnsiTheme="minorHAnsi" w:cstheme="minorHAnsi"/>
                <w:sz w:val="22"/>
                <w:szCs w:val="22"/>
              </w:rPr>
            </w:pPr>
            <w:r>
              <w:rPr>
                <w:rFonts w:asciiTheme="minorHAnsi" w:hAnsiTheme="minorHAnsi" w:cstheme="minorHAnsi"/>
                <w:sz w:val="22"/>
                <w:szCs w:val="22"/>
              </w:rPr>
              <w:t xml:space="preserve">The gender marker indicates that 51% of the UNDP resources in this outcome contributed to gender equality and women’s empowerment in a significant way or principal way (GEN2; GEN3). </w:t>
            </w:r>
            <w:r w:rsidR="001C5F43" w:rsidRPr="001C5F43">
              <w:rPr>
                <w:rFonts w:asciiTheme="minorHAnsi" w:hAnsiTheme="minorHAnsi" w:cstheme="minorHAnsi"/>
                <w:sz w:val="22"/>
                <w:szCs w:val="22"/>
              </w:rPr>
              <w:t xml:space="preserve">Although some UNDP interventions engaged women in production through livelihood interventions in deep forest areas, </w:t>
            </w:r>
            <w:r w:rsidR="00D757CE">
              <w:rPr>
                <w:rFonts w:asciiTheme="minorHAnsi" w:hAnsiTheme="minorHAnsi" w:cstheme="minorHAnsi"/>
                <w:sz w:val="22"/>
                <w:szCs w:val="22"/>
              </w:rPr>
              <w:t>additional effort</w:t>
            </w:r>
            <w:r w:rsidR="00355BA6">
              <w:rPr>
                <w:rFonts w:asciiTheme="minorHAnsi" w:hAnsiTheme="minorHAnsi" w:cstheme="minorHAnsi"/>
                <w:sz w:val="22"/>
                <w:szCs w:val="22"/>
              </w:rPr>
              <w:t>s</w:t>
            </w:r>
            <w:r w:rsidR="00D757CE">
              <w:rPr>
                <w:rFonts w:asciiTheme="minorHAnsi" w:hAnsiTheme="minorHAnsi" w:cstheme="minorHAnsi"/>
                <w:sz w:val="22"/>
                <w:szCs w:val="22"/>
              </w:rPr>
              <w:t xml:space="preserve"> are needed to </w:t>
            </w:r>
            <w:r w:rsidR="001C5F43" w:rsidRPr="001C5F43">
              <w:rPr>
                <w:rFonts w:asciiTheme="minorHAnsi" w:hAnsiTheme="minorHAnsi" w:cstheme="minorHAnsi"/>
                <w:sz w:val="22"/>
                <w:szCs w:val="22"/>
              </w:rPr>
              <w:t>target women. Further, the programmes did not consider issues of women’s safety and security, which are exacerbated during the rainy season in the forests. UNDP will strengthen efforts to address gender dimensions in this outcome through explicit outcomes and measurements. The absence of gender expertise in natural resource management and environment has been a core factor behind lagging successes in these areas. UNDP has prioritized gender equality and women’s empowerment in natural resource management and access to low-carbon energy. New programmes in this area will, at a minimum, have improved resource allocation for gender mainstreaming to improve women’s participation and input into natural resource management. Additionally, activity design and implementation will acknowledge and address the challenges that women face when trying to access to low-carbon energy. All projects will recognize and be sensitive to the realities of unpaid care work so as to not increase the burden on female household members and to not exclude women because of it.</w:t>
            </w:r>
          </w:p>
        </w:tc>
      </w:tr>
      <w:tr w:rsidR="00630D84" w:rsidRPr="001C5F43" w14:paraId="36979968" w14:textId="77777777" w:rsidTr="00FE0A9A">
        <w:tc>
          <w:tcPr>
            <w:tcW w:w="14017" w:type="dxa"/>
            <w:gridSpan w:val="5"/>
          </w:tcPr>
          <w:p w14:paraId="70E4EED0" w14:textId="268EF700" w:rsidR="00630D84" w:rsidRPr="001C5F43" w:rsidRDefault="00630D84" w:rsidP="002E2627">
            <w:pPr>
              <w:jc w:val="both"/>
              <w:rPr>
                <w:rFonts w:asciiTheme="minorHAnsi" w:hAnsiTheme="minorHAnsi" w:cstheme="minorHAnsi"/>
                <w:b/>
                <w:sz w:val="22"/>
                <w:szCs w:val="22"/>
                <w:u w:val="single"/>
              </w:rPr>
            </w:pPr>
            <w:r w:rsidRPr="001C5F43">
              <w:rPr>
                <w:rFonts w:asciiTheme="minorHAnsi" w:hAnsiTheme="minorHAnsi" w:cstheme="minorHAnsi"/>
                <w:b/>
                <w:sz w:val="22"/>
                <w:szCs w:val="22"/>
                <w:u w:val="single"/>
              </w:rPr>
              <w:t>Summary of evaluation findings (e.g. from outcome and project evaluations, UNDAF reviews, and other assessments)</w:t>
            </w:r>
          </w:p>
          <w:p w14:paraId="64A33495" w14:textId="6425218D" w:rsidR="000008C0" w:rsidRPr="001F42B6" w:rsidRDefault="000008C0" w:rsidP="004B0D35">
            <w:pPr>
              <w:jc w:val="both"/>
              <w:rPr>
                <w:rFonts w:ascii="Calibri" w:hAnsi="Calibri"/>
                <w:b/>
                <w:sz w:val="22"/>
                <w:szCs w:val="22"/>
                <w:lang w:val="en-GB"/>
              </w:rPr>
            </w:pPr>
            <w:r w:rsidRPr="001F42B6">
              <w:rPr>
                <w:rFonts w:ascii="Garamond" w:hAnsi="Garamond"/>
                <w:b/>
              </w:rPr>
              <w:t xml:space="preserve">Evaluations findings: </w:t>
            </w:r>
          </w:p>
          <w:p w14:paraId="0AD1CD98" w14:textId="326C5D72" w:rsidR="001F42B6" w:rsidRPr="001F42B6" w:rsidRDefault="001F42B6" w:rsidP="001F42B6">
            <w:pPr>
              <w:widowControl/>
              <w:spacing w:after="120" w:line="256" w:lineRule="auto"/>
              <w:jc w:val="both"/>
              <w:rPr>
                <w:rFonts w:ascii="Calibri" w:hAnsi="Calibri"/>
                <w:b/>
                <w:sz w:val="22"/>
                <w:szCs w:val="22"/>
                <w:lang w:val="en-GB"/>
              </w:rPr>
            </w:pPr>
            <w:r w:rsidRPr="001F42B6">
              <w:rPr>
                <w:rFonts w:ascii="Calibri" w:hAnsi="Calibri"/>
                <w:b/>
                <w:sz w:val="22"/>
                <w:szCs w:val="22"/>
                <w:lang w:val="en-GB"/>
              </w:rPr>
              <w:t>CPD midterm outcome evaluation</w:t>
            </w:r>
            <w:r w:rsidR="005E5718">
              <w:rPr>
                <w:rFonts w:ascii="Calibri" w:hAnsi="Calibri"/>
                <w:b/>
                <w:sz w:val="22"/>
                <w:szCs w:val="22"/>
                <w:lang w:val="en-GB"/>
              </w:rPr>
              <w:t>s (2015)</w:t>
            </w:r>
            <w:r w:rsidRPr="001F42B6">
              <w:rPr>
                <w:rFonts w:ascii="Calibri" w:hAnsi="Calibri"/>
                <w:b/>
                <w:sz w:val="22"/>
                <w:szCs w:val="22"/>
                <w:lang w:val="en-GB"/>
              </w:rPr>
              <w:t xml:space="preserve"> covering th</w:t>
            </w:r>
            <w:r w:rsidR="005E5718">
              <w:rPr>
                <w:rFonts w:ascii="Calibri" w:hAnsi="Calibri"/>
                <w:b/>
                <w:sz w:val="22"/>
                <w:szCs w:val="22"/>
                <w:lang w:val="en-GB"/>
              </w:rPr>
              <w:t>e five outcomes of CPD</w:t>
            </w:r>
            <w:r w:rsidRPr="001F42B6">
              <w:rPr>
                <w:rFonts w:ascii="Calibri" w:hAnsi="Calibri"/>
                <w:b/>
                <w:sz w:val="22"/>
                <w:szCs w:val="22"/>
                <w:lang w:val="en-GB"/>
              </w:rPr>
              <w:t xml:space="preserve">: </w:t>
            </w:r>
          </w:p>
          <w:p w14:paraId="44F25840" w14:textId="4094C51F" w:rsidR="001F42B6" w:rsidRPr="001F42B6" w:rsidRDefault="001F42B6" w:rsidP="00273296">
            <w:pPr>
              <w:pStyle w:val="ListParagraph"/>
              <w:numPr>
                <w:ilvl w:val="0"/>
                <w:numId w:val="13"/>
              </w:numPr>
              <w:jc w:val="both"/>
              <w:rPr>
                <w:rFonts w:ascii="Calibri" w:hAnsi="Calibri"/>
                <w:sz w:val="22"/>
                <w:szCs w:val="22"/>
                <w:lang w:val="en-GB"/>
              </w:rPr>
            </w:pPr>
            <w:r>
              <w:rPr>
                <w:rFonts w:ascii="Calibri" w:hAnsi="Calibri"/>
                <w:sz w:val="22"/>
                <w:szCs w:val="22"/>
                <w:lang w:val="en-GB"/>
              </w:rPr>
              <w:t>F</w:t>
            </w:r>
            <w:r w:rsidRPr="001F42B6">
              <w:rPr>
                <w:rFonts w:ascii="Calibri" w:hAnsi="Calibri"/>
                <w:sz w:val="22"/>
                <w:szCs w:val="22"/>
                <w:lang w:val="en-GB"/>
              </w:rPr>
              <w:t>ocusing on resilience to climate change, disaster risk reduction and green growth as key areas, UNDP was instrumental in driving a resilience agenda; building resilience is embedded in the new national development plan. Building on COP21, UNDP will continue to merge this portfolio with inclusive growth and poverty reduction, particularly in urban areas to target the most vulnerable.</w:t>
            </w:r>
            <w:r>
              <w:rPr>
                <w:rFonts w:ascii="Calibri" w:hAnsi="Calibri"/>
                <w:sz w:val="22"/>
                <w:szCs w:val="22"/>
                <w:lang w:val="en-GB"/>
              </w:rPr>
              <w:t xml:space="preserve"> There is a need to r</w:t>
            </w:r>
            <w:r w:rsidRPr="001F42B6">
              <w:rPr>
                <w:rFonts w:ascii="Calibri" w:hAnsi="Calibri"/>
                <w:sz w:val="22"/>
                <w:szCs w:val="22"/>
                <w:lang w:val="en-GB"/>
              </w:rPr>
              <w:t xml:space="preserve">einvigorate our focus on risk reduction and building resilient communities. The way that we address resilience should be broad in scope and conceptually straightforward, </w:t>
            </w:r>
            <w:r w:rsidRPr="001F42B6">
              <w:rPr>
                <w:rFonts w:ascii="Calibri" w:hAnsi="Calibri"/>
                <w:sz w:val="22"/>
                <w:szCs w:val="22"/>
                <w:lang w:val="en-GB"/>
              </w:rPr>
              <w:lastRenderedPageBreak/>
              <w:t>incorporating the fundamental dimensions of robustness, adaptive capacity to stress and shocks, and capacity to bounce back to a new ‘trajectory’.</w:t>
            </w:r>
          </w:p>
          <w:p w14:paraId="22F0EEF6" w14:textId="60EDC2DA" w:rsidR="001F42B6" w:rsidRPr="001F42B6" w:rsidRDefault="003736EE" w:rsidP="00273296">
            <w:pPr>
              <w:pStyle w:val="ListParagraph"/>
              <w:widowControl/>
              <w:numPr>
                <w:ilvl w:val="0"/>
                <w:numId w:val="13"/>
              </w:numPr>
              <w:spacing w:after="120" w:line="256" w:lineRule="auto"/>
              <w:jc w:val="both"/>
              <w:rPr>
                <w:rFonts w:ascii="Calibri" w:hAnsi="Calibri"/>
                <w:sz w:val="22"/>
                <w:szCs w:val="22"/>
                <w:lang w:val="en-GB"/>
              </w:rPr>
            </w:pPr>
            <w:r w:rsidRPr="003736EE">
              <w:rPr>
                <w:rFonts w:ascii="Calibri" w:hAnsi="Calibri"/>
                <w:sz w:val="22"/>
                <w:szCs w:val="22"/>
                <w:lang w:val="en-GB"/>
              </w:rPr>
              <w:t xml:space="preserve">UNDP support to information access, digitalization and simplification of government e-services was rated as highly effective and can serve as a model for areas that require effective, participatory and transparent service delivery. </w:t>
            </w:r>
            <w:r w:rsidR="001F42B6" w:rsidRPr="001F42B6">
              <w:rPr>
                <w:rFonts w:ascii="Calibri" w:hAnsi="Calibri"/>
                <w:sz w:val="22"/>
                <w:szCs w:val="22"/>
                <w:lang w:val="en-GB"/>
              </w:rPr>
              <w:t>Access to information and digitalization of government services and budgeting is a key stand-out of the many factors that continue to drive effective, participatory and transparent service delivery in Bangladesh.</w:t>
            </w:r>
          </w:p>
          <w:p w14:paraId="395833AA" w14:textId="206B2B0C" w:rsidR="001F42B6" w:rsidRPr="001F42B6" w:rsidRDefault="001F42B6" w:rsidP="00273296">
            <w:pPr>
              <w:pStyle w:val="ListParagraph"/>
              <w:widowControl/>
              <w:numPr>
                <w:ilvl w:val="0"/>
                <w:numId w:val="13"/>
              </w:numPr>
              <w:spacing w:after="120" w:line="256" w:lineRule="auto"/>
              <w:jc w:val="both"/>
              <w:rPr>
                <w:rFonts w:ascii="Calibri" w:hAnsi="Calibri"/>
                <w:sz w:val="22"/>
                <w:szCs w:val="22"/>
                <w:lang w:val="en-GB"/>
              </w:rPr>
            </w:pPr>
            <w:r w:rsidRPr="001F42B6">
              <w:rPr>
                <w:rFonts w:ascii="Calibri" w:hAnsi="Calibri"/>
                <w:sz w:val="22"/>
                <w:szCs w:val="22"/>
                <w:lang w:val="en-GB"/>
              </w:rPr>
              <w:t>The partnership between UNDP, the government ministries/ departments, private sector and development stakeholders can be further strengthened.</w:t>
            </w:r>
            <w:r w:rsidR="003736EE">
              <w:rPr>
                <w:rFonts w:ascii="Calibri" w:hAnsi="Calibri"/>
                <w:sz w:val="22"/>
                <w:szCs w:val="22"/>
                <w:lang w:val="en-GB"/>
              </w:rPr>
              <w:t xml:space="preserve"> There is</w:t>
            </w:r>
            <w:r w:rsidRPr="001F42B6">
              <w:rPr>
                <w:rFonts w:ascii="Calibri" w:hAnsi="Calibri"/>
                <w:sz w:val="22"/>
                <w:szCs w:val="22"/>
                <w:lang w:val="en-GB"/>
              </w:rPr>
              <w:t xml:space="preserve"> need to ensure strong engagement in the planning of our interventions, allowing us to establish stronger baseline measurement and monitoring of progress and results, as well as broader and more sustainable project financing. This is particularly critical as Bangladesh rapidly approaches MIC status, to ensure that pressing issues and planning gaps are addressed and that our interventions are sustainable.</w:t>
            </w:r>
          </w:p>
          <w:p w14:paraId="34FAA701" w14:textId="64C30AAE" w:rsidR="000008C0" w:rsidRDefault="00F06B67" w:rsidP="00273296">
            <w:pPr>
              <w:pStyle w:val="ListParagraph"/>
              <w:numPr>
                <w:ilvl w:val="0"/>
                <w:numId w:val="13"/>
              </w:numPr>
              <w:jc w:val="both"/>
              <w:rPr>
                <w:rFonts w:ascii="Calibri" w:hAnsi="Calibri"/>
                <w:sz w:val="22"/>
                <w:szCs w:val="22"/>
                <w:lang w:val="en-GB"/>
              </w:rPr>
            </w:pPr>
            <w:r w:rsidRPr="001F42B6">
              <w:rPr>
                <w:rFonts w:ascii="Calibri" w:hAnsi="Calibri"/>
                <w:sz w:val="22"/>
                <w:szCs w:val="22"/>
                <w:lang w:val="en-GB"/>
              </w:rPr>
              <w:t>UNDP achieved greater impact where a strong evidence base informed programme, targeting and inclusiveness. For example, in 2014, UNDP urban poverty reduction programme targeted 3 million urban poor and helped decrease poverty by 23% (Multidimensional Poverty Index, 2014). Evidence-based programming has also been a key factor for successful scaling up. For example, empirical evidence on case resolution was key to successfully scaling up village courts to reach 27 million poor from a current reach of 7 million poor (LGD 2014). UNDP will strengthen evidence-based analysis by integrating innovations and emerging technologies.</w:t>
            </w:r>
            <w:r w:rsidR="000008C0" w:rsidRPr="001F42B6">
              <w:rPr>
                <w:rFonts w:ascii="Calibri" w:hAnsi="Calibri"/>
                <w:sz w:val="22"/>
                <w:szCs w:val="22"/>
                <w:lang w:val="en-GB"/>
              </w:rPr>
              <w:t xml:space="preserve"> UNDP will seek to create a ‘data revolution’ and include rigorous analysis and empirical evidence.</w:t>
            </w:r>
          </w:p>
          <w:p w14:paraId="78007C1A" w14:textId="77777777" w:rsidR="002864B7" w:rsidRDefault="002864B7" w:rsidP="002864B7">
            <w:pPr>
              <w:pStyle w:val="ListParagraph"/>
              <w:jc w:val="both"/>
              <w:rPr>
                <w:rFonts w:ascii="Calibri" w:hAnsi="Calibri"/>
                <w:sz w:val="22"/>
                <w:szCs w:val="22"/>
                <w:lang w:val="en-GB"/>
              </w:rPr>
            </w:pPr>
          </w:p>
          <w:p w14:paraId="1905ECEE" w14:textId="1E6307FD" w:rsidR="002864B7" w:rsidRPr="002864B7" w:rsidRDefault="002864B7" w:rsidP="002864B7">
            <w:pPr>
              <w:jc w:val="both"/>
              <w:rPr>
                <w:rFonts w:ascii="Calibri" w:hAnsi="Calibri"/>
                <w:b/>
                <w:sz w:val="22"/>
                <w:szCs w:val="22"/>
                <w:lang w:val="en-GB"/>
              </w:rPr>
            </w:pPr>
            <w:r w:rsidRPr="002864B7">
              <w:rPr>
                <w:rFonts w:ascii="Calibri" w:hAnsi="Calibri"/>
                <w:b/>
                <w:sz w:val="22"/>
                <w:szCs w:val="22"/>
                <w:lang w:val="en-GB"/>
              </w:rPr>
              <w:t>Five Independent Value for Money Assessment</w:t>
            </w:r>
          </w:p>
          <w:p w14:paraId="1F2565D8" w14:textId="7346A3A2" w:rsidR="002864B7" w:rsidRPr="002864B7" w:rsidRDefault="002864B7" w:rsidP="002864B7">
            <w:pPr>
              <w:jc w:val="both"/>
              <w:rPr>
                <w:rFonts w:ascii="Calibri" w:hAnsi="Calibri"/>
                <w:sz w:val="22"/>
                <w:szCs w:val="22"/>
                <w:lang w:val="en-GB"/>
              </w:rPr>
            </w:pPr>
            <w:r w:rsidRPr="002864B7">
              <w:rPr>
                <w:rFonts w:ascii="Calibri" w:hAnsi="Calibri"/>
                <w:sz w:val="22"/>
                <w:szCs w:val="22"/>
                <w:lang w:val="en-GB"/>
              </w:rPr>
              <w:t>Resources provided strong value for money as evidenced by five independent value for money assessments. Low management costs and far-reaching visibility and national recognition were key features of UNDP programmes [CDMP value for money assessment 2015, p. 20].</w:t>
            </w:r>
          </w:p>
          <w:p w14:paraId="55A6791D" w14:textId="77777777" w:rsidR="001F42B6" w:rsidRDefault="001F42B6" w:rsidP="001F42B6">
            <w:pPr>
              <w:jc w:val="both"/>
              <w:rPr>
                <w:rFonts w:ascii="Calibri" w:hAnsi="Calibri"/>
                <w:sz w:val="22"/>
                <w:szCs w:val="22"/>
                <w:lang w:val="en-GB"/>
              </w:rPr>
            </w:pPr>
          </w:p>
          <w:p w14:paraId="2D95DAD3" w14:textId="77777777" w:rsidR="001F42B6" w:rsidRPr="001F42B6" w:rsidRDefault="001F42B6" w:rsidP="001F42B6">
            <w:pPr>
              <w:jc w:val="both"/>
              <w:rPr>
                <w:rFonts w:ascii="Calibri" w:hAnsi="Calibri"/>
                <w:b/>
                <w:sz w:val="22"/>
                <w:szCs w:val="22"/>
                <w:lang w:val="en-GB"/>
              </w:rPr>
            </w:pPr>
            <w:r w:rsidRPr="001F42B6">
              <w:rPr>
                <w:rFonts w:ascii="Calibri" w:hAnsi="Calibri"/>
                <w:b/>
                <w:sz w:val="22"/>
                <w:szCs w:val="22"/>
                <w:lang w:val="en-GB"/>
              </w:rPr>
              <w:t>2015 Partnership Survey</w:t>
            </w:r>
          </w:p>
          <w:p w14:paraId="0B464ED6" w14:textId="30636445" w:rsidR="002864B7" w:rsidRPr="002864B7" w:rsidRDefault="002864B7" w:rsidP="002864B7">
            <w:pPr>
              <w:pStyle w:val="BodyText2"/>
              <w:jc w:val="both"/>
              <w:rPr>
                <w:rFonts w:asciiTheme="minorHAnsi" w:hAnsiTheme="minorHAnsi" w:cstheme="minorHAnsi"/>
                <w:sz w:val="22"/>
                <w:szCs w:val="22"/>
              </w:rPr>
            </w:pPr>
            <w:r w:rsidRPr="002864B7">
              <w:rPr>
                <w:rFonts w:asciiTheme="minorHAnsi" w:hAnsiTheme="minorHAnsi" w:cstheme="minorHAnsi"/>
                <w:sz w:val="22"/>
                <w:szCs w:val="22"/>
              </w:rPr>
              <w:t>100% of the respondent government and civil society and 93% of the respondent bilateral donors and agencies considered UNDP to pla</w:t>
            </w:r>
            <w:r w:rsidR="00570F73">
              <w:rPr>
                <w:rFonts w:asciiTheme="minorHAnsi" w:hAnsiTheme="minorHAnsi" w:cstheme="minorHAnsi"/>
                <w:sz w:val="22"/>
                <w:szCs w:val="22"/>
              </w:rPr>
              <w:t>y a relevant role in Bangladesh</w:t>
            </w:r>
            <w:r w:rsidRPr="002864B7">
              <w:rPr>
                <w:rFonts w:asciiTheme="minorHAnsi" w:hAnsiTheme="minorHAnsi" w:cstheme="minorHAnsi"/>
                <w:sz w:val="22"/>
                <w:szCs w:val="22"/>
              </w:rPr>
              <w:t xml:space="preserve">’s development (representing a 33-point increase for government and a 10-point increase for donors/bilaterals from the 2012 survey). Key partner of choice relevance criteria identified by the survey included UNDP technical expertise, its ability to influence policy and achievement of results. </w:t>
            </w:r>
          </w:p>
          <w:p w14:paraId="0E547871" w14:textId="1BCBB3F3" w:rsidR="001F42B6" w:rsidRDefault="00F06B67" w:rsidP="001F42B6">
            <w:pPr>
              <w:jc w:val="both"/>
              <w:rPr>
                <w:rFonts w:ascii="Calibri" w:hAnsi="Calibri"/>
                <w:sz w:val="22"/>
                <w:szCs w:val="22"/>
                <w:lang w:val="en-GB"/>
              </w:rPr>
            </w:pPr>
            <w:r w:rsidRPr="001F42B6">
              <w:rPr>
                <w:rFonts w:ascii="Calibri" w:hAnsi="Calibri"/>
                <w:sz w:val="22"/>
                <w:szCs w:val="22"/>
                <w:lang w:val="en-GB"/>
              </w:rPr>
              <w:t>The top three contributions to national development goals that UNDP is considered to be making are in the areas of: 1) disaster and climate risks; 2) early recovery; and 3) capacity building.</w:t>
            </w:r>
            <w:r w:rsidR="001F42B6" w:rsidRPr="001F42B6">
              <w:rPr>
                <w:rFonts w:ascii="Calibri" w:hAnsi="Calibri"/>
                <w:sz w:val="22"/>
                <w:szCs w:val="22"/>
                <w:lang w:val="en-GB"/>
              </w:rPr>
              <w:t xml:space="preserve"> </w:t>
            </w:r>
            <w:r w:rsidRPr="001F42B6">
              <w:rPr>
                <w:rFonts w:ascii="Calibri" w:hAnsi="Calibri"/>
                <w:sz w:val="22"/>
                <w:szCs w:val="22"/>
                <w:lang w:val="en-GB"/>
              </w:rPr>
              <w:t>In terms of project design, planning</w:t>
            </w:r>
            <w:r w:rsidR="00944AB7">
              <w:rPr>
                <w:rFonts w:ascii="Calibri" w:hAnsi="Calibri"/>
                <w:sz w:val="22"/>
                <w:szCs w:val="22"/>
                <w:lang w:val="en-GB"/>
              </w:rPr>
              <w:t>, transparency and accountability, the government sees UNDP</w:t>
            </w:r>
            <w:r w:rsidRPr="001F42B6">
              <w:rPr>
                <w:rFonts w:ascii="Calibri" w:hAnsi="Calibri"/>
                <w:sz w:val="22"/>
                <w:szCs w:val="22"/>
                <w:lang w:val="en-GB"/>
              </w:rPr>
              <w:t xml:space="preserve"> positively, however our </w:t>
            </w:r>
            <w:r w:rsidR="00944AB7">
              <w:rPr>
                <w:rFonts w:ascii="Calibri" w:hAnsi="Calibri"/>
                <w:sz w:val="22"/>
                <w:szCs w:val="22"/>
                <w:lang w:val="en-GB"/>
              </w:rPr>
              <w:t>development</w:t>
            </w:r>
            <w:r w:rsidRPr="001F42B6">
              <w:rPr>
                <w:rFonts w:ascii="Calibri" w:hAnsi="Calibri"/>
                <w:sz w:val="22"/>
                <w:szCs w:val="22"/>
                <w:lang w:val="en-GB"/>
              </w:rPr>
              <w:t xml:space="preserve"> </w:t>
            </w:r>
            <w:r w:rsidR="00570F73">
              <w:rPr>
                <w:rFonts w:ascii="Calibri" w:hAnsi="Calibri"/>
                <w:sz w:val="22"/>
                <w:szCs w:val="22"/>
                <w:lang w:val="en-GB"/>
              </w:rPr>
              <w:t>partners not so positively</w:t>
            </w:r>
            <w:r w:rsidRPr="001F42B6">
              <w:rPr>
                <w:rFonts w:ascii="Calibri" w:hAnsi="Calibri"/>
                <w:sz w:val="22"/>
                <w:szCs w:val="22"/>
                <w:lang w:val="en-GB"/>
              </w:rPr>
              <w:t xml:space="preserve">. </w:t>
            </w:r>
            <w:r w:rsidR="00944AB7">
              <w:rPr>
                <w:rFonts w:ascii="Calibri" w:hAnsi="Calibri"/>
                <w:sz w:val="22"/>
                <w:szCs w:val="22"/>
                <w:lang w:val="en-GB"/>
              </w:rPr>
              <w:t xml:space="preserve">UNDP is </w:t>
            </w:r>
            <w:r w:rsidR="00570F73">
              <w:rPr>
                <w:rFonts w:ascii="Calibri" w:hAnsi="Calibri"/>
                <w:sz w:val="22"/>
                <w:szCs w:val="22"/>
                <w:lang w:val="en-GB"/>
              </w:rPr>
              <w:t>deepening efforts to address this</w:t>
            </w:r>
            <w:r w:rsidR="00944AB7">
              <w:rPr>
                <w:rFonts w:ascii="Calibri" w:hAnsi="Calibri"/>
                <w:sz w:val="22"/>
                <w:szCs w:val="22"/>
                <w:lang w:val="en-GB"/>
              </w:rPr>
              <w:t xml:space="preserve">. </w:t>
            </w:r>
          </w:p>
          <w:p w14:paraId="6F261922" w14:textId="77777777" w:rsidR="001F42B6" w:rsidRDefault="001F42B6" w:rsidP="001F42B6">
            <w:pPr>
              <w:jc w:val="both"/>
              <w:rPr>
                <w:rFonts w:ascii="Calibri" w:hAnsi="Calibri"/>
                <w:sz w:val="22"/>
                <w:szCs w:val="22"/>
                <w:lang w:val="en-GB"/>
              </w:rPr>
            </w:pPr>
          </w:p>
          <w:p w14:paraId="239F30DA" w14:textId="2D21ECA5" w:rsidR="001F42B6" w:rsidRPr="001F42B6" w:rsidRDefault="001F42B6" w:rsidP="001F42B6">
            <w:pPr>
              <w:jc w:val="both"/>
              <w:rPr>
                <w:rFonts w:ascii="Calibri" w:hAnsi="Calibri"/>
                <w:b/>
                <w:sz w:val="22"/>
                <w:szCs w:val="22"/>
                <w:lang w:val="en-GB"/>
              </w:rPr>
            </w:pPr>
            <w:r w:rsidRPr="001F42B6">
              <w:rPr>
                <w:rFonts w:ascii="Calibri" w:hAnsi="Calibri"/>
                <w:b/>
                <w:sz w:val="22"/>
                <w:szCs w:val="22"/>
                <w:lang w:val="en-GB"/>
              </w:rPr>
              <w:t>UNDAF Evaluation</w:t>
            </w:r>
          </w:p>
          <w:p w14:paraId="1C48A8A6" w14:textId="1D65E277" w:rsidR="00F06B67" w:rsidRPr="001F42B6" w:rsidRDefault="001F42B6" w:rsidP="001F42B6">
            <w:pPr>
              <w:jc w:val="both"/>
              <w:rPr>
                <w:rFonts w:ascii="Calibri" w:hAnsi="Calibri"/>
                <w:sz w:val="22"/>
                <w:szCs w:val="22"/>
                <w:lang w:val="en-GB"/>
              </w:rPr>
            </w:pPr>
            <w:r w:rsidRPr="001F42B6">
              <w:rPr>
                <w:rFonts w:ascii="Calibri" w:hAnsi="Calibri"/>
                <w:sz w:val="22"/>
                <w:szCs w:val="22"/>
                <w:lang w:val="en-GB"/>
              </w:rPr>
              <w:t>T</w:t>
            </w:r>
            <w:r w:rsidR="00F06B67" w:rsidRPr="001F42B6">
              <w:rPr>
                <w:rFonts w:ascii="Calibri" w:hAnsi="Calibri"/>
                <w:sz w:val="22"/>
                <w:szCs w:val="22"/>
                <w:lang w:val="en-GB"/>
              </w:rPr>
              <w:t>here is a</w:t>
            </w:r>
            <w:r w:rsidR="00944AB7">
              <w:rPr>
                <w:rFonts w:ascii="Calibri" w:hAnsi="Calibri"/>
                <w:sz w:val="22"/>
                <w:szCs w:val="22"/>
                <w:lang w:val="en-GB"/>
              </w:rPr>
              <w:t xml:space="preserve"> need for the UN to reignite its</w:t>
            </w:r>
            <w:r w:rsidR="00F06B67" w:rsidRPr="001F42B6">
              <w:rPr>
                <w:rFonts w:ascii="Calibri" w:hAnsi="Calibri"/>
                <w:sz w:val="22"/>
                <w:szCs w:val="22"/>
                <w:lang w:val="en-GB"/>
              </w:rPr>
              <w:t xml:space="preserve"> focus on the normative development agenda – i.e. ensuring the issues of gender equality, human rights, environmental sustainability and capacity development are clearly addressed, despite also being cross-cutting in nature. The UN has a distinct capacity to </w:t>
            </w:r>
            <w:r w:rsidR="00F06B67" w:rsidRPr="001F42B6">
              <w:rPr>
                <w:rFonts w:ascii="Calibri" w:hAnsi="Calibri"/>
                <w:sz w:val="22"/>
                <w:szCs w:val="22"/>
                <w:lang w:val="en-GB"/>
              </w:rPr>
              <w:lastRenderedPageBreak/>
              <w:t>c</w:t>
            </w:r>
            <w:r w:rsidR="00570F73">
              <w:rPr>
                <w:rFonts w:ascii="Calibri" w:hAnsi="Calibri"/>
                <w:sz w:val="22"/>
                <w:szCs w:val="22"/>
                <w:lang w:val="en-GB"/>
              </w:rPr>
              <w:t>ontribute on these core issues and must ensure they are not lost, while continuing to</w:t>
            </w:r>
            <w:r w:rsidR="00F06B67" w:rsidRPr="001F42B6">
              <w:rPr>
                <w:rFonts w:ascii="Calibri" w:hAnsi="Calibri"/>
                <w:sz w:val="22"/>
                <w:szCs w:val="22"/>
                <w:lang w:val="en-GB"/>
              </w:rPr>
              <w:t xml:space="preserve"> focus on developmental </w:t>
            </w:r>
            <w:r w:rsidR="00570F73">
              <w:rPr>
                <w:rFonts w:ascii="Calibri" w:hAnsi="Calibri"/>
                <w:sz w:val="22"/>
                <w:szCs w:val="22"/>
                <w:lang w:val="en-GB"/>
              </w:rPr>
              <w:t>objectives</w:t>
            </w:r>
            <w:r w:rsidR="00F06B67" w:rsidRPr="001F42B6">
              <w:rPr>
                <w:rFonts w:ascii="Calibri" w:hAnsi="Calibri"/>
                <w:sz w:val="22"/>
                <w:szCs w:val="22"/>
                <w:lang w:val="en-GB"/>
              </w:rPr>
              <w:t xml:space="preserve">. This means ensuring that issues such as gender equality, human rights, environmental sustainability, capacity development, and results based management, despite being cross-cutting in nature, are clearly addressed through our programme. </w:t>
            </w:r>
          </w:p>
          <w:p w14:paraId="575384E7" w14:textId="77777777" w:rsidR="00F06B67" w:rsidRPr="001F42B6" w:rsidRDefault="00F06B67" w:rsidP="00F06B67">
            <w:pPr>
              <w:pStyle w:val="ListParagraph"/>
              <w:spacing w:after="120"/>
              <w:ind w:left="1440"/>
              <w:jc w:val="both"/>
              <w:rPr>
                <w:rFonts w:ascii="Calibri" w:hAnsi="Calibri"/>
                <w:sz w:val="22"/>
                <w:szCs w:val="22"/>
                <w:lang w:val="en-GB"/>
              </w:rPr>
            </w:pPr>
          </w:p>
          <w:p w14:paraId="626E726F" w14:textId="77777777" w:rsidR="001F42B6" w:rsidRPr="001C5F43" w:rsidRDefault="001F42B6" w:rsidP="001F42B6">
            <w:pPr>
              <w:pStyle w:val="BodyText2"/>
              <w:tabs>
                <w:tab w:val="left" w:pos="2895"/>
              </w:tabs>
              <w:jc w:val="both"/>
              <w:rPr>
                <w:rFonts w:asciiTheme="minorHAnsi" w:hAnsiTheme="minorHAnsi" w:cstheme="minorHAnsi"/>
                <w:sz w:val="22"/>
                <w:szCs w:val="22"/>
              </w:rPr>
            </w:pPr>
            <w:r w:rsidRPr="001C5F43">
              <w:rPr>
                <w:rFonts w:asciiTheme="minorHAnsi" w:hAnsiTheme="minorHAnsi" w:cstheme="minorHAnsi"/>
                <w:b/>
                <w:sz w:val="22"/>
                <w:szCs w:val="22"/>
              </w:rPr>
              <w:t>Major Lessons Learnt</w:t>
            </w:r>
            <w:r w:rsidRPr="001C5F43">
              <w:rPr>
                <w:rFonts w:asciiTheme="minorHAnsi" w:hAnsiTheme="minorHAnsi" w:cstheme="minorHAnsi"/>
                <w:sz w:val="22"/>
                <w:szCs w:val="22"/>
              </w:rPr>
              <w:t>:</w:t>
            </w:r>
            <w:r>
              <w:rPr>
                <w:rFonts w:asciiTheme="minorHAnsi" w:hAnsiTheme="minorHAnsi" w:cstheme="minorHAnsi"/>
                <w:sz w:val="22"/>
                <w:szCs w:val="22"/>
              </w:rPr>
              <w:tab/>
            </w:r>
          </w:p>
          <w:p w14:paraId="26FBAF6F" w14:textId="1B16CB07" w:rsidR="003736EE" w:rsidRPr="00944AB7" w:rsidRDefault="003736EE" w:rsidP="00273296">
            <w:pPr>
              <w:pStyle w:val="ListParagraph"/>
              <w:numPr>
                <w:ilvl w:val="0"/>
                <w:numId w:val="13"/>
              </w:numPr>
              <w:jc w:val="both"/>
              <w:rPr>
                <w:rFonts w:ascii="Calibri" w:hAnsi="Calibri"/>
                <w:sz w:val="22"/>
                <w:szCs w:val="22"/>
                <w:lang w:val="en-GB"/>
              </w:rPr>
            </w:pPr>
            <w:r w:rsidRPr="00944AB7">
              <w:rPr>
                <w:rFonts w:ascii="Calibri" w:hAnsi="Calibri"/>
                <w:sz w:val="22"/>
                <w:szCs w:val="22"/>
                <w:lang w:val="en-GB"/>
              </w:rPr>
              <w:t>Comprehensive analysis of social, political and environmental risks are necessary for more effective and efficient delivery. Bangladesh’s vulnerability impacted UNDP engagement in democratic governance, service delivery and peace building (SEMB Evaluation; NHRC Evaluation). Weak voice and accountability pose fiduciary risks. UNDP will continue to ensure proactive and more robust risk analysis, managing risk as part of its culture of innovation and creating opportunities for change. UNDP will strengthen its culture of anticipating and managing risk, including undertaking a comprehensive risk mapping and analysis and establishing a risk early warning dashboard. Finally, noting the country’s low rank in T</w:t>
            </w:r>
            <w:r w:rsidR="00570F73">
              <w:rPr>
                <w:rFonts w:ascii="Calibri" w:hAnsi="Calibri"/>
                <w:sz w:val="22"/>
                <w:szCs w:val="22"/>
                <w:lang w:val="en-GB"/>
              </w:rPr>
              <w:t>ransparency International’s 2015</w:t>
            </w:r>
            <w:r w:rsidRPr="00944AB7">
              <w:rPr>
                <w:rFonts w:ascii="Calibri" w:hAnsi="Calibri"/>
                <w:sz w:val="22"/>
                <w:szCs w:val="22"/>
                <w:lang w:val="en-GB"/>
              </w:rPr>
              <w:t xml:space="preserve"> corruption index, UNDP will strengthen internal management of fiduciary risk, capitalizing on community empowerment models and leadership to address such risks. Further, UNDP will focus on broadening democratic space (including empowering youth, indigenous groups and civil society) and engaging government and civil society to influence policy change and strengthen state accountability</w:t>
            </w:r>
            <w:r w:rsidR="00570F73">
              <w:rPr>
                <w:rFonts w:ascii="Calibri" w:hAnsi="Calibri"/>
                <w:sz w:val="22"/>
                <w:szCs w:val="22"/>
                <w:lang w:val="en-GB"/>
              </w:rPr>
              <w:t>.</w:t>
            </w:r>
          </w:p>
          <w:p w14:paraId="0BF5F277" w14:textId="77777777" w:rsidR="003736EE" w:rsidRPr="00944AB7" w:rsidRDefault="001F42B6" w:rsidP="00273296">
            <w:pPr>
              <w:pStyle w:val="ListParagraph"/>
              <w:numPr>
                <w:ilvl w:val="0"/>
                <w:numId w:val="13"/>
              </w:numPr>
              <w:jc w:val="both"/>
              <w:rPr>
                <w:rFonts w:ascii="Calibri" w:hAnsi="Calibri"/>
                <w:sz w:val="22"/>
                <w:szCs w:val="22"/>
                <w:lang w:val="en-GB"/>
              </w:rPr>
            </w:pPr>
            <w:r w:rsidRPr="00944AB7">
              <w:rPr>
                <w:rFonts w:ascii="Calibri" w:hAnsi="Calibri"/>
                <w:sz w:val="22"/>
                <w:szCs w:val="22"/>
                <w:lang w:val="en-GB"/>
              </w:rPr>
              <w:t>A whole-of-government approach is required for resilience-promoting fundamental change. Resilience building needs to be broad in scope, integrated at the design stage and multidimensional. This is important in building resilience to urban disasters, which recently emerged as a major hazard. UNDP is developing a comprehensive national resilience programme to promote risk-informed decision making. UNDP is changing management processes to ensure the country programme takes a more integrated approach for addressing resilience. </w:t>
            </w:r>
          </w:p>
          <w:p w14:paraId="3E2ED04E" w14:textId="068FD4C3" w:rsidR="001F42B6" w:rsidRPr="00944AB7" w:rsidRDefault="001F42B6" w:rsidP="00273296">
            <w:pPr>
              <w:pStyle w:val="ListParagraph"/>
              <w:numPr>
                <w:ilvl w:val="0"/>
                <w:numId w:val="13"/>
              </w:numPr>
              <w:jc w:val="both"/>
              <w:rPr>
                <w:rFonts w:ascii="Calibri" w:hAnsi="Calibri"/>
                <w:sz w:val="22"/>
                <w:szCs w:val="22"/>
                <w:lang w:val="en-GB"/>
              </w:rPr>
            </w:pPr>
            <w:r w:rsidRPr="00944AB7">
              <w:rPr>
                <w:rFonts w:ascii="Calibri" w:hAnsi="Calibri"/>
                <w:sz w:val="22"/>
                <w:szCs w:val="22"/>
                <w:lang w:val="en-GB"/>
              </w:rPr>
              <w:t>Systematic data and a lack of baseline data collection and control groups have hampered efforts to assess results, identify evidence and attribute positive changes to interventions. These shortcomings undermined CPD and UNDAF evaluations usefulness. A lack of systematic document management hampered UNDP’s ability to utilize knowledge management and institutional memory. The CO will establish an effective, system-wide approach to data collection. UNDP will focus on innovative data collection methods (including direct feedback loops) and will work in partnership with innovative centres that have experience in these methods.</w:t>
            </w:r>
          </w:p>
          <w:p w14:paraId="04C938E0" w14:textId="24087984" w:rsidR="00630D84" w:rsidRPr="008967EC" w:rsidRDefault="003736EE" w:rsidP="00273296">
            <w:pPr>
              <w:pStyle w:val="ListParagraph"/>
              <w:numPr>
                <w:ilvl w:val="0"/>
                <w:numId w:val="13"/>
              </w:numPr>
              <w:spacing w:after="240"/>
              <w:jc w:val="both"/>
              <w:rPr>
                <w:rFonts w:asciiTheme="minorHAnsi" w:hAnsiTheme="minorHAnsi" w:cstheme="minorHAnsi"/>
                <w:i/>
                <w:sz w:val="22"/>
                <w:szCs w:val="22"/>
              </w:rPr>
            </w:pPr>
            <w:r w:rsidRPr="00944AB7">
              <w:rPr>
                <w:rFonts w:ascii="Calibri" w:hAnsi="Calibri"/>
                <w:sz w:val="22"/>
                <w:szCs w:val="22"/>
                <w:lang w:val="en-GB"/>
              </w:rPr>
              <w:t>There is a crucial role played by communities in creating civic space that can increase participation and diversity in local policy decisions. Once these platforms are made accessible and driven by the communities themselves, public appetite for increased involvement in the decisions that affect their lives is significant (UPGP/UZGP Evaluation, 2014). Increased public engagement and oversight of local decisions have helped strengthen both accountability and voice.  When women have opportunities they have been particularly active and with access to finance and leadership development, over 70% engaged in local planning; over 50% reported that they felt empowered (UPPR 2014). UNDP will pursue similar models of empowerment in new programming on democratic space and youth empowerment creating an environment for development of tools, platforms and evidence for citizens to engage at public policy level.</w:t>
            </w:r>
          </w:p>
        </w:tc>
      </w:tr>
    </w:tbl>
    <w:p w14:paraId="02DA334F" w14:textId="77777777" w:rsidR="005927F0" w:rsidRPr="001C5F43" w:rsidRDefault="005927F0" w:rsidP="002E2627">
      <w:pPr>
        <w:pStyle w:val="BodyText2"/>
        <w:jc w:val="both"/>
        <w:rPr>
          <w:rFonts w:asciiTheme="minorHAnsi" w:hAnsiTheme="minorHAnsi" w:cstheme="minorHAnsi"/>
          <w:b/>
          <w:sz w:val="22"/>
          <w:szCs w:val="22"/>
        </w:rPr>
      </w:pPr>
    </w:p>
    <w:p w14:paraId="130048B2" w14:textId="77777777" w:rsidR="00903930" w:rsidRPr="001C5F43" w:rsidRDefault="00903930" w:rsidP="002E2627">
      <w:pPr>
        <w:pStyle w:val="BodyText2"/>
        <w:jc w:val="both"/>
        <w:rPr>
          <w:rFonts w:asciiTheme="minorHAnsi" w:hAnsiTheme="minorHAnsi" w:cstheme="minorHAnsi"/>
          <w:b/>
          <w:sz w:val="22"/>
          <w:szCs w:val="22"/>
        </w:rPr>
      </w:pPr>
    </w:p>
    <w:p w14:paraId="2E13F526" w14:textId="77777777" w:rsidR="00903930" w:rsidRPr="00944AB7" w:rsidRDefault="00903930" w:rsidP="002E2627">
      <w:pPr>
        <w:pStyle w:val="BodyText2"/>
        <w:jc w:val="both"/>
        <w:rPr>
          <w:rFonts w:asciiTheme="minorHAnsi" w:hAnsiTheme="minorHAnsi" w:cstheme="minorHAnsi"/>
          <w:b/>
          <w:sz w:val="22"/>
          <w:szCs w:val="22"/>
        </w:rPr>
      </w:pPr>
      <w:r w:rsidRPr="00944AB7">
        <w:rPr>
          <w:rFonts w:asciiTheme="minorHAnsi" w:hAnsiTheme="minorHAnsi" w:cstheme="minorHAnsi"/>
          <w:b/>
          <w:sz w:val="22"/>
          <w:szCs w:val="22"/>
        </w:rPr>
        <w:t>III. Country Programme Resources</w:t>
      </w:r>
    </w:p>
    <w:tbl>
      <w:tblPr>
        <w:tblStyle w:val="TableGrid"/>
        <w:tblW w:w="0" w:type="auto"/>
        <w:tblLook w:val="04A0" w:firstRow="1" w:lastRow="0" w:firstColumn="1" w:lastColumn="0" w:noHBand="0" w:noVBand="1"/>
      </w:tblPr>
      <w:tblGrid>
        <w:gridCol w:w="6117"/>
        <w:gridCol w:w="1866"/>
        <w:gridCol w:w="2039"/>
        <w:gridCol w:w="1949"/>
        <w:gridCol w:w="1979"/>
      </w:tblGrid>
      <w:tr w:rsidR="00903930" w:rsidRPr="001C5F43" w14:paraId="65F8FB0B" w14:textId="77777777" w:rsidTr="00903930">
        <w:tc>
          <w:tcPr>
            <w:tcW w:w="6117" w:type="dxa"/>
            <w:shd w:val="clear" w:color="auto" w:fill="000000" w:themeFill="text1"/>
          </w:tcPr>
          <w:p w14:paraId="4EB0721E" w14:textId="00A6E89C" w:rsidR="00903930" w:rsidRPr="001C5F43" w:rsidRDefault="00594A38" w:rsidP="002E2627">
            <w:pPr>
              <w:pStyle w:val="BodyText2"/>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 xml:space="preserve">UNDP Strategic Plan Outcomes </w:t>
            </w:r>
          </w:p>
        </w:tc>
        <w:tc>
          <w:tcPr>
            <w:tcW w:w="5854" w:type="dxa"/>
            <w:gridSpan w:val="3"/>
            <w:shd w:val="clear" w:color="auto" w:fill="000000" w:themeFill="text1"/>
          </w:tcPr>
          <w:p w14:paraId="6216D565" w14:textId="058655D1" w:rsidR="00903930" w:rsidRPr="001C5F43" w:rsidRDefault="00903930" w:rsidP="002E2627">
            <w:pPr>
              <w:pStyle w:val="BodyText2"/>
              <w:jc w:val="both"/>
              <w:rPr>
                <w:rFonts w:asciiTheme="minorHAnsi" w:hAnsiTheme="minorHAnsi" w:cstheme="minorHAnsi"/>
                <w:b/>
                <w:color w:val="FFFFFF" w:themeColor="background1"/>
                <w:sz w:val="22"/>
                <w:szCs w:val="22"/>
              </w:rPr>
            </w:pPr>
            <w:r w:rsidRPr="001C5F43">
              <w:rPr>
                <w:rFonts w:asciiTheme="minorHAnsi" w:hAnsiTheme="minorHAnsi" w:cstheme="minorHAnsi"/>
                <w:b/>
                <w:color w:val="FFFFFF" w:themeColor="background1"/>
                <w:sz w:val="22"/>
                <w:szCs w:val="22"/>
              </w:rPr>
              <w:t>Programme Expenditure ($)</w:t>
            </w:r>
            <w:r w:rsidR="00053D0E">
              <w:rPr>
                <w:rFonts w:asciiTheme="minorHAnsi" w:hAnsiTheme="minorHAnsi" w:cstheme="minorHAnsi"/>
                <w:b/>
                <w:color w:val="FFFFFF" w:themeColor="background1"/>
                <w:sz w:val="22"/>
                <w:szCs w:val="22"/>
              </w:rPr>
              <w:t xml:space="preserve"> 2012-2016</w:t>
            </w:r>
          </w:p>
        </w:tc>
        <w:tc>
          <w:tcPr>
            <w:tcW w:w="1979" w:type="dxa"/>
            <w:shd w:val="clear" w:color="auto" w:fill="000000" w:themeFill="text1"/>
          </w:tcPr>
          <w:p w14:paraId="21055E22" w14:textId="77777777" w:rsidR="00903930" w:rsidRPr="001C5F43" w:rsidRDefault="00903930" w:rsidP="002E2627">
            <w:pPr>
              <w:pStyle w:val="BodyText2"/>
              <w:jc w:val="both"/>
              <w:rPr>
                <w:rFonts w:asciiTheme="minorHAnsi" w:hAnsiTheme="minorHAnsi" w:cstheme="minorHAnsi"/>
                <w:b/>
                <w:color w:val="FFFFFF" w:themeColor="background1"/>
                <w:sz w:val="22"/>
                <w:szCs w:val="22"/>
              </w:rPr>
            </w:pPr>
            <w:r w:rsidRPr="001C5F43">
              <w:rPr>
                <w:rFonts w:asciiTheme="minorHAnsi" w:hAnsiTheme="minorHAnsi" w:cstheme="minorHAnsi"/>
                <w:b/>
                <w:color w:val="FFFFFF" w:themeColor="background1"/>
                <w:sz w:val="22"/>
                <w:szCs w:val="22"/>
              </w:rPr>
              <w:t>% of Total</w:t>
            </w:r>
          </w:p>
        </w:tc>
      </w:tr>
      <w:tr w:rsidR="00903930" w:rsidRPr="00F81402" w14:paraId="1BBB38F3" w14:textId="77777777" w:rsidTr="00903930">
        <w:tc>
          <w:tcPr>
            <w:tcW w:w="6117" w:type="dxa"/>
          </w:tcPr>
          <w:p w14:paraId="1BC3B3C8" w14:textId="77777777" w:rsidR="00903930" w:rsidRPr="00F81402" w:rsidRDefault="00903930" w:rsidP="002E2627">
            <w:pPr>
              <w:pStyle w:val="BodyText2"/>
              <w:jc w:val="both"/>
              <w:rPr>
                <w:rFonts w:asciiTheme="minorHAnsi" w:hAnsiTheme="minorHAnsi" w:cstheme="minorHAnsi"/>
                <w:sz w:val="22"/>
                <w:szCs w:val="22"/>
              </w:rPr>
            </w:pPr>
          </w:p>
        </w:tc>
        <w:tc>
          <w:tcPr>
            <w:tcW w:w="1866" w:type="dxa"/>
          </w:tcPr>
          <w:p w14:paraId="3DD4D0E1" w14:textId="77777777" w:rsidR="00903930" w:rsidRPr="00F81402" w:rsidRDefault="00903930" w:rsidP="002E2627">
            <w:pPr>
              <w:pStyle w:val="BodyText2"/>
              <w:jc w:val="both"/>
              <w:rPr>
                <w:rFonts w:asciiTheme="minorHAnsi" w:hAnsiTheme="minorHAnsi" w:cstheme="minorHAnsi"/>
                <w:sz w:val="22"/>
                <w:szCs w:val="22"/>
              </w:rPr>
            </w:pPr>
            <w:r w:rsidRPr="00F81402">
              <w:rPr>
                <w:rFonts w:asciiTheme="minorHAnsi" w:hAnsiTheme="minorHAnsi" w:cstheme="minorHAnsi"/>
                <w:sz w:val="22"/>
                <w:szCs w:val="22"/>
              </w:rPr>
              <w:t>Regular (TRAC)</w:t>
            </w:r>
          </w:p>
        </w:tc>
        <w:tc>
          <w:tcPr>
            <w:tcW w:w="2039" w:type="dxa"/>
          </w:tcPr>
          <w:p w14:paraId="285E1DAF" w14:textId="77777777" w:rsidR="00903930" w:rsidRPr="00F81402" w:rsidRDefault="00903930" w:rsidP="002E2627">
            <w:pPr>
              <w:pStyle w:val="BodyText2"/>
              <w:jc w:val="both"/>
              <w:rPr>
                <w:rFonts w:asciiTheme="minorHAnsi" w:hAnsiTheme="minorHAnsi" w:cstheme="minorHAnsi"/>
                <w:sz w:val="22"/>
                <w:szCs w:val="22"/>
              </w:rPr>
            </w:pPr>
            <w:r w:rsidRPr="00F81402">
              <w:rPr>
                <w:rFonts w:asciiTheme="minorHAnsi" w:hAnsiTheme="minorHAnsi" w:cstheme="minorHAnsi"/>
                <w:sz w:val="22"/>
                <w:szCs w:val="22"/>
              </w:rPr>
              <w:t>Other</w:t>
            </w:r>
          </w:p>
        </w:tc>
        <w:tc>
          <w:tcPr>
            <w:tcW w:w="1949" w:type="dxa"/>
          </w:tcPr>
          <w:p w14:paraId="3DA5832A" w14:textId="77777777" w:rsidR="00903930" w:rsidRPr="00F81402" w:rsidRDefault="00903930" w:rsidP="002E2627">
            <w:pPr>
              <w:pStyle w:val="BodyText2"/>
              <w:jc w:val="both"/>
              <w:rPr>
                <w:rFonts w:asciiTheme="minorHAnsi" w:hAnsiTheme="minorHAnsi" w:cstheme="minorHAnsi"/>
                <w:sz w:val="22"/>
                <w:szCs w:val="22"/>
              </w:rPr>
            </w:pPr>
            <w:r w:rsidRPr="00F81402">
              <w:rPr>
                <w:rFonts w:asciiTheme="minorHAnsi" w:hAnsiTheme="minorHAnsi" w:cstheme="minorHAnsi"/>
                <w:sz w:val="22"/>
                <w:szCs w:val="22"/>
              </w:rPr>
              <w:t>Total</w:t>
            </w:r>
          </w:p>
        </w:tc>
        <w:tc>
          <w:tcPr>
            <w:tcW w:w="1979" w:type="dxa"/>
          </w:tcPr>
          <w:p w14:paraId="11A5ABC4" w14:textId="77777777" w:rsidR="00903930" w:rsidRPr="00F81402" w:rsidRDefault="00903930" w:rsidP="002E2627">
            <w:pPr>
              <w:pStyle w:val="BodyText2"/>
              <w:jc w:val="both"/>
              <w:rPr>
                <w:rFonts w:asciiTheme="minorHAnsi" w:hAnsiTheme="minorHAnsi" w:cstheme="minorHAnsi"/>
                <w:sz w:val="22"/>
                <w:szCs w:val="22"/>
              </w:rPr>
            </w:pPr>
          </w:p>
        </w:tc>
      </w:tr>
      <w:tr w:rsidR="00D23D00" w:rsidRPr="00F81402" w14:paraId="1A597172" w14:textId="77777777" w:rsidTr="009A1868">
        <w:tc>
          <w:tcPr>
            <w:tcW w:w="6117" w:type="dxa"/>
          </w:tcPr>
          <w:p w14:paraId="78848556" w14:textId="1BF3DD9A" w:rsidR="00D23D00" w:rsidRPr="00F81402" w:rsidRDefault="00594A38" w:rsidP="00D23D00">
            <w:pPr>
              <w:pStyle w:val="BodyText2"/>
              <w:jc w:val="both"/>
              <w:rPr>
                <w:rFonts w:asciiTheme="minorHAnsi" w:hAnsiTheme="minorHAnsi" w:cstheme="minorHAnsi"/>
                <w:sz w:val="22"/>
                <w:szCs w:val="22"/>
              </w:rPr>
            </w:pPr>
            <w:r w:rsidRPr="00F81402">
              <w:rPr>
                <w:rFonts w:asciiTheme="minorHAnsi" w:hAnsiTheme="minorHAnsi" w:cstheme="minorHAnsi"/>
                <w:sz w:val="22"/>
                <w:szCs w:val="22"/>
              </w:rPr>
              <w:t xml:space="preserve">Outcome </w:t>
            </w:r>
            <w:r w:rsidR="00F81402" w:rsidRPr="00F81402">
              <w:rPr>
                <w:rFonts w:asciiTheme="minorHAnsi" w:hAnsiTheme="minorHAnsi" w:cstheme="minorHAnsi"/>
                <w:sz w:val="22"/>
                <w:szCs w:val="22"/>
              </w:rPr>
              <w:t>1</w:t>
            </w:r>
            <w:r w:rsidRPr="00F81402">
              <w:rPr>
                <w:rFonts w:asciiTheme="minorHAnsi" w:hAnsiTheme="minorHAnsi" w:cstheme="minorHAnsi"/>
                <w:sz w:val="22"/>
                <w:szCs w:val="22"/>
              </w:rPr>
              <w:t xml:space="preserve">: </w:t>
            </w:r>
            <w:r w:rsidR="00F81402" w:rsidRPr="00F81402">
              <w:rPr>
                <w:rFonts w:asciiTheme="minorHAnsi" w:hAnsiTheme="minorHAnsi"/>
                <w:sz w:val="22"/>
                <w:szCs w:val="22"/>
              </w:rPr>
              <w:t>Sustainable growth and development</w:t>
            </w:r>
          </w:p>
        </w:tc>
        <w:tc>
          <w:tcPr>
            <w:tcW w:w="1866" w:type="dxa"/>
          </w:tcPr>
          <w:p w14:paraId="0EFC23E4" w14:textId="37867547"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10,633,866 </w:t>
            </w:r>
          </w:p>
        </w:tc>
        <w:tc>
          <w:tcPr>
            <w:tcW w:w="2039" w:type="dxa"/>
          </w:tcPr>
          <w:p w14:paraId="79F987D0" w14:textId="17341E44"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88,194,287 </w:t>
            </w:r>
          </w:p>
        </w:tc>
        <w:tc>
          <w:tcPr>
            <w:tcW w:w="1949" w:type="dxa"/>
          </w:tcPr>
          <w:p w14:paraId="74DC3A49" w14:textId="70C0652B"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98,828,153 </w:t>
            </w:r>
          </w:p>
        </w:tc>
        <w:tc>
          <w:tcPr>
            <w:tcW w:w="1979" w:type="dxa"/>
          </w:tcPr>
          <w:p w14:paraId="3FB4E8F2" w14:textId="3D782EDF" w:rsidR="00D23D00" w:rsidRPr="00F81402" w:rsidRDefault="00D23D00" w:rsidP="00D23D00">
            <w:pPr>
              <w:pStyle w:val="BodyText2"/>
              <w:jc w:val="center"/>
              <w:rPr>
                <w:rFonts w:asciiTheme="minorHAnsi" w:hAnsiTheme="minorHAnsi" w:cstheme="minorHAnsi"/>
                <w:sz w:val="22"/>
                <w:szCs w:val="22"/>
              </w:rPr>
            </w:pPr>
            <w:r w:rsidRPr="00F81402">
              <w:rPr>
                <w:rFonts w:asciiTheme="minorHAnsi" w:hAnsiTheme="minorHAnsi" w:cstheme="minorHAnsi"/>
                <w:sz w:val="22"/>
                <w:szCs w:val="22"/>
              </w:rPr>
              <w:t>30%</w:t>
            </w:r>
          </w:p>
        </w:tc>
      </w:tr>
      <w:tr w:rsidR="00D23D00" w:rsidRPr="00F81402" w14:paraId="0E713065" w14:textId="77777777" w:rsidTr="009A1868">
        <w:tc>
          <w:tcPr>
            <w:tcW w:w="6117" w:type="dxa"/>
          </w:tcPr>
          <w:p w14:paraId="7461DA9B" w14:textId="29F0E6BF" w:rsidR="00D23D00" w:rsidRPr="00F81402" w:rsidRDefault="00594A38" w:rsidP="00F81402">
            <w:pPr>
              <w:pStyle w:val="BodyText2"/>
              <w:jc w:val="both"/>
              <w:rPr>
                <w:rFonts w:asciiTheme="minorHAnsi" w:hAnsiTheme="minorHAnsi" w:cstheme="minorHAnsi"/>
                <w:sz w:val="22"/>
                <w:szCs w:val="22"/>
              </w:rPr>
            </w:pPr>
            <w:r w:rsidRPr="00F81402">
              <w:rPr>
                <w:rFonts w:asciiTheme="minorHAnsi" w:hAnsiTheme="minorHAnsi" w:cstheme="minorHAnsi"/>
                <w:sz w:val="22"/>
                <w:szCs w:val="22"/>
              </w:rPr>
              <w:t>Outcome</w:t>
            </w:r>
            <w:r w:rsidR="00F81402" w:rsidRPr="00F81402">
              <w:rPr>
                <w:rFonts w:asciiTheme="minorHAnsi" w:hAnsiTheme="minorHAnsi" w:cstheme="minorHAnsi"/>
                <w:sz w:val="22"/>
                <w:szCs w:val="22"/>
              </w:rPr>
              <w:t xml:space="preserve"> </w:t>
            </w:r>
            <w:r w:rsidRPr="00F81402">
              <w:rPr>
                <w:rFonts w:asciiTheme="minorHAnsi" w:hAnsiTheme="minorHAnsi" w:cstheme="minorHAnsi"/>
                <w:sz w:val="22"/>
                <w:szCs w:val="22"/>
              </w:rPr>
              <w:t xml:space="preserve">2: </w:t>
            </w:r>
            <w:r w:rsidR="00F81402" w:rsidRPr="00F81402">
              <w:rPr>
                <w:rFonts w:asciiTheme="minorHAnsi" w:hAnsiTheme="minorHAnsi"/>
                <w:sz w:val="22"/>
                <w:szCs w:val="22"/>
              </w:rPr>
              <w:t>Citizen voice, rule of law, accountability and democratic governance</w:t>
            </w:r>
          </w:p>
        </w:tc>
        <w:tc>
          <w:tcPr>
            <w:tcW w:w="1866" w:type="dxa"/>
          </w:tcPr>
          <w:p w14:paraId="690C755A" w14:textId="3A324A19"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3,759,686 </w:t>
            </w:r>
          </w:p>
        </w:tc>
        <w:tc>
          <w:tcPr>
            <w:tcW w:w="2039" w:type="dxa"/>
          </w:tcPr>
          <w:p w14:paraId="1DFEE014" w14:textId="6E30808E"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30,179,696 </w:t>
            </w:r>
          </w:p>
        </w:tc>
        <w:tc>
          <w:tcPr>
            <w:tcW w:w="1949" w:type="dxa"/>
          </w:tcPr>
          <w:p w14:paraId="55E725B2" w14:textId="5CFA41F1"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33,939,382 </w:t>
            </w:r>
          </w:p>
        </w:tc>
        <w:tc>
          <w:tcPr>
            <w:tcW w:w="1979" w:type="dxa"/>
          </w:tcPr>
          <w:p w14:paraId="1F9E13FA" w14:textId="05764A8F" w:rsidR="00D23D00" w:rsidRPr="00F81402" w:rsidRDefault="00D23D00" w:rsidP="00D23D00">
            <w:pPr>
              <w:pStyle w:val="BodyText2"/>
              <w:jc w:val="center"/>
              <w:rPr>
                <w:rFonts w:asciiTheme="minorHAnsi" w:hAnsiTheme="minorHAnsi" w:cstheme="minorHAnsi"/>
                <w:sz w:val="22"/>
                <w:szCs w:val="22"/>
              </w:rPr>
            </w:pPr>
            <w:r w:rsidRPr="00F81402">
              <w:rPr>
                <w:rFonts w:asciiTheme="minorHAnsi" w:hAnsiTheme="minorHAnsi" w:cstheme="minorHAnsi"/>
                <w:sz w:val="22"/>
                <w:szCs w:val="22"/>
              </w:rPr>
              <w:t>10%</w:t>
            </w:r>
          </w:p>
        </w:tc>
      </w:tr>
      <w:tr w:rsidR="00D23D00" w:rsidRPr="00F81402" w14:paraId="334DBC15" w14:textId="77777777" w:rsidTr="009A1868">
        <w:tc>
          <w:tcPr>
            <w:tcW w:w="6117" w:type="dxa"/>
          </w:tcPr>
          <w:p w14:paraId="45C0F1F5" w14:textId="391D151A" w:rsidR="00D23D00" w:rsidRPr="00F81402" w:rsidRDefault="00594A38" w:rsidP="00D23D00">
            <w:pPr>
              <w:pStyle w:val="BodyText2"/>
              <w:jc w:val="both"/>
              <w:rPr>
                <w:rFonts w:asciiTheme="minorHAnsi" w:hAnsiTheme="minorHAnsi"/>
                <w:sz w:val="22"/>
                <w:szCs w:val="22"/>
              </w:rPr>
            </w:pPr>
            <w:r w:rsidRPr="00F81402">
              <w:rPr>
                <w:rFonts w:asciiTheme="minorHAnsi" w:hAnsiTheme="minorHAnsi" w:cstheme="minorHAnsi"/>
                <w:sz w:val="22"/>
                <w:szCs w:val="22"/>
              </w:rPr>
              <w:t xml:space="preserve">Outcome 3: </w:t>
            </w:r>
            <w:r w:rsidR="00F81402" w:rsidRPr="00F81402">
              <w:rPr>
                <w:rFonts w:asciiTheme="minorHAnsi" w:hAnsiTheme="minorHAnsi"/>
                <w:sz w:val="22"/>
                <w:szCs w:val="22"/>
              </w:rPr>
              <w:t>Strengthened institutions for universal access to basic services</w:t>
            </w:r>
          </w:p>
        </w:tc>
        <w:tc>
          <w:tcPr>
            <w:tcW w:w="1866" w:type="dxa"/>
          </w:tcPr>
          <w:p w14:paraId="160F0F9C" w14:textId="5D35CF65"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26,301,656 </w:t>
            </w:r>
          </w:p>
        </w:tc>
        <w:tc>
          <w:tcPr>
            <w:tcW w:w="2039" w:type="dxa"/>
          </w:tcPr>
          <w:p w14:paraId="5AD691B6" w14:textId="746247E1"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51,269,307 </w:t>
            </w:r>
          </w:p>
        </w:tc>
        <w:tc>
          <w:tcPr>
            <w:tcW w:w="1949" w:type="dxa"/>
          </w:tcPr>
          <w:p w14:paraId="74A0DC3D" w14:textId="796C7C0B"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77,570,964 </w:t>
            </w:r>
          </w:p>
        </w:tc>
        <w:tc>
          <w:tcPr>
            <w:tcW w:w="1979" w:type="dxa"/>
          </w:tcPr>
          <w:p w14:paraId="5A2E0A4B" w14:textId="51DFB532" w:rsidR="00D23D00" w:rsidRPr="00F81402" w:rsidRDefault="00D23D00" w:rsidP="00D23D00">
            <w:pPr>
              <w:pStyle w:val="BodyText2"/>
              <w:jc w:val="center"/>
              <w:rPr>
                <w:rFonts w:asciiTheme="minorHAnsi" w:hAnsiTheme="minorHAnsi" w:cstheme="minorHAnsi"/>
                <w:sz w:val="22"/>
                <w:szCs w:val="22"/>
              </w:rPr>
            </w:pPr>
            <w:r w:rsidRPr="00F81402">
              <w:rPr>
                <w:rFonts w:asciiTheme="minorHAnsi" w:hAnsiTheme="minorHAnsi" w:cstheme="minorHAnsi"/>
                <w:sz w:val="22"/>
                <w:szCs w:val="22"/>
              </w:rPr>
              <w:t>23%</w:t>
            </w:r>
          </w:p>
        </w:tc>
      </w:tr>
      <w:tr w:rsidR="00D23D00" w:rsidRPr="00F81402" w14:paraId="6BA9BD91" w14:textId="77777777" w:rsidTr="009A1868">
        <w:tc>
          <w:tcPr>
            <w:tcW w:w="6117" w:type="dxa"/>
          </w:tcPr>
          <w:p w14:paraId="3D80C138" w14:textId="58162C26" w:rsidR="00D23D00" w:rsidRPr="00F81402" w:rsidRDefault="00594A38" w:rsidP="00D23D00">
            <w:pPr>
              <w:pStyle w:val="BodyText2"/>
              <w:jc w:val="both"/>
              <w:rPr>
                <w:rFonts w:asciiTheme="minorHAnsi" w:hAnsiTheme="minorHAnsi"/>
                <w:sz w:val="22"/>
                <w:szCs w:val="22"/>
              </w:rPr>
            </w:pPr>
            <w:r w:rsidRPr="00F81402">
              <w:rPr>
                <w:rFonts w:asciiTheme="minorHAnsi" w:hAnsiTheme="minorHAnsi" w:cstheme="minorHAnsi"/>
                <w:sz w:val="22"/>
                <w:szCs w:val="22"/>
              </w:rPr>
              <w:t xml:space="preserve">Outcome </w:t>
            </w:r>
            <w:r w:rsidR="00F81402">
              <w:rPr>
                <w:rFonts w:asciiTheme="minorHAnsi" w:hAnsiTheme="minorHAnsi" w:cstheme="minorHAnsi"/>
                <w:sz w:val="22"/>
                <w:szCs w:val="22"/>
              </w:rPr>
              <w:t>4</w:t>
            </w:r>
            <w:r w:rsidRPr="00F81402">
              <w:rPr>
                <w:rFonts w:asciiTheme="minorHAnsi" w:hAnsiTheme="minorHAnsi" w:cstheme="minorHAnsi"/>
                <w:sz w:val="22"/>
                <w:szCs w:val="22"/>
              </w:rPr>
              <w:t xml:space="preserve">: </w:t>
            </w:r>
            <w:r w:rsidR="00D23D00" w:rsidRPr="00F81402">
              <w:rPr>
                <w:rFonts w:asciiTheme="minorHAnsi" w:hAnsiTheme="minorHAnsi" w:cstheme="minorHAnsi"/>
                <w:sz w:val="22"/>
                <w:szCs w:val="22"/>
              </w:rPr>
              <w:t> </w:t>
            </w:r>
            <w:r w:rsidR="00F81402" w:rsidRPr="00F81402">
              <w:rPr>
                <w:rFonts w:asciiTheme="minorHAnsi" w:hAnsiTheme="minorHAnsi"/>
                <w:sz w:val="22"/>
                <w:szCs w:val="22"/>
              </w:rPr>
              <w:t>Gender equality and women’s empowerment</w:t>
            </w:r>
          </w:p>
        </w:tc>
        <w:tc>
          <w:tcPr>
            <w:tcW w:w="1866" w:type="dxa"/>
          </w:tcPr>
          <w:p w14:paraId="0F81502C" w14:textId="73178969"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259,737 </w:t>
            </w:r>
          </w:p>
        </w:tc>
        <w:tc>
          <w:tcPr>
            <w:tcW w:w="2039" w:type="dxa"/>
          </w:tcPr>
          <w:p w14:paraId="6EED5EC1" w14:textId="68FF8098"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1,140,699 </w:t>
            </w:r>
          </w:p>
        </w:tc>
        <w:tc>
          <w:tcPr>
            <w:tcW w:w="1949" w:type="dxa"/>
          </w:tcPr>
          <w:p w14:paraId="235909DA" w14:textId="2CF54660"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1,400,436 </w:t>
            </w:r>
          </w:p>
        </w:tc>
        <w:tc>
          <w:tcPr>
            <w:tcW w:w="1979" w:type="dxa"/>
          </w:tcPr>
          <w:p w14:paraId="29DBADDD" w14:textId="58998DB7" w:rsidR="00D23D00" w:rsidRPr="00F81402" w:rsidRDefault="00D23D00" w:rsidP="00D23D00">
            <w:pPr>
              <w:pStyle w:val="BodyText2"/>
              <w:jc w:val="center"/>
              <w:rPr>
                <w:rFonts w:asciiTheme="minorHAnsi" w:hAnsiTheme="minorHAnsi" w:cstheme="minorHAnsi"/>
                <w:sz w:val="22"/>
                <w:szCs w:val="22"/>
              </w:rPr>
            </w:pPr>
            <w:r w:rsidRPr="00F81402">
              <w:rPr>
                <w:rFonts w:asciiTheme="minorHAnsi" w:hAnsiTheme="minorHAnsi" w:cstheme="minorHAnsi"/>
                <w:sz w:val="22"/>
                <w:szCs w:val="22"/>
              </w:rPr>
              <w:t>0%</w:t>
            </w:r>
          </w:p>
        </w:tc>
      </w:tr>
      <w:tr w:rsidR="00D23D00" w:rsidRPr="00F81402" w14:paraId="10A890AA" w14:textId="77777777" w:rsidTr="009A1868">
        <w:tc>
          <w:tcPr>
            <w:tcW w:w="6117" w:type="dxa"/>
          </w:tcPr>
          <w:p w14:paraId="58054F17" w14:textId="0D62D6E0" w:rsidR="00D23D00" w:rsidRPr="00F81402" w:rsidRDefault="00594A38" w:rsidP="00D23D00">
            <w:pPr>
              <w:pStyle w:val="BodyText2"/>
              <w:jc w:val="both"/>
              <w:rPr>
                <w:rFonts w:asciiTheme="minorHAnsi" w:hAnsiTheme="minorHAnsi"/>
                <w:sz w:val="22"/>
                <w:szCs w:val="22"/>
              </w:rPr>
            </w:pPr>
            <w:r w:rsidRPr="00F81402">
              <w:rPr>
                <w:rFonts w:asciiTheme="minorHAnsi" w:hAnsiTheme="minorHAnsi" w:cstheme="minorHAnsi"/>
                <w:sz w:val="22"/>
                <w:szCs w:val="22"/>
              </w:rPr>
              <w:t>Outcome 5</w:t>
            </w:r>
            <w:r w:rsidR="00F81402">
              <w:rPr>
                <w:rFonts w:asciiTheme="minorHAnsi" w:hAnsiTheme="minorHAnsi" w:cstheme="minorHAnsi"/>
                <w:sz w:val="22"/>
                <w:szCs w:val="22"/>
              </w:rPr>
              <w:t>:</w:t>
            </w:r>
            <w:r w:rsidR="00D23D00" w:rsidRPr="00F81402">
              <w:rPr>
                <w:rFonts w:asciiTheme="minorHAnsi" w:hAnsiTheme="minorHAnsi" w:cstheme="minorHAnsi"/>
                <w:sz w:val="22"/>
                <w:szCs w:val="22"/>
              </w:rPr>
              <w:t> </w:t>
            </w:r>
            <w:r w:rsidR="00F81402" w:rsidRPr="00F81402">
              <w:rPr>
                <w:rFonts w:asciiTheme="minorHAnsi" w:hAnsiTheme="minorHAnsi"/>
                <w:sz w:val="22"/>
                <w:szCs w:val="22"/>
              </w:rPr>
              <w:t>Risk reduction - conflict and natural disaster, including climate change</w:t>
            </w:r>
          </w:p>
        </w:tc>
        <w:tc>
          <w:tcPr>
            <w:tcW w:w="1866" w:type="dxa"/>
          </w:tcPr>
          <w:p w14:paraId="5EB811B3" w14:textId="169B9DE0"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9,178,428 </w:t>
            </w:r>
          </w:p>
        </w:tc>
        <w:tc>
          <w:tcPr>
            <w:tcW w:w="2039" w:type="dxa"/>
          </w:tcPr>
          <w:p w14:paraId="568BF2E4" w14:textId="6B044AB4"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83,525,443 </w:t>
            </w:r>
          </w:p>
        </w:tc>
        <w:tc>
          <w:tcPr>
            <w:tcW w:w="1949" w:type="dxa"/>
          </w:tcPr>
          <w:p w14:paraId="51F20020" w14:textId="1EB2BB4D"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92,703,871 </w:t>
            </w:r>
          </w:p>
        </w:tc>
        <w:tc>
          <w:tcPr>
            <w:tcW w:w="1979" w:type="dxa"/>
          </w:tcPr>
          <w:p w14:paraId="4BFBA9A9" w14:textId="49C83FA1" w:rsidR="00D23D00" w:rsidRPr="00F81402" w:rsidRDefault="00D23D00" w:rsidP="00D23D00">
            <w:pPr>
              <w:pStyle w:val="BodyText2"/>
              <w:jc w:val="center"/>
              <w:rPr>
                <w:rFonts w:asciiTheme="minorHAnsi" w:hAnsiTheme="minorHAnsi" w:cstheme="minorHAnsi"/>
                <w:sz w:val="22"/>
                <w:szCs w:val="22"/>
              </w:rPr>
            </w:pPr>
            <w:r w:rsidRPr="00F81402">
              <w:rPr>
                <w:rFonts w:asciiTheme="minorHAnsi" w:hAnsiTheme="minorHAnsi" w:cstheme="minorHAnsi"/>
                <w:sz w:val="22"/>
                <w:szCs w:val="22"/>
              </w:rPr>
              <w:t>28%</w:t>
            </w:r>
          </w:p>
        </w:tc>
      </w:tr>
      <w:tr w:rsidR="00D23D00" w:rsidRPr="00F81402" w14:paraId="1B14746C" w14:textId="77777777" w:rsidTr="009A1868">
        <w:tc>
          <w:tcPr>
            <w:tcW w:w="6117" w:type="dxa"/>
          </w:tcPr>
          <w:p w14:paraId="07EAA5CF" w14:textId="0F7216AB" w:rsidR="00D23D00" w:rsidRPr="00F81402" w:rsidRDefault="00594A38" w:rsidP="00594A38">
            <w:pPr>
              <w:pStyle w:val="BodyText2"/>
              <w:jc w:val="both"/>
              <w:rPr>
                <w:rFonts w:asciiTheme="minorHAnsi" w:hAnsiTheme="minorHAnsi" w:cstheme="minorHAnsi"/>
                <w:sz w:val="22"/>
                <w:szCs w:val="22"/>
              </w:rPr>
            </w:pPr>
            <w:r w:rsidRPr="00F81402">
              <w:rPr>
                <w:rFonts w:asciiTheme="minorHAnsi" w:hAnsiTheme="minorHAnsi" w:cstheme="minorHAnsi"/>
                <w:sz w:val="22"/>
                <w:szCs w:val="22"/>
              </w:rPr>
              <w:t>Outcome 6:</w:t>
            </w:r>
            <w:r w:rsidR="00D23D00" w:rsidRPr="00F81402">
              <w:rPr>
                <w:rFonts w:asciiTheme="minorHAnsi" w:hAnsiTheme="minorHAnsi" w:cstheme="minorHAnsi"/>
                <w:sz w:val="22"/>
                <w:szCs w:val="22"/>
              </w:rPr>
              <w:t> </w:t>
            </w:r>
            <w:r w:rsidR="00F81402" w:rsidRPr="00F81402">
              <w:rPr>
                <w:rFonts w:asciiTheme="minorHAnsi" w:hAnsiTheme="minorHAnsi"/>
                <w:sz w:val="22"/>
                <w:szCs w:val="22"/>
              </w:rPr>
              <w:t>Early recovery in post-conflict and post-disaster settings</w:t>
            </w:r>
          </w:p>
        </w:tc>
        <w:tc>
          <w:tcPr>
            <w:tcW w:w="1866" w:type="dxa"/>
          </w:tcPr>
          <w:p w14:paraId="4FE7B1B1" w14:textId="175A3C0D"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4,397,469 </w:t>
            </w:r>
          </w:p>
        </w:tc>
        <w:tc>
          <w:tcPr>
            <w:tcW w:w="2039" w:type="dxa"/>
          </w:tcPr>
          <w:p w14:paraId="0698B5AF" w14:textId="54FED6E3"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6,731,545 </w:t>
            </w:r>
          </w:p>
        </w:tc>
        <w:tc>
          <w:tcPr>
            <w:tcW w:w="1949" w:type="dxa"/>
          </w:tcPr>
          <w:p w14:paraId="2B7EC102" w14:textId="7BA29CEF"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11,129,014 </w:t>
            </w:r>
          </w:p>
        </w:tc>
        <w:tc>
          <w:tcPr>
            <w:tcW w:w="1979" w:type="dxa"/>
          </w:tcPr>
          <w:p w14:paraId="38BF39AD" w14:textId="3D8E93F7" w:rsidR="00D23D00" w:rsidRPr="00F81402" w:rsidRDefault="00D23D00" w:rsidP="00D23D00">
            <w:pPr>
              <w:pStyle w:val="BodyText2"/>
              <w:jc w:val="center"/>
              <w:rPr>
                <w:rFonts w:asciiTheme="minorHAnsi" w:hAnsiTheme="minorHAnsi" w:cstheme="minorHAnsi"/>
                <w:sz w:val="22"/>
                <w:szCs w:val="22"/>
              </w:rPr>
            </w:pPr>
            <w:r w:rsidRPr="00F81402">
              <w:rPr>
                <w:rFonts w:asciiTheme="minorHAnsi" w:hAnsiTheme="minorHAnsi" w:cstheme="minorHAnsi"/>
                <w:sz w:val="22"/>
                <w:szCs w:val="22"/>
              </w:rPr>
              <w:t>3%</w:t>
            </w:r>
          </w:p>
        </w:tc>
      </w:tr>
      <w:tr w:rsidR="00D23D00" w:rsidRPr="00F81402" w14:paraId="060AF8C5" w14:textId="77777777" w:rsidTr="009A1868">
        <w:tc>
          <w:tcPr>
            <w:tcW w:w="6117" w:type="dxa"/>
          </w:tcPr>
          <w:p w14:paraId="275A4C9D" w14:textId="580E7E98" w:rsidR="00D23D00" w:rsidRPr="00F81402" w:rsidRDefault="00594A38" w:rsidP="00D23D00">
            <w:pPr>
              <w:pStyle w:val="BodyText2"/>
              <w:jc w:val="both"/>
              <w:rPr>
                <w:rFonts w:asciiTheme="minorHAnsi" w:hAnsiTheme="minorHAnsi" w:cstheme="minorHAnsi"/>
                <w:sz w:val="22"/>
                <w:szCs w:val="22"/>
              </w:rPr>
            </w:pPr>
            <w:r w:rsidRPr="00F81402">
              <w:rPr>
                <w:rFonts w:asciiTheme="minorHAnsi" w:hAnsiTheme="minorHAnsi" w:cstheme="minorHAnsi"/>
                <w:sz w:val="22"/>
                <w:szCs w:val="22"/>
              </w:rPr>
              <w:t>Outcome 7:</w:t>
            </w:r>
            <w:r w:rsidR="00D23D00" w:rsidRPr="00F81402">
              <w:rPr>
                <w:rFonts w:asciiTheme="minorHAnsi" w:hAnsiTheme="minorHAnsi" w:cstheme="minorHAnsi"/>
                <w:sz w:val="22"/>
                <w:szCs w:val="22"/>
              </w:rPr>
              <w:t> </w:t>
            </w:r>
            <w:r w:rsidR="00F81402" w:rsidRPr="00F81402">
              <w:rPr>
                <w:rFonts w:asciiTheme="minorHAnsi" w:hAnsiTheme="minorHAnsi"/>
                <w:sz w:val="22"/>
                <w:szCs w:val="22"/>
              </w:rPr>
              <w:t>Thought leadership</w:t>
            </w:r>
          </w:p>
        </w:tc>
        <w:tc>
          <w:tcPr>
            <w:tcW w:w="1866" w:type="dxa"/>
          </w:tcPr>
          <w:p w14:paraId="4E39E62C" w14:textId="49ED1306"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3,689,704 </w:t>
            </w:r>
          </w:p>
        </w:tc>
        <w:tc>
          <w:tcPr>
            <w:tcW w:w="2039" w:type="dxa"/>
          </w:tcPr>
          <w:p w14:paraId="1E3FF63C" w14:textId="37EB25AC"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14,208,914 </w:t>
            </w:r>
          </w:p>
        </w:tc>
        <w:tc>
          <w:tcPr>
            <w:tcW w:w="1949" w:type="dxa"/>
          </w:tcPr>
          <w:p w14:paraId="16D623E1" w14:textId="4E9C284D" w:rsidR="00D23D00" w:rsidRPr="00F81402" w:rsidRDefault="00D23D00" w:rsidP="00D23D00">
            <w:pPr>
              <w:pStyle w:val="BodyText2"/>
              <w:jc w:val="right"/>
              <w:rPr>
                <w:rFonts w:asciiTheme="minorHAnsi" w:hAnsiTheme="minorHAnsi" w:cstheme="minorHAnsi"/>
                <w:sz w:val="22"/>
                <w:szCs w:val="22"/>
              </w:rPr>
            </w:pPr>
            <w:r w:rsidRPr="00F81402">
              <w:rPr>
                <w:rFonts w:asciiTheme="minorHAnsi" w:hAnsiTheme="minorHAnsi" w:cstheme="minorHAnsi"/>
                <w:sz w:val="22"/>
                <w:szCs w:val="22"/>
              </w:rPr>
              <w:t xml:space="preserve"> 17,898,618 </w:t>
            </w:r>
          </w:p>
        </w:tc>
        <w:tc>
          <w:tcPr>
            <w:tcW w:w="1979" w:type="dxa"/>
          </w:tcPr>
          <w:p w14:paraId="302B3E8A" w14:textId="6CBAB246" w:rsidR="00D23D00" w:rsidRPr="00F81402" w:rsidRDefault="00D23D00" w:rsidP="00D23D00">
            <w:pPr>
              <w:pStyle w:val="BodyText2"/>
              <w:jc w:val="center"/>
              <w:rPr>
                <w:rFonts w:asciiTheme="minorHAnsi" w:hAnsiTheme="minorHAnsi" w:cstheme="minorHAnsi"/>
                <w:sz w:val="22"/>
                <w:szCs w:val="22"/>
              </w:rPr>
            </w:pPr>
            <w:r w:rsidRPr="00F81402">
              <w:rPr>
                <w:rFonts w:asciiTheme="minorHAnsi" w:hAnsiTheme="minorHAnsi" w:cstheme="minorHAnsi"/>
                <w:sz w:val="22"/>
                <w:szCs w:val="22"/>
              </w:rPr>
              <w:t>5%</w:t>
            </w:r>
          </w:p>
        </w:tc>
      </w:tr>
      <w:tr w:rsidR="00D23D00" w:rsidRPr="00F81402" w14:paraId="64088613" w14:textId="77777777" w:rsidTr="009A1868">
        <w:tc>
          <w:tcPr>
            <w:tcW w:w="6117" w:type="dxa"/>
            <w:shd w:val="clear" w:color="auto" w:fill="00B0F0"/>
          </w:tcPr>
          <w:p w14:paraId="3295AF55" w14:textId="6F9A766C" w:rsidR="00D23D00" w:rsidRPr="00F81402" w:rsidRDefault="00D23D00" w:rsidP="00D23D00">
            <w:pPr>
              <w:pStyle w:val="BodyText2"/>
              <w:jc w:val="both"/>
              <w:rPr>
                <w:rFonts w:asciiTheme="minorHAnsi" w:hAnsiTheme="minorHAnsi" w:cstheme="minorHAnsi"/>
                <w:sz w:val="22"/>
                <w:szCs w:val="22"/>
              </w:rPr>
            </w:pPr>
            <w:r w:rsidRPr="00F81402">
              <w:rPr>
                <w:rFonts w:asciiTheme="minorHAnsi" w:hAnsiTheme="minorHAnsi" w:cstheme="minorHAnsi"/>
                <w:sz w:val="22"/>
                <w:szCs w:val="22"/>
              </w:rPr>
              <w:t>Total</w:t>
            </w:r>
          </w:p>
        </w:tc>
        <w:tc>
          <w:tcPr>
            <w:tcW w:w="1866" w:type="dxa"/>
            <w:shd w:val="clear" w:color="auto" w:fill="00B0F0"/>
          </w:tcPr>
          <w:p w14:paraId="3374230D" w14:textId="7CABF84A" w:rsidR="00D23D00" w:rsidRPr="00F81402" w:rsidRDefault="00D23D00" w:rsidP="00D23D00">
            <w:pPr>
              <w:pStyle w:val="BodyText2"/>
              <w:jc w:val="right"/>
              <w:rPr>
                <w:rFonts w:asciiTheme="minorHAnsi" w:hAnsiTheme="minorHAnsi" w:cstheme="minorHAnsi"/>
                <w:b/>
                <w:sz w:val="22"/>
                <w:szCs w:val="22"/>
              </w:rPr>
            </w:pPr>
            <w:r w:rsidRPr="00F81402">
              <w:rPr>
                <w:rFonts w:asciiTheme="minorHAnsi" w:hAnsiTheme="minorHAnsi" w:cstheme="minorHAnsi"/>
                <w:b/>
                <w:sz w:val="22"/>
                <w:szCs w:val="22"/>
              </w:rPr>
              <w:t xml:space="preserve"> 58,220,546 </w:t>
            </w:r>
          </w:p>
        </w:tc>
        <w:tc>
          <w:tcPr>
            <w:tcW w:w="2039" w:type="dxa"/>
            <w:shd w:val="clear" w:color="auto" w:fill="00B0F0"/>
          </w:tcPr>
          <w:p w14:paraId="09717507" w14:textId="69383B37" w:rsidR="00D23D00" w:rsidRPr="00F81402" w:rsidRDefault="00D23D00" w:rsidP="00D23D00">
            <w:pPr>
              <w:pStyle w:val="BodyText2"/>
              <w:jc w:val="right"/>
              <w:rPr>
                <w:rFonts w:asciiTheme="minorHAnsi" w:hAnsiTheme="minorHAnsi" w:cstheme="minorHAnsi"/>
                <w:b/>
                <w:sz w:val="22"/>
                <w:szCs w:val="22"/>
              </w:rPr>
            </w:pPr>
            <w:r w:rsidRPr="00F81402">
              <w:rPr>
                <w:rFonts w:asciiTheme="minorHAnsi" w:hAnsiTheme="minorHAnsi" w:cstheme="minorHAnsi"/>
                <w:b/>
                <w:sz w:val="22"/>
                <w:szCs w:val="22"/>
              </w:rPr>
              <w:t xml:space="preserve"> 275,249,891 </w:t>
            </w:r>
          </w:p>
        </w:tc>
        <w:tc>
          <w:tcPr>
            <w:tcW w:w="1949" w:type="dxa"/>
            <w:shd w:val="clear" w:color="auto" w:fill="00B0F0"/>
          </w:tcPr>
          <w:p w14:paraId="60A35612" w14:textId="3B565C8B" w:rsidR="00D23D00" w:rsidRPr="00F81402" w:rsidRDefault="00D23D00" w:rsidP="00D23D00">
            <w:pPr>
              <w:pStyle w:val="BodyText2"/>
              <w:jc w:val="right"/>
              <w:rPr>
                <w:rFonts w:asciiTheme="minorHAnsi" w:hAnsiTheme="minorHAnsi" w:cstheme="minorHAnsi"/>
                <w:b/>
                <w:sz w:val="22"/>
                <w:szCs w:val="22"/>
              </w:rPr>
            </w:pPr>
            <w:r w:rsidRPr="00F81402">
              <w:rPr>
                <w:rFonts w:asciiTheme="minorHAnsi" w:hAnsiTheme="minorHAnsi" w:cstheme="minorHAnsi"/>
                <w:b/>
                <w:sz w:val="22"/>
                <w:szCs w:val="22"/>
              </w:rPr>
              <w:t xml:space="preserve"> 333,470,438 </w:t>
            </w:r>
          </w:p>
        </w:tc>
        <w:tc>
          <w:tcPr>
            <w:tcW w:w="1979" w:type="dxa"/>
            <w:shd w:val="clear" w:color="auto" w:fill="00B0F0"/>
          </w:tcPr>
          <w:p w14:paraId="7529EA25" w14:textId="3343421A" w:rsidR="00D23D00" w:rsidRPr="00F81402" w:rsidRDefault="00D23D00" w:rsidP="00D23D00">
            <w:pPr>
              <w:pStyle w:val="BodyText2"/>
              <w:jc w:val="center"/>
              <w:rPr>
                <w:rFonts w:asciiTheme="minorHAnsi" w:hAnsiTheme="minorHAnsi" w:cstheme="minorHAnsi"/>
                <w:sz w:val="22"/>
                <w:szCs w:val="22"/>
              </w:rPr>
            </w:pPr>
          </w:p>
        </w:tc>
      </w:tr>
    </w:tbl>
    <w:p w14:paraId="214FEEB3" w14:textId="77777777" w:rsidR="00944AB7" w:rsidRDefault="00053D0E" w:rsidP="00944AB7">
      <w:pPr>
        <w:pStyle w:val="BodyText2"/>
        <w:rPr>
          <w:rFonts w:asciiTheme="minorHAnsi" w:hAnsiTheme="minorHAnsi"/>
        </w:rPr>
      </w:pPr>
      <w:r>
        <w:rPr>
          <w:rFonts w:asciiTheme="minorHAnsi" w:hAnsiTheme="minorHAnsi" w:cstheme="minorHAnsi"/>
          <w:sz w:val="22"/>
          <w:szCs w:val="22"/>
        </w:rPr>
        <w:t>* The table includes planned delivery for 2016</w:t>
      </w:r>
      <w:r w:rsidR="00B87282">
        <w:rPr>
          <w:rFonts w:asciiTheme="minorHAnsi" w:hAnsiTheme="minorHAnsi" w:cstheme="minorHAnsi"/>
          <w:sz w:val="22"/>
          <w:szCs w:val="22"/>
        </w:rPr>
        <w:t>, actual delivery for 2012-15 is $301.5 m and planned delivery for 2016 is $31.9 m</w:t>
      </w:r>
      <w:r w:rsidR="00944AB7">
        <w:rPr>
          <w:rFonts w:asciiTheme="minorHAnsi" w:hAnsiTheme="minorHAnsi" w:cstheme="minorHAnsi"/>
          <w:sz w:val="22"/>
          <w:szCs w:val="22"/>
        </w:rPr>
        <w:t xml:space="preserve">.  Source: </w:t>
      </w:r>
      <w:r w:rsidR="00944AB7">
        <w:rPr>
          <w:rFonts w:asciiTheme="minorHAnsi" w:hAnsiTheme="minorHAnsi"/>
        </w:rPr>
        <w:t xml:space="preserve">Financial </w:t>
      </w:r>
      <w:r w:rsidR="00944AB7" w:rsidRPr="00DA6C0A">
        <w:rPr>
          <w:rFonts w:asciiTheme="minorHAnsi" w:hAnsiTheme="minorHAnsi"/>
        </w:rPr>
        <w:t xml:space="preserve">Data collected from </w:t>
      </w:r>
      <w:r w:rsidR="00944AB7">
        <w:rPr>
          <w:rFonts w:asciiTheme="minorHAnsi" w:hAnsiTheme="minorHAnsi"/>
        </w:rPr>
        <w:t xml:space="preserve">CDR, </w:t>
      </w:r>
      <w:r w:rsidR="00944AB7" w:rsidRPr="00DA6C0A">
        <w:rPr>
          <w:rFonts w:asciiTheme="minorHAnsi" w:hAnsiTheme="minorHAnsi"/>
        </w:rPr>
        <w:t xml:space="preserve">atlas </w:t>
      </w:r>
      <w:r w:rsidR="00944AB7">
        <w:rPr>
          <w:rFonts w:asciiTheme="minorHAnsi" w:hAnsiTheme="minorHAnsi"/>
        </w:rPr>
        <w:t>CM124</w:t>
      </w:r>
      <w:r w:rsidR="00944AB7" w:rsidRPr="00DA6C0A">
        <w:rPr>
          <w:rFonts w:asciiTheme="minorHAnsi" w:hAnsiTheme="minorHAnsi"/>
        </w:rPr>
        <w:t>C</w:t>
      </w:r>
      <w:r w:rsidR="00944AB7">
        <w:rPr>
          <w:rFonts w:asciiTheme="minorHAnsi" w:hAnsiTheme="minorHAnsi"/>
        </w:rPr>
        <w:t>B and intranet executive snapshot</w:t>
      </w:r>
      <w:r w:rsidR="00944AB7" w:rsidRPr="00DA6C0A">
        <w:rPr>
          <w:rFonts w:asciiTheme="minorHAnsi" w:hAnsiTheme="minorHAnsi"/>
        </w:rPr>
        <w:t xml:space="preserve"> report</w:t>
      </w:r>
    </w:p>
    <w:p w14:paraId="6C181DAE" w14:textId="77777777" w:rsidR="00053D0E" w:rsidRPr="001C5F43" w:rsidRDefault="00053D0E" w:rsidP="002E2627">
      <w:pPr>
        <w:pStyle w:val="BodyText2"/>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950"/>
      </w:tblGrid>
      <w:tr w:rsidR="00903930" w:rsidRPr="001C5F43" w14:paraId="03711721" w14:textId="77777777" w:rsidTr="00633A29">
        <w:tc>
          <w:tcPr>
            <w:tcW w:w="14176" w:type="dxa"/>
          </w:tcPr>
          <w:p w14:paraId="16778D36" w14:textId="20B3FDBF" w:rsidR="00903930" w:rsidRPr="001C5F43" w:rsidRDefault="00903930" w:rsidP="00944AB7">
            <w:pPr>
              <w:pStyle w:val="BodyText2"/>
              <w:jc w:val="both"/>
              <w:rPr>
                <w:rFonts w:asciiTheme="minorHAnsi" w:hAnsiTheme="minorHAnsi" w:cstheme="minorHAnsi"/>
                <w:b/>
                <w:sz w:val="22"/>
                <w:szCs w:val="22"/>
              </w:rPr>
            </w:pPr>
            <w:r w:rsidRPr="001C5F43">
              <w:rPr>
                <w:rFonts w:asciiTheme="minorHAnsi" w:hAnsiTheme="minorHAnsi" w:cstheme="minorHAnsi"/>
                <w:b/>
                <w:sz w:val="22"/>
                <w:szCs w:val="22"/>
              </w:rPr>
              <w:t>Data sources</w:t>
            </w:r>
            <w:r w:rsidR="00944AB7">
              <w:rPr>
                <w:rFonts w:asciiTheme="minorHAnsi" w:hAnsiTheme="minorHAnsi" w:cstheme="minorHAnsi"/>
                <w:sz w:val="22"/>
                <w:szCs w:val="22"/>
              </w:rPr>
              <w:t xml:space="preserve">: </w:t>
            </w:r>
            <w:r w:rsidRPr="001C5F43">
              <w:rPr>
                <w:rFonts w:asciiTheme="minorHAnsi" w:hAnsiTheme="minorHAnsi" w:cstheme="minorHAnsi"/>
                <w:b/>
                <w:sz w:val="22"/>
                <w:szCs w:val="22"/>
              </w:rPr>
              <w:t xml:space="preserve"> </w:t>
            </w:r>
          </w:p>
        </w:tc>
      </w:tr>
      <w:tr w:rsidR="00903930" w:rsidRPr="001C5F43" w14:paraId="344175B1" w14:textId="77777777" w:rsidTr="00633A29">
        <w:tc>
          <w:tcPr>
            <w:tcW w:w="14176" w:type="dxa"/>
          </w:tcPr>
          <w:p w14:paraId="341A5F3B" w14:textId="77777777" w:rsidR="00944AB7" w:rsidRPr="00997826" w:rsidRDefault="00944AB7" w:rsidP="00997826">
            <w:pPr>
              <w:pStyle w:val="BodyText2"/>
              <w:rPr>
                <w:rFonts w:asciiTheme="minorHAnsi" w:hAnsiTheme="minorHAnsi"/>
              </w:rPr>
            </w:pPr>
          </w:p>
          <w:p w14:paraId="4D7820B8" w14:textId="446C3244" w:rsidR="002460F7" w:rsidRDefault="002460F7" w:rsidP="002460F7">
            <w:pPr>
              <w:pStyle w:val="EndnoteText"/>
              <w:numPr>
                <w:ilvl w:val="0"/>
                <w:numId w:val="14"/>
              </w:numPr>
            </w:pPr>
            <w:r w:rsidRPr="0049155E">
              <w:rPr>
                <w:color w:val="000000" w:themeColor="text1"/>
              </w:rPr>
              <w:t>U</w:t>
            </w:r>
            <w:r>
              <w:rPr>
                <w:color w:val="000000" w:themeColor="text1"/>
              </w:rPr>
              <w:t xml:space="preserve">rban </w:t>
            </w:r>
            <w:r w:rsidRPr="0049155E">
              <w:rPr>
                <w:color w:val="000000" w:themeColor="text1"/>
              </w:rPr>
              <w:t>P</w:t>
            </w:r>
            <w:r>
              <w:rPr>
                <w:color w:val="000000" w:themeColor="text1"/>
              </w:rPr>
              <w:t xml:space="preserve">artnerships for </w:t>
            </w:r>
            <w:r w:rsidRPr="0049155E">
              <w:rPr>
                <w:color w:val="000000" w:themeColor="text1"/>
              </w:rPr>
              <w:t>P</w:t>
            </w:r>
            <w:r>
              <w:rPr>
                <w:color w:val="000000" w:themeColor="text1"/>
              </w:rPr>
              <w:t xml:space="preserve">overty </w:t>
            </w:r>
            <w:r w:rsidRPr="0049155E">
              <w:rPr>
                <w:color w:val="000000" w:themeColor="text1"/>
              </w:rPr>
              <w:t>R</w:t>
            </w:r>
            <w:r>
              <w:rPr>
                <w:color w:val="000000" w:themeColor="text1"/>
              </w:rPr>
              <w:t>eduction</w:t>
            </w:r>
            <w:r w:rsidRPr="0049155E">
              <w:rPr>
                <w:color w:val="000000" w:themeColor="text1"/>
              </w:rPr>
              <w:t xml:space="preserve"> Project Completion </w:t>
            </w:r>
            <w:r>
              <w:rPr>
                <w:color w:val="000000" w:themeColor="text1"/>
              </w:rPr>
              <w:t>Report, 06/01/</w:t>
            </w:r>
            <w:r w:rsidRPr="0049155E">
              <w:rPr>
                <w:color w:val="000000" w:themeColor="text1"/>
              </w:rPr>
              <w:t xml:space="preserve">2015, </w:t>
            </w:r>
            <w:r>
              <w:rPr>
                <w:color w:val="000000" w:themeColor="text1"/>
              </w:rPr>
              <w:t xml:space="preserve">Department for International Development, </w:t>
            </w:r>
            <w:r w:rsidRPr="0049155E">
              <w:rPr>
                <w:color w:val="000000" w:themeColor="text1"/>
              </w:rPr>
              <w:t>p.3</w:t>
            </w:r>
          </w:p>
          <w:p w14:paraId="148C1321" w14:textId="480CF0D2" w:rsidR="002460F7" w:rsidRDefault="002460F7" w:rsidP="002460F7">
            <w:pPr>
              <w:pStyle w:val="EndnoteText"/>
              <w:numPr>
                <w:ilvl w:val="0"/>
                <w:numId w:val="14"/>
              </w:numPr>
            </w:pPr>
            <w:r w:rsidRPr="00B57A4E">
              <w:t>Local Governance and Decentralization Programme</w:t>
            </w:r>
            <w:r>
              <w:t xml:space="preserve"> </w:t>
            </w:r>
            <w:r w:rsidRPr="00B57A4E">
              <w:t>for Union Parishad and Upazila Parishad</w:t>
            </w:r>
            <w:r>
              <w:t xml:space="preserve"> </w:t>
            </w:r>
            <w:r w:rsidRPr="00B57A4E">
              <w:t>UNION PARISHAD GOVERNANCE PROJECT (UPGP)</w:t>
            </w:r>
            <w:r>
              <w:t xml:space="preserve"> &amp; </w:t>
            </w:r>
            <w:r w:rsidRPr="00B57A4E">
              <w:t>UPAZILA GOVERNANCE PROJECT (UZGP)</w:t>
            </w:r>
            <w:r>
              <w:t xml:space="preserve"> </w:t>
            </w:r>
            <w:r w:rsidRPr="00B57A4E">
              <w:t>Midterm Evaluation</w:t>
            </w:r>
            <w:r>
              <w:t xml:space="preserve"> </w:t>
            </w:r>
            <w:r w:rsidRPr="00B57A4E">
              <w:t>Final Report</w:t>
            </w:r>
            <w:r>
              <w:t xml:space="preserve">, 12/04/2014, UNDP Bangladesh, </w:t>
            </w:r>
            <w:r w:rsidRPr="00B57A4E">
              <w:t>p.16</w:t>
            </w:r>
            <w:r>
              <w:t xml:space="preserve">; </w:t>
            </w:r>
          </w:p>
          <w:p w14:paraId="5CC69C1F" w14:textId="3D4E420F" w:rsidR="002460F7" w:rsidRDefault="002460F7" w:rsidP="002460F7">
            <w:pPr>
              <w:pStyle w:val="EndnoteText"/>
              <w:numPr>
                <w:ilvl w:val="0"/>
                <w:numId w:val="14"/>
              </w:numPr>
            </w:pPr>
            <w:r w:rsidRPr="00A76C1D">
              <w:t>Report on the Mid-Term Evaluation of the Access to Information – II Project (a2i) for United Nations Development Programme Bangladesh, 11/01/2015, Roger Harris (team leader), Christine Apikul, K. M. Mahiuddin and Monower Mostafa, p.25</w:t>
            </w:r>
          </w:p>
          <w:p w14:paraId="4A6047DF" w14:textId="5264E75A" w:rsidR="002460F7" w:rsidRDefault="002460F7" w:rsidP="002460F7">
            <w:pPr>
              <w:pStyle w:val="EndnoteText"/>
              <w:numPr>
                <w:ilvl w:val="0"/>
                <w:numId w:val="14"/>
              </w:numPr>
            </w:pPr>
            <w:r w:rsidRPr="004B7A26">
              <w:t>Final Evaluation of Comprehensive Disaster Management Programme II, 12/01/2015, Tony Vaux, Maria Cavatore, Alex Wynter, Tarakeshwar G Ekande and Zerina Reshma Begum, p.48</w:t>
            </w:r>
          </w:p>
          <w:p w14:paraId="6AB22474" w14:textId="63D6867A" w:rsidR="002460F7" w:rsidRDefault="002460F7" w:rsidP="002460F7">
            <w:pPr>
              <w:pStyle w:val="EndnoteText"/>
              <w:numPr>
                <w:ilvl w:val="0"/>
                <w:numId w:val="14"/>
              </w:numPr>
            </w:pPr>
            <w:r w:rsidRPr="00502D39">
              <w:t>Mid-Term Evaluation for Strengthening Election Management in Bangladesh (SEMB) Project, 08/31/2014, Charlemagne Sophia Gomez GÓMEZ, p.2.</w:t>
            </w:r>
          </w:p>
          <w:p w14:paraId="4F2D6C4D" w14:textId="5491B222" w:rsidR="002460F7" w:rsidRDefault="002460F7" w:rsidP="002460F7">
            <w:pPr>
              <w:pStyle w:val="EndnoteText"/>
              <w:numPr>
                <w:ilvl w:val="0"/>
                <w:numId w:val="14"/>
              </w:numPr>
            </w:pPr>
            <w:r w:rsidRPr="7F50B66D">
              <w:rPr>
                <w:rFonts w:ascii="Calibri" w:eastAsia="Calibri" w:hAnsi="Calibri" w:cs="Calibri"/>
                <w:lang w:val="en-GB"/>
              </w:rPr>
              <w:t xml:space="preserve">UNDP Capacity Development Project (BHRC) </w:t>
            </w:r>
            <w:r w:rsidRPr="004B7A26">
              <w:t>document</w:t>
            </w:r>
            <w:r w:rsidRPr="7F50B66D">
              <w:rPr>
                <w:rFonts w:ascii="Calibri" w:eastAsia="Calibri" w:hAnsi="Calibri" w:cs="Calibri"/>
                <w:lang w:val="en-GB"/>
              </w:rPr>
              <w:t xml:space="preserve">, 12/31/2015, </w:t>
            </w:r>
            <w:r w:rsidRPr="004B7A26">
              <w:t>UNDP</w:t>
            </w:r>
            <w:r>
              <w:t>.</w:t>
            </w:r>
          </w:p>
          <w:p w14:paraId="1CA0B0F9" w14:textId="5F6AD470" w:rsidR="002460F7" w:rsidRDefault="002460F7" w:rsidP="002460F7">
            <w:pPr>
              <w:pStyle w:val="EndnoteText"/>
              <w:numPr>
                <w:ilvl w:val="0"/>
                <w:numId w:val="14"/>
              </w:numPr>
            </w:pPr>
            <w:r w:rsidRPr="00CA5C18">
              <w:t>Access to Justice in Bangladesh, Situation Analysis, Summary Report, 12/01/2015, Greg Moran, Data Management Aid</w:t>
            </w:r>
            <w:r>
              <w:t>.</w:t>
            </w:r>
          </w:p>
          <w:p w14:paraId="5BB2029E" w14:textId="5118D1EC" w:rsidR="002460F7" w:rsidRDefault="002460F7" w:rsidP="002460F7">
            <w:pPr>
              <w:pStyle w:val="EndnoteText"/>
              <w:numPr>
                <w:ilvl w:val="0"/>
                <w:numId w:val="14"/>
              </w:numPr>
            </w:pPr>
            <w:r w:rsidRPr="004B7A26">
              <w:t>Evaluation of the 2012-2016 UNDAF for Bangladesh, 12/01/2015, Joel Beasca and Salma Akhter</w:t>
            </w:r>
            <w:r>
              <w:t>.</w:t>
            </w:r>
          </w:p>
          <w:p w14:paraId="571B5026" w14:textId="0FC84207" w:rsidR="002460F7" w:rsidRDefault="002460F7" w:rsidP="002460F7">
            <w:pPr>
              <w:pStyle w:val="EndnoteText"/>
              <w:numPr>
                <w:ilvl w:val="0"/>
                <w:numId w:val="14"/>
              </w:numPr>
            </w:pPr>
            <w:r w:rsidRPr="004B7A26">
              <w:t>Midterm Outcome Evaluation - Country Programme Document (CPD) (2012-2016) Outcomes 1.1 and 1.2, 11/12/2015, Richard H. Langan II, Salahuddin Aminuzzaman, Shahnaz Huda and Md. Waheed Alam</w:t>
            </w:r>
            <w:r>
              <w:t>.</w:t>
            </w:r>
          </w:p>
          <w:p w14:paraId="4DDE9918" w14:textId="76C1099F" w:rsidR="002460F7" w:rsidRDefault="002460F7" w:rsidP="002460F7">
            <w:pPr>
              <w:pStyle w:val="EndnoteText"/>
              <w:numPr>
                <w:ilvl w:val="0"/>
                <w:numId w:val="14"/>
              </w:numPr>
            </w:pPr>
            <w:r w:rsidRPr="004B7A26">
              <w:t>Millennium Development Goals Bangladesh Progress Report, 09/01/2015, General Economic Division, Planning Commission, Government of The People’s Republic of Bangladesh, p.20,</w:t>
            </w:r>
          </w:p>
          <w:p w14:paraId="6FA41F02" w14:textId="643F6E53" w:rsidR="002460F7" w:rsidRDefault="002460F7" w:rsidP="002460F7">
            <w:pPr>
              <w:pStyle w:val="EndnoteText"/>
              <w:numPr>
                <w:ilvl w:val="0"/>
                <w:numId w:val="14"/>
              </w:numPr>
            </w:pPr>
            <w:r w:rsidRPr="004B7A26">
              <w:lastRenderedPageBreak/>
              <w:t>Midterm Country Programme Document (CPD) (2012-2016) Outcome 2.1 (Poverty Reduction), 01/10/2016, Binayek Sen, Jessie Collen and Mohammad Rahman</w:t>
            </w:r>
          </w:p>
          <w:p w14:paraId="06468225" w14:textId="52D986D0" w:rsidR="002460F7" w:rsidRDefault="002460F7" w:rsidP="002460F7">
            <w:pPr>
              <w:pStyle w:val="EndnoteText"/>
              <w:numPr>
                <w:ilvl w:val="0"/>
                <w:numId w:val="14"/>
              </w:numPr>
            </w:pPr>
            <w:r>
              <w:t xml:space="preserve">Report on </w:t>
            </w:r>
            <w:r w:rsidRPr="004A6DE9">
              <w:t xml:space="preserve">Value for Money Assessments </w:t>
            </w:r>
            <w:r>
              <w:t>for CDMP II, 31/</w:t>
            </w:r>
            <w:r w:rsidRPr="004A6DE9">
              <w:t>0</w:t>
            </w:r>
            <w:r>
              <w:t>1</w:t>
            </w:r>
            <w:r w:rsidRPr="004A6DE9">
              <w:t xml:space="preserve">/2015, </w:t>
            </w:r>
            <w:r>
              <w:t xml:space="preserve">p.20, </w:t>
            </w:r>
            <w:r w:rsidRPr="004A6DE9">
              <w:t>UNDP</w:t>
            </w:r>
            <w:r>
              <w:t xml:space="preserve"> Bangladesh. </w:t>
            </w:r>
          </w:p>
          <w:p w14:paraId="59FB8701" w14:textId="2156CAAE" w:rsidR="002460F7" w:rsidRDefault="002460F7" w:rsidP="002460F7">
            <w:pPr>
              <w:pStyle w:val="EndnoteText"/>
              <w:numPr>
                <w:ilvl w:val="0"/>
                <w:numId w:val="14"/>
              </w:numPr>
            </w:pPr>
            <w:r w:rsidRPr="7F50B66D">
              <w:rPr>
                <w:rFonts w:ascii="Calibri" w:eastAsia="Calibri" w:hAnsi="Calibri" w:cs="Calibri"/>
                <w:lang w:val="en-GB"/>
              </w:rPr>
              <w:t>Final Evaluation of the UNDP Capacity Development Project (BHRC-CDP), 12/31/2014, David A. Johnson and Dr. Nizamuddin Al-Hussainy, p.20</w:t>
            </w:r>
          </w:p>
          <w:p w14:paraId="217708BB" w14:textId="30B6B04D" w:rsidR="002460F7" w:rsidRDefault="002460F7" w:rsidP="002460F7">
            <w:pPr>
              <w:pStyle w:val="EndnoteText"/>
              <w:numPr>
                <w:ilvl w:val="0"/>
                <w:numId w:val="14"/>
              </w:numPr>
            </w:pPr>
            <w:r w:rsidRPr="00FC46AA">
              <w:t>Mid-Term Evaluation For Strengthening Election Management in Bangladesh (SEMB) Project, 08/31/2014, Charlemagne Sophia Gomez GÓMEZ, p.2.</w:t>
            </w:r>
          </w:p>
          <w:p w14:paraId="6E96BFD4" w14:textId="7CD015A2" w:rsidR="002460F7" w:rsidRDefault="002460F7" w:rsidP="002460F7">
            <w:pPr>
              <w:pStyle w:val="EndnoteText"/>
              <w:numPr>
                <w:ilvl w:val="0"/>
                <w:numId w:val="14"/>
              </w:numPr>
            </w:pPr>
            <w:r w:rsidRPr="00FC46AA">
              <w:t xml:space="preserve">Upazila Governance Project (UZGP) </w:t>
            </w:r>
            <w:r>
              <w:t xml:space="preserve">&amp; </w:t>
            </w:r>
            <w:r w:rsidRPr="003B1B94">
              <w:t>UPAZILA GOVERNANCE PROJECT (UZGP)</w:t>
            </w:r>
            <w:r>
              <w:t xml:space="preserve"> </w:t>
            </w:r>
            <w:r w:rsidRPr="003B1B94">
              <w:t>MIDTERM EVALUATION</w:t>
            </w:r>
            <w:r>
              <w:t xml:space="preserve"> </w:t>
            </w:r>
            <w:r w:rsidRPr="003B1B94">
              <w:t>FINAL REPORT</w:t>
            </w:r>
            <w:r>
              <w:t>, 12/04</w:t>
            </w:r>
            <w:r w:rsidRPr="00FC46AA">
              <w:t>/2015, Upazila Pa</w:t>
            </w:r>
            <w:r>
              <w:t>rishad Governance Project, UNDP.</w:t>
            </w:r>
          </w:p>
          <w:p w14:paraId="55DAE8F4" w14:textId="6FC8EC6C" w:rsidR="002460F7" w:rsidRDefault="002460F7" w:rsidP="002460F7">
            <w:pPr>
              <w:pStyle w:val="EndnoteText"/>
              <w:numPr>
                <w:ilvl w:val="0"/>
                <w:numId w:val="14"/>
              </w:numPr>
            </w:pPr>
            <w:r>
              <w:t xml:space="preserve">UNDAF Midterm Evaluation, UNCT Bangladesh. 2015. </w:t>
            </w:r>
          </w:p>
          <w:p w14:paraId="41C4C189" w14:textId="77777777" w:rsidR="00903930" w:rsidRPr="001C5F43" w:rsidRDefault="00903930" w:rsidP="002E2627">
            <w:pPr>
              <w:pStyle w:val="BodyText2"/>
              <w:jc w:val="both"/>
              <w:rPr>
                <w:rFonts w:asciiTheme="minorHAnsi" w:hAnsiTheme="minorHAnsi" w:cstheme="minorHAnsi"/>
                <w:b/>
                <w:sz w:val="22"/>
                <w:szCs w:val="22"/>
              </w:rPr>
            </w:pPr>
          </w:p>
        </w:tc>
      </w:tr>
    </w:tbl>
    <w:p w14:paraId="2869F86B" w14:textId="77AD25E5" w:rsidR="00635929" w:rsidRPr="001C5F43" w:rsidRDefault="007477F7" w:rsidP="002E2627">
      <w:pPr>
        <w:jc w:val="both"/>
        <w:rPr>
          <w:rFonts w:asciiTheme="minorHAnsi" w:hAnsiTheme="minorHAnsi" w:cstheme="minorHAnsi"/>
          <w:sz w:val="22"/>
          <w:szCs w:val="22"/>
        </w:rPr>
      </w:pPr>
      <w:r w:rsidRPr="001C5F43">
        <w:rPr>
          <w:rFonts w:asciiTheme="minorHAnsi" w:hAnsiTheme="minorHAnsi" w:cstheme="minorHAnsi"/>
          <w:sz w:val="22"/>
          <w:szCs w:val="22"/>
        </w:rPr>
        <w:lastRenderedPageBreak/>
        <w:t xml:space="preserve"> </w:t>
      </w:r>
    </w:p>
    <w:sectPr w:rsidR="00635929" w:rsidRPr="001C5F43"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88C9F" w14:textId="77777777" w:rsidR="00B2287D" w:rsidRDefault="00B2287D">
      <w:r>
        <w:separator/>
      </w:r>
    </w:p>
  </w:endnote>
  <w:endnote w:type="continuationSeparator" w:id="0">
    <w:p w14:paraId="621CB526" w14:textId="77777777" w:rsidR="00B2287D" w:rsidRDefault="00B2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Times New Roman">
    <w:altName w:val="Times New Roman"/>
    <w:panose1 w:val="00000000000000000000"/>
    <w:charset w:val="00"/>
    <w:family w:val="roman"/>
    <w:notTrueType/>
    <w:pitch w:val="default"/>
  </w:font>
  <w:font w:name="Garamond,Times New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03010"/>
      <w:docPartObj>
        <w:docPartGallery w:val="Page Numbers (Bottom of Page)"/>
        <w:docPartUnique/>
      </w:docPartObj>
    </w:sdtPr>
    <w:sdtEndPr/>
    <w:sdtContent>
      <w:p w14:paraId="2869F871" w14:textId="0A132280" w:rsidR="008A7436" w:rsidRDefault="008A7436">
        <w:pPr>
          <w:pStyle w:val="Footer"/>
          <w:jc w:val="center"/>
        </w:pPr>
        <w:r>
          <w:fldChar w:fldCharType="begin"/>
        </w:r>
        <w:r>
          <w:instrText xml:space="preserve"> PAGE   \* MERGEFORMAT </w:instrText>
        </w:r>
        <w:r>
          <w:fldChar w:fldCharType="separate"/>
        </w:r>
        <w:r w:rsidR="00AE361A">
          <w:rPr>
            <w:noProof/>
          </w:rPr>
          <w:t>1</w:t>
        </w:r>
        <w:r>
          <w:rPr>
            <w:noProof/>
          </w:rPr>
          <w:fldChar w:fldCharType="end"/>
        </w:r>
      </w:p>
    </w:sdtContent>
  </w:sdt>
  <w:p w14:paraId="2869F872" w14:textId="77777777" w:rsidR="008A7436" w:rsidRDefault="008A7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8421" w14:textId="77777777" w:rsidR="00B2287D" w:rsidRDefault="00B2287D">
      <w:r>
        <w:separator/>
      </w:r>
    </w:p>
  </w:footnote>
  <w:footnote w:type="continuationSeparator" w:id="0">
    <w:p w14:paraId="47DFD39D" w14:textId="77777777" w:rsidR="00B2287D" w:rsidRDefault="00B2287D">
      <w:r>
        <w:continuationSeparator/>
      </w:r>
    </w:p>
  </w:footnote>
  <w:footnote w:id="1">
    <w:p w14:paraId="2869F873" w14:textId="77777777" w:rsidR="008A7436" w:rsidRPr="0064746F" w:rsidRDefault="008A7436">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14:paraId="2F6CDDC1" w14:textId="752E3A4F" w:rsidR="005E5718" w:rsidRDefault="005E5718">
      <w:pPr>
        <w:pStyle w:val="FootnoteText"/>
      </w:pPr>
      <w:r>
        <w:rPr>
          <w:rStyle w:val="FootnoteReference"/>
        </w:rPr>
        <w:footnoteRef/>
      </w:r>
      <w:r>
        <w:t xml:space="preserve"> 2012-2015 represents all UNDP Bangladesh expenditure and 2016 all UNDP budget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1289"/>
    <w:multiLevelType w:val="hybridMultilevel"/>
    <w:tmpl w:val="B102409E"/>
    <w:lvl w:ilvl="0" w:tplc="4D065F14">
      <w:start w:val="1"/>
      <w:numFmt w:val="decimal"/>
      <w:pStyle w:val="NormanlNumb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DF70E7"/>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F4212"/>
    <w:multiLevelType w:val="hybridMultilevel"/>
    <w:tmpl w:val="92E837E2"/>
    <w:lvl w:ilvl="0" w:tplc="6E26FF3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B1E44"/>
    <w:multiLevelType w:val="hybridMultilevel"/>
    <w:tmpl w:val="13169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84809"/>
    <w:multiLevelType w:val="hybridMultilevel"/>
    <w:tmpl w:val="D03E7CBC"/>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493D46"/>
    <w:multiLevelType w:val="hybridMultilevel"/>
    <w:tmpl w:val="BB92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A08E7"/>
    <w:multiLevelType w:val="hybridMultilevel"/>
    <w:tmpl w:val="8008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08355C"/>
    <w:multiLevelType w:val="hybridMultilevel"/>
    <w:tmpl w:val="13169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22188A"/>
    <w:multiLevelType w:val="hybridMultilevel"/>
    <w:tmpl w:val="4A70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E0C39"/>
    <w:multiLevelType w:val="hybridMultilevel"/>
    <w:tmpl w:val="8008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620A7"/>
    <w:multiLevelType w:val="hybridMultilevel"/>
    <w:tmpl w:val="8008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0"/>
  </w:num>
  <w:num w:numId="6">
    <w:abstractNumId w:val="1"/>
  </w:num>
  <w:num w:numId="7">
    <w:abstractNumId w:val="8"/>
  </w:num>
  <w:num w:numId="8">
    <w:abstractNumId w:val="6"/>
  </w:num>
  <w:num w:numId="9">
    <w:abstractNumId w:val="3"/>
  </w:num>
  <w:num w:numId="10">
    <w:abstractNumId w:val="13"/>
  </w:num>
  <w:num w:numId="11">
    <w:abstractNumId w:val="2"/>
  </w:num>
  <w:num w:numId="12">
    <w:abstractNumId w:val="12"/>
  </w:num>
  <w:num w:numId="13">
    <w:abstractNumId w:val="1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08C0"/>
    <w:rsid w:val="00007461"/>
    <w:rsid w:val="000079CC"/>
    <w:rsid w:val="00011331"/>
    <w:rsid w:val="00011A63"/>
    <w:rsid w:val="0001202E"/>
    <w:rsid w:val="00014C03"/>
    <w:rsid w:val="00017B8E"/>
    <w:rsid w:val="0003789A"/>
    <w:rsid w:val="00044DDE"/>
    <w:rsid w:val="000502AD"/>
    <w:rsid w:val="00053D0E"/>
    <w:rsid w:val="00054D67"/>
    <w:rsid w:val="00080667"/>
    <w:rsid w:val="000823AC"/>
    <w:rsid w:val="00087ED3"/>
    <w:rsid w:val="000A049E"/>
    <w:rsid w:val="000B1091"/>
    <w:rsid w:val="000B309F"/>
    <w:rsid w:val="000C09B4"/>
    <w:rsid w:val="000C1FD3"/>
    <w:rsid w:val="000C4457"/>
    <w:rsid w:val="000D6DE5"/>
    <w:rsid w:val="000E1370"/>
    <w:rsid w:val="000E1419"/>
    <w:rsid w:val="000F31C9"/>
    <w:rsid w:val="000F77FD"/>
    <w:rsid w:val="00101123"/>
    <w:rsid w:val="00103A84"/>
    <w:rsid w:val="00106A18"/>
    <w:rsid w:val="00125FB0"/>
    <w:rsid w:val="00133B59"/>
    <w:rsid w:val="00134142"/>
    <w:rsid w:val="00135E07"/>
    <w:rsid w:val="00144024"/>
    <w:rsid w:val="0015409F"/>
    <w:rsid w:val="00157815"/>
    <w:rsid w:val="00165CA3"/>
    <w:rsid w:val="001663A4"/>
    <w:rsid w:val="00167DA9"/>
    <w:rsid w:val="00167FE0"/>
    <w:rsid w:val="00176076"/>
    <w:rsid w:val="00180273"/>
    <w:rsid w:val="001956C7"/>
    <w:rsid w:val="0019587C"/>
    <w:rsid w:val="001A4D75"/>
    <w:rsid w:val="001B721D"/>
    <w:rsid w:val="001C5F43"/>
    <w:rsid w:val="001D03D4"/>
    <w:rsid w:val="001D3A31"/>
    <w:rsid w:val="001F098F"/>
    <w:rsid w:val="001F26EC"/>
    <w:rsid w:val="001F2A75"/>
    <w:rsid w:val="001F3524"/>
    <w:rsid w:val="001F42B6"/>
    <w:rsid w:val="0020236C"/>
    <w:rsid w:val="002058BA"/>
    <w:rsid w:val="00213C92"/>
    <w:rsid w:val="00220822"/>
    <w:rsid w:val="00225502"/>
    <w:rsid w:val="00230A0E"/>
    <w:rsid w:val="002315A5"/>
    <w:rsid w:val="00232597"/>
    <w:rsid w:val="00234127"/>
    <w:rsid w:val="002460F7"/>
    <w:rsid w:val="00251B6C"/>
    <w:rsid w:val="002547CF"/>
    <w:rsid w:val="002567A2"/>
    <w:rsid w:val="0026321D"/>
    <w:rsid w:val="00270A1A"/>
    <w:rsid w:val="00273296"/>
    <w:rsid w:val="002864B7"/>
    <w:rsid w:val="0029439F"/>
    <w:rsid w:val="002B1719"/>
    <w:rsid w:val="002C33D0"/>
    <w:rsid w:val="002C4B80"/>
    <w:rsid w:val="002C7C02"/>
    <w:rsid w:val="002D43B6"/>
    <w:rsid w:val="002E2627"/>
    <w:rsid w:val="002F35AA"/>
    <w:rsid w:val="002F7E65"/>
    <w:rsid w:val="00300A2A"/>
    <w:rsid w:val="003034D7"/>
    <w:rsid w:val="0030483B"/>
    <w:rsid w:val="00315A12"/>
    <w:rsid w:val="00316520"/>
    <w:rsid w:val="0032170C"/>
    <w:rsid w:val="0032175A"/>
    <w:rsid w:val="00322DEA"/>
    <w:rsid w:val="00326283"/>
    <w:rsid w:val="00337508"/>
    <w:rsid w:val="00346615"/>
    <w:rsid w:val="003476A7"/>
    <w:rsid w:val="00347861"/>
    <w:rsid w:val="00354CB5"/>
    <w:rsid w:val="00355BA6"/>
    <w:rsid w:val="00357B0E"/>
    <w:rsid w:val="00363EC5"/>
    <w:rsid w:val="00366AD1"/>
    <w:rsid w:val="00370F74"/>
    <w:rsid w:val="003736EE"/>
    <w:rsid w:val="0037523B"/>
    <w:rsid w:val="003752A0"/>
    <w:rsid w:val="00396F34"/>
    <w:rsid w:val="003A51F5"/>
    <w:rsid w:val="003B037A"/>
    <w:rsid w:val="003B0607"/>
    <w:rsid w:val="003B24E2"/>
    <w:rsid w:val="003B422F"/>
    <w:rsid w:val="003D653B"/>
    <w:rsid w:val="003D6FD5"/>
    <w:rsid w:val="003E5E09"/>
    <w:rsid w:val="003F1AD6"/>
    <w:rsid w:val="003F4F4C"/>
    <w:rsid w:val="003F7D0B"/>
    <w:rsid w:val="004004FC"/>
    <w:rsid w:val="004042C9"/>
    <w:rsid w:val="00411B0D"/>
    <w:rsid w:val="004169DC"/>
    <w:rsid w:val="00417008"/>
    <w:rsid w:val="00420CEC"/>
    <w:rsid w:val="004215EB"/>
    <w:rsid w:val="00421A9B"/>
    <w:rsid w:val="00424E4F"/>
    <w:rsid w:val="00427B78"/>
    <w:rsid w:val="0043559F"/>
    <w:rsid w:val="004475E6"/>
    <w:rsid w:val="00455C72"/>
    <w:rsid w:val="00461D62"/>
    <w:rsid w:val="004627DB"/>
    <w:rsid w:val="00472098"/>
    <w:rsid w:val="004732D4"/>
    <w:rsid w:val="0047429E"/>
    <w:rsid w:val="00481CB0"/>
    <w:rsid w:val="00495C48"/>
    <w:rsid w:val="004A06F6"/>
    <w:rsid w:val="004A7B9A"/>
    <w:rsid w:val="004B0D35"/>
    <w:rsid w:val="004B31A6"/>
    <w:rsid w:val="004B3911"/>
    <w:rsid w:val="004C595C"/>
    <w:rsid w:val="004D031E"/>
    <w:rsid w:val="004D2B27"/>
    <w:rsid w:val="004D3DBE"/>
    <w:rsid w:val="004D713F"/>
    <w:rsid w:val="00506BC5"/>
    <w:rsid w:val="005132CC"/>
    <w:rsid w:val="00516AC8"/>
    <w:rsid w:val="00517955"/>
    <w:rsid w:val="0052724C"/>
    <w:rsid w:val="00530FDE"/>
    <w:rsid w:val="005311E2"/>
    <w:rsid w:val="0053698B"/>
    <w:rsid w:val="00537584"/>
    <w:rsid w:val="00544E8C"/>
    <w:rsid w:val="00545695"/>
    <w:rsid w:val="005474ED"/>
    <w:rsid w:val="005555FD"/>
    <w:rsid w:val="00570F73"/>
    <w:rsid w:val="005836A2"/>
    <w:rsid w:val="00587DD1"/>
    <w:rsid w:val="005927F0"/>
    <w:rsid w:val="00594A38"/>
    <w:rsid w:val="005A5F0C"/>
    <w:rsid w:val="005A73E1"/>
    <w:rsid w:val="005A7B65"/>
    <w:rsid w:val="005B6092"/>
    <w:rsid w:val="005C0B9B"/>
    <w:rsid w:val="005C6168"/>
    <w:rsid w:val="005E0C05"/>
    <w:rsid w:val="005E5079"/>
    <w:rsid w:val="005E5718"/>
    <w:rsid w:val="005F1A18"/>
    <w:rsid w:val="005F1C1B"/>
    <w:rsid w:val="005F2E08"/>
    <w:rsid w:val="005F6261"/>
    <w:rsid w:val="00600197"/>
    <w:rsid w:val="00607AA1"/>
    <w:rsid w:val="00607D5C"/>
    <w:rsid w:val="00612159"/>
    <w:rsid w:val="00615727"/>
    <w:rsid w:val="00623DEE"/>
    <w:rsid w:val="00630D84"/>
    <w:rsid w:val="00633A29"/>
    <w:rsid w:val="00634354"/>
    <w:rsid w:val="00635929"/>
    <w:rsid w:val="00640761"/>
    <w:rsid w:val="00645E6A"/>
    <w:rsid w:val="006473C6"/>
    <w:rsid w:val="0064746F"/>
    <w:rsid w:val="0067326C"/>
    <w:rsid w:val="00673710"/>
    <w:rsid w:val="00674B1A"/>
    <w:rsid w:val="006810AC"/>
    <w:rsid w:val="006900FE"/>
    <w:rsid w:val="00691AD4"/>
    <w:rsid w:val="00694F35"/>
    <w:rsid w:val="006A655D"/>
    <w:rsid w:val="006A6F03"/>
    <w:rsid w:val="006A7AB0"/>
    <w:rsid w:val="006B556C"/>
    <w:rsid w:val="006E3007"/>
    <w:rsid w:val="006E506F"/>
    <w:rsid w:val="006F5D19"/>
    <w:rsid w:val="0070037B"/>
    <w:rsid w:val="00700521"/>
    <w:rsid w:val="007040C3"/>
    <w:rsid w:val="0074064B"/>
    <w:rsid w:val="00745866"/>
    <w:rsid w:val="007477F7"/>
    <w:rsid w:val="00747930"/>
    <w:rsid w:val="007479D7"/>
    <w:rsid w:val="0075431F"/>
    <w:rsid w:val="0076065B"/>
    <w:rsid w:val="00760E32"/>
    <w:rsid w:val="00762B83"/>
    <w:rsid w:val="00764111"/>
    <w:rsid w:val="00764E41"/>
    <w:rsid w:val="00771515"/>
    <w:rsid w:val="00776056"/>
    <w:rsid w:val="0078314B"/>
    <w:rsid w:val="00785C12"/>
    <w:rsid w:val="00790C12"/>
    <w:rsid w:val="007948A1"/>
    <w:rsid w:val="00795E5B"/>
    <w:rsid w:val="007A1499"/>
    <w:rsid w:val="007A5E04"/>
    <w:rsid w:val="007A735F"/>
    <w:rsid w:val="007C1B15"/>
    <w:rsid w:val="007E1663"/>
    <w:rsid w:val="008018C5"/>
    <w:rsid w:val="00802EAF"/>
    <w:rsid w:val="00806C5A"/>
    <w:rsid w:val="00813F1E"/>
    <w:rsid w:val="0081403B"/>
    <w:rsid w:val="00835892"/>
    <w:rsid w:val="00837C4B"/>
    <w:rsid w:val="0084052F"/>
    <w:rsid w:val="008425BE"/>
    <w:rsid w:val="00842737"/>
    <w:rsid w:val="00843006"/>
    <w:rsid w:val="008440D9"/>
    <w:rsid w:val="008450FF"/>
    <w:rsid w:val="00845340"/>
    <w:rsid w:val="00846B77"/>
    <w:rsid w:val="00852345"/>
    <w:rsid w:val="00860E6B"/>
    <w:rsid w:val="00863707"/>
    <w:rsid w:val="0086377B"/>
    <w:rsid w:val="00867AAC"/>
    <w:rsid w:val="008769FC"/>
    <w:rsid w:val="0087756F"/>
    <w:rsid w:val="00880F28"/>
    <w:rsid w:val="00882ECA"/>
    <w:rsid w:val="00883368"/>
    <w:rsid w:val="00891490"/>
    <w:rsid w:val="00892478"/>
    <w:rsid w:val="008967EC"/>
    <w:rsid w:val="008A7436"/>
    <w:rsid w:val="008B06DD"/>
    <w:rsid w:val="008B2AE8"/>
    <w:rsid w:val="008B7708"/>
    <w:rsid w:val="008C2EBA"/>
    <w:rsid w:val="008C3968"/>
    <w:rsid w:val="008C7456"/>
    <w:rsid w:val="008D4556"/>
    <w:rsid w:val="008D4F69"/>
    <w:rsid w:val="008D791F"/>
    <w:rsid w:val="008E664E"/>
    <w:rsid w:val="008F0001"/>
    <w:rsid w:val="008F0742"/>
    <w:rsid w:val="008F0A97"/>
    <w:rsid w:val="008F5F73"/>
    <w:rsid w:val="008F69C3"/>
    <w:rsid w:val="009013A0"/>
    <w:rsid w:val="00901EE4"/>
    <w:rsid w:val="00903930"/>
    <w:rsid w:val="00911297"/>
    <w:rsid w:val="00912AD8"/>
    <w:rsid w:val="00913DA6"/>
    <w:rsid w:val="00920DBC"/>
    <w:rsid w:val="00922DE0"/>
    <w:rsid w:val="009353D7"/>
    <w:rsid w:val="00942B3B"/>
    <w:rsid w:val="00943B70"/>
    <w:rsid w:val="00944AB7"/>
    <w:rsid w:val="009479D6"/>
    <w:rsid w:val="00967F59"/>
    <w:rsid w:val="00970469"/>
    <w:rsid w:val="009711F9"/>
    <w:rsid w:val="0097197E"/>
    <w:rsid w:val="00975566"/>
    <w:rsid w:val="00975F16"/>
    <w:rsid w:val="00977FD9"/>
    <w:rsid w:val="009813F1"/>
    <w:rsid w:val="00990CED"/>
    <w:rsid w:val="00996080"/>
    <w:rsid w:val="00997826"/>
    <w:rsid w:val="009B03A0"/>
    <w:rsid w:val="009B0E47"/>
    <w:rsid w:val="009B2A5C"/>
    <w:rsid w:val="009B76A1"/>
    <w:rsid w:val="009C22AE"/>
    <w:rsid w:val="009C23CD"/>
    <w:rsid w:val="009C3E77"/>
    <w:rsid w:val="009C7BA8"/>
    <w:rsid w:val="009D73CE"/>
    <w:rsid w:val="009E7526"/>
    <w:rsid w:val="009F21FD"/>
    <w:rsid w:val="00A0001A"/>
    <w:rsid w:val="00A046D3"/>
    <w:rsid w:val="00A05BA9"/>
    <w:rsid w:val="00A06BBE"/>
    <w:rsid w:val="00A15ADF"/>
    <w:rsid w:val="00A1786A"/>
    <w:rsid w:val="00A210CD"/>
    <w:rsid w:val="00A26AD9"/>
    <w:rsid w:val="00A30EBB"/>
    <w:rsid w:val="00A31539"/>
    <w:rsid w:val="00A37A50"/>
    <w:rsid w:val="00A40130"/>
    <w:rsid w:val="00A41B5A"/>
    <w:rsid w:val="00A447AF"/>
    <w:rsid w:val="00A44F24"/>
    <w:rsid w:val="00A45528"/>
    <w:rsid w:val="00A45893"/>
    <w:rsid w:val="00A53E21"/>
    <w:rsid w:val="00A57912"/>
    <w:rsid w:val="00A62FDB"/>
    <w:rsid w:val="00A63B14"/>
    <w:rsid w:val="00A74149"/>
    <w:rsid w:val="00A81BA9"/>
    <w:rsid w:val="00A8418D"/>
    <w:rsid w:val="00A85E34"/>
    <w:rsid w:val="00A95B56"/>
    <w:rsid w:val="00A95D0B"/>
    <w:rsid w:val="00AA3FD6"/>
    <w:rsid w:val="00AA684A"/>
    <w:rsid w:val="00AC7477"/>
    <w:rsid w:val="00AD2166"/>
    <w:rsid w:val="00AE361A"/>
    <w:rsid w:val="00AF26D3"/>
    <w:rsid w:val="00B00E5C"/>
    <w:rsid w:val="00B053BE"/>
    <w:rsid w:val="00B119AA"/>
    <w:rsid w:val="00B2050D"/>
    <w:rsid w:val="00B2287D"/>
    <w:rsid w:val="00B2431D"/>
    <w:rsid w:val="00B25B8C"/>
    <w:rsid w:val="00B32ADA"/>
    <w:rsid w:val="00B3381A"/>
    <w:rsid w:val="00B50E12"/>
    <w:rsid w:val="00B64ACA"/>
    <w:rsid w:val="00B65B29"/>
    <w:rsid w:val="00B71CC0"/>
    <w:rsid w:val="00B87282"/>
    <w:rsid w:val="00B91215"/>
    <w:rsid w:val="00BA5B83"/>
    <w:rsid w:val="00BA71DE"/>
    <w:rsid w:val="00BB0FFB"/>
    <w:rsid w:val="00BB2D08"/>
    <w:rsid w:val="00BB58F6"/>
    <w:rsid w:val="00BC38E0"/>
    <w:rsid w:val="00BC6690"/>
    <w:rsid w:val="00BD0173"/>
    <w:rsid w:val="00BD37E8"/>
    <w:rsid w:val="00BE2925"/>
    <w:rsid w:val="00BE431F"/>
    <w:rsid w:val="00BE4B50"/>
    <w:rsid w:val="00BF23A1"/>
    <w:rsid w:val="00C04783"/>
    <w:rsid w:val="00C05008"/>
    <w:rsid w:val="00C07390"/>
    <w:rsid w:val="00C12297"/>
    <w:rsid w:val="00C13737"/>
    <w:rsid w:val="00C33773"/>
    <w:rsid w:val="00C43E81"/>
    <w:rsid w:val="00C450D4"/>
    <w:rsid w:val="00C5457D"/>
    <w:rsid w:val="00C624B3"/>
    <w:rsid w:val="00C66DE1"/>
    <w:rsid w:val="00C83182"/>
    <w:rsid w:val="00C8680D"/>
    <w:rsid w:val="00C90A1C"/>
    <w:rsid w:val="00C97E31"/>
    <w:rsid w:val="00CB647D"/>
    <w:rsid w:val="00CC78A8"/>
    <w:rsid w:val="00CD66B2"/>
    <w:rsid w:val="00CE7F11"/>
    <w:rsid w:val="00CF26FC"/>
    <w:rsid w:val="00D0030A"/>
    <w:rsid w:val="00D1469C"/>
    <w:rsid w:val="00D15FE8"/>
    <w:rsid w:val="00D1775E"/>
    <w:rsid w:val="00D23D00"/>
    <w:rsid w:val="00D27C8C"/>
    <w:rsid w:val="00D30BE3"/>
    <w:rsid w:val="00D55A67"/>
    <w:rsid w:val="00D55B6C"/>
    <w:rsid w:val="00D757CE"/>
    <w:rsid w:val="00D80A4F"/>
    <w:rsid w:val="00D879D4"/>
    <w:rsid w:val="00D9192E"/>
    <w:rsid w:val="00D9662F"/>
    <w:rsid w:val="00DA4343"/>
    <w:rsid w:val="00DC4D86"/>
    <w:rsid w:val="00DC7354"/>
    <w:rsid w:val="00DD4368"/>
    <w:rsid w:val="00DD6439"/>
    <w:rsid w:val="00DE7B50"/>
    <w:rsid w:val="00DF0357"/>
    <w:rsid w:val="00DF1BEC"/>
    <w:rsid w:val="00E05F1A"/>
    <w:rsid w:val="00E06A4E"/>
    <w:rsid w:val="00E1547F"/>
    <w:rsid w:val="00E172B5"/>
    <w:rsid w:val="00E278CA"/>
    <w:rsid w:val="00E32ACA"/>
    <w:rsid w:val="00E37E7A"/>
    <w:rsid w:val="00E41524"/>
    <w:rsid w:val="00E50523"/>
    <w:rsid w:val="00E74058"/>
    <w:rsid w:val="00E770DC"/>
    <w:rsid w:val="00E87529"/>
    <w:rsid w:val="00E94357"/>
    <w:rsid w:val="00E959D2"/>
    <w:rsid w:val="00E97C56"/>
    <w:rsid w:val="00EA44E0"/>
    <w:rsid w:val="00EA6469"/>
    <w:rsid w:val="00EA76E3"/>
    <w:rsid w:val="00EA7740"/>
    <w:rsid w:val="00EB5215"/>
    <w:rsid w:val="00EC4E64"/>
    <w:rsid w:val="00EC7BBC"/>
    <w:rsid w:val="00EE0972"/>
    <w:rsid w:val="00EE1D60"/>
    <w:rsid w:val="00EE3F74"/>
    <w:rsid w:val="00EF5D52"/>
    <w:rsid w:val="00EF7C38"/>
    <w:rsid w:val="00F01BDE"/>
    <w:rsid w:val="00F01FDE"/>
    <w:rsid w:val="00F03EB8"/>
    <w:rsid w:val="00F06B67"/>
    <w:rsid w:val="00F1115D"/>
    <w:rsid w:val="00F1587E"/>
    <w:rsid w:val="00F16195"/>
    <w:rsid w:val="00F22323"/>
    <w:rsid w:val="00F313CE"/>
    <w:rsid w:val="00F31949"/>
    <w:rsid w:val="00F333BE"/>
    <w:rsid w:val="00F37FA7"/>
    <w:rsid w:val="00F476CA"/>
    <w:rsid w:val="00F51106"/>
    <w:rsid w:val="00F54F59"/>
    <w:rsid w:val="00F8025C"/>
    <w:rsid w:val="00F81402"/>
    <w:rsid w:val="00F826EC"/>
    <w:rsid w:val="00F846AB"/>
    <w:rsid w:val="00F84FD4"/>
    <w:rsid w:val="00F92B5D"/>
    <w:rsid w:val="00FB2C4C"/>
    <w:rsid w:val="00FB3DB2"/>
    <w:rsid w:val="00FB778F"/>
    <w:rsid w:val="00FC165E"/>
    <w:rsid w:val="00FC49E0"/>
    <w:rsid w:val="00FC5FF7"/>
    <w:rsid w:val="00FE0A9A"/>
    <w:rsid w:val="00FE3711"/>
    <w:rsid w:val="00FF15F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F7D6"/>
  <w15:docId w15:val="{88709E9D-0F14-4A93-B580-5E753DAF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link w:val="HeaderChar"/>
    <w:uiPriority w:val="99"/>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single space,Footnote Text Char Char Char,Footnote Text Char Char Char1,Footnote Text Char Char Char2 Char,Footnote Text Char Char Char1 Char,Footnote Text Char Char"/>
    <w:basedOn w:val="Normal"/>
    <w:link w:val="FootnoteTextChar"/>
    <w:uiPriority w:val="99"/>
    <w:rsid w:val="001F3524"/>
    <w:rPr>
      <w:sz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
    <w:basedOn w:val="DefaultParagraphFont"/>
    <w:link w:val="FootnoteText"/>
    <w:uiPriority w:val="99"/>
    <w:rsid w:val="001F3524"/>
  </w:style>
  <w:style w:type="character" w:styleId="FootnoteReference">
    <w:name w:val="footnote reference"/>
    <w:basedOn w:val="DefaultParagraphFont"/>
    <w:uiPriority w:val="99"/>
    <w:rsid w:val="001F3524"/>
    <w:rPr>
      <w:vertAlign w:val="superscript"/>
    </w:rPr>
  </w:style>
  <w:style w:type="paragraph" w:styleId="BalloonText">
    <w:name w:val="Balloon Text"/>
    <w:basedOn w:val="Normal"/>
    <w:link w:val="BalloonTextChar"/>
    <w:semiHidden/>
    <w:unhideWhenUsed/>
    <w:rsid w:val="00CD66B2"/>
    <w:rPr>
      <w:rFonts w:ascii="Segoe UI" w:hAnsi="Segoe UI" w:cs="Segoe UI"/>
      <w:sz w:val="18"/>
      <w:szCs w:val="18"/>
    </w:rPr>
  </w:style>
  <w:style w:type="character" w:customStyle="1" w:styleId="BalloonTextChar">
    <w:name w:val="Balloon Text Char"/>
    <w:basedOn w:val="DefaultParagraphFont"/>
    <w:link w:val="BalloonText"/>
    <w:semiHidden/>
    <w:rsid w:val="00CD66B2"/>
    <w:rPr>
      <w:rFonts w:ascii="Segoe UI" w:hAnsi="Segoe UI" w:cs="Segoe UI"/>
      <w:sz w:val="18"/>
      <w:szCs w:val="18"/>
    </w:rPr>
  </w:style>
  <w:style w:type="paragraph" w:styleId="CommentText">
    <w:name w:val="annotation text"/>
    <w:basedOn w:val="Normal"/>
    <w:link w:val="CommentTextChar"/>
    <w:uiPriority w:val="99"/>
    <w:rsid w:val="004475E6"/>
    <w:pPr>
      <w:widowControl/>
    </w:pPr>
    <w:rPr>
      <w:rFonts w:eastAsia="MS Mincho"/>
      <w:sz w:val="20"/>
    </w:rPr>
  </w:style>
  <w:style w:type="character" w:customStyle="1" w:styleId="CommentTextChar">
    <w:name w:val="Comment Text Char"/>
    <w:basedOn w:val="DefaultParagraphFont"/>
    <w:link w:val="CommentText"/>
    <w:uiPriority w:val="99"/>
    <w:rsid w:val="004475E6"/>
    <w:rPr>
      <w:rFonts w:eastAsia="MS Mincho"/>
    </w:rPr>
  </w:style>
  <w:style w:type="paragraph" w:styleId="ListParagraph">
    <w:name w:val="List Paragraph"/>
    <w:basedOn w:val="Normal"/>
    <w:link w:val="ListParagraphChar"/>
    <w:uiPriority w:val="34"/>
    <w:qFormat/>
    <w:rsid w:val="00F01BDE"/>
    <w:pPr>
      <w:ind w:left="720"/>
      <w:contextualSpacing/>
    </w:pPr>
  </w:style>
  <w:style w:type="paragraph" w:customStyle="1" w:styleId="NormanlNumber">
    <w:name w:val="Normanl Number"/>
    <w:basedOn w:val="ListParagraph"/>
    <w:link w:val="NormanlNumberChar"/>
    <w:qFormat/>
    <w:rsid w:val="001D3A31"/>
    <w:pPr>
      <w:widowControl/>
      <w:numPr>
        <w:numId w:val="5"/>
      </w:numPr>
      <w:spacing w:before="120" w:after="120" w:line="276" w:lineRule="auto"/>
      <w:jc w:val="both"/>
    </w:pPr>
    <w:rPr>
      <w:rFonts w:asciiTheme="minorHAnsi" w:eastAsiaTheme="minorHAnsi" w:hAnsiTheme="minorHAnsi" w:cstheme="minorBidi"/>
      <w:sz w:val="22"/>
      <w:szCs w:val="22"/>
      <w:lang w:val="en-AU"/>
    </w:rPr>
  </w:style>
  <w:style w:type="character" w:customStyle="1" w:styleId="NormanlNumberChar">
    <w:name w:val="Normanl Number Char"/>
    <w:basedOn w:val="DefaultParagraphFont"/>
    <w:link w:val="NormanlNumber"/>
    <w:rsid w:val="001D3A31"/>
    <w:rPr>
      <w:rFonts w:asciiTheme="minorHAnsi" w:eastAsiaTheme="minorHAnsi" w:hAnsiTheme="minorHAnsi" w:cstheme="minorBidi"/>
      <w:sz w:val="22"/>
      <w:szCs w:val="22"/>
      <w:lang w:val="en-AU"/>
    </w:rPr>
  </w:style>
  <w:style w:type="character" w:customStyle="1" w:styleId="ListParagraphChar">
    <w:name w:val="List Paragraph Char"/>
    <w:basedOn w:val="DefaultParagraphFont"/>
    <w:link w:val="ListParagraph"/>
    <w:uiPriority w:val="34"/>
    <w:rsid w:val="00C33773"/>
    <w:rPr>
      <w:sz w:val="24"/>
    </w:rPr>
  </w:style>
  <w:style w:type="character" w:styleId="CommentReference">
    <w:name w:val="annotation reference"/>
    <w:basedOn w:val="DefaultParagraphFont"/>
    <w:uiPriority w:val="99"/>
    <w:semiHidden/>
    <w:unhideWhenUsed/>
    <w:rsid w:val="00BE431F"/>
    <w:rPr>
      <w:sz w:val="16"/>
      <w:szCs w:val="16"/>
    </w:rPr>
  </w:style>
  <w:style w:type="paragraph" w:styleId="CommentSubject">
    <w:name w:val="annotation subject"/>
    <w:basedOn w:val="CommentText"/>
    <w:next w:val="CommentText"/>
    <w:link w:val="CommentSubjectChar"/>
    <w:semiHidden/>
    <w:unhideWhenUsed/>
    <w:rsid w:val="00BE431F"/>
    <w:pPr>
      <w:widowControl w:val="0"/>
    </w:pPr>
    <w:rPr>
      <w:rFonts w:eastAsia="Times New Roman"/>
      <w:b/>
      <w:bCs/>
    </w:rPr>
  </w:style>
  <w:style w:type="character" w:customStyle="1" w:styleId="CommentSubjectChar">
    <w:name w:val="Comment Subject Char"/>
    <w:basedOn w:val="CommentTextChar"/>
    <w:link w:val="CommentSubject"/>
    <w:semiHidden/>
    <w:rsid w:val="00BE431F"/>
    <w:rPr>
      <w:rFonts w:eastAsia="MS Mincho"/>
      <w:b/>
      <w:bCs/>
    </w:rPr>
  </w:style>
  <w:style w:type="paragraph" w:styleId="EndnoteText">
    <w:name w:val="endnote text"/>
    <w:basedOn w:val="Normal"/>
    <w:link w:val="EndnoteTextChar"/>
    <w:uiPriority w:val="99"/>
    <w:unhideWhenUsed/>
    <w:rsid w:val="00134142"/>
    <w:pPr>
      <w:widowControl/>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134142"/>
    <w:rPr>
      <w:rFonts w:asciiTheme="minorHAnsi" w:eastAsiaTheme="minorHAnsi" w:hAnsiTheme="minorHAnsi" w:cstheme="minorBidi"/>
    </w:rPr>
  </w:style>
  <w:style w:type="paragraph" w:customStyle="1" w:styleId="ADRText">
    <w:name w:val="ADR_Text"/>
    <w:basedOn w:val="Normal"/>
    <w:qFormat/>
    <w:rsid w:val="00506BC5"/>
    <w:pPr>
      <w:widowControl/>
      <w:autoSpaceDE w:val="0"/>
      <w:autoSpaceDN w:val="0"/>
      <w:adjustRightInd w:val="0"/>
      <w:spacing w:line="259" w:lineRule="auto"/>
    </w:pPr>
    <w:rPr>
      <w:rFonts w:ascii="Calibri" w:hAnsi="Calibri"/>
      <w:sz w:val="22"/>
      <w:szCs w:val="22"/>
      <w:lang w:val="en-GB"/>
    </w:rPr>
  </w:style>
  <w:style w:type="character" w:styleId="Hyperlink">
    <w:name w:val="Hyperlink"/>
    <w:basedOn w:val="DefaultParagraphFont"/>
    <w:uiPriority w:val="99"/>
    <w:unhideWhenUsed/>
    <w:rsid w:val="004B0D35"/>
    <w:rPr>
      <w:color w:val="0000FF" w:themeColor="hyperlink"/>
      <w:u w:val="single"/>
    </w:rPr>
  </w:style>
  <w:style w:type="character" w:styleId="EndnoteReference">
    <w:name w:val="endnote reference"/>
    <w:basedOn w:val="DefaultParagraphFont"/>
    <w:uiPriority w:val="99"/>
    <w:semiHidden/>
    <w:unhideWhenUsed/>
    <w:rsid w:val="004B0D35"/>
    <w:rPr>
      <w:vertAlign w:val="superscript"/>
    </w:rPr>
  </w:style>
  <w:style w:type="character" w:customStyle="1" w:styleId="roarquestion">
    <w:name w:val="roar_question"/>
    <w:basedOn w:val="DefaultParagraphFont"/>
    <w:rsid w:val="00F06B67"/>
  </w:style>
  <w:style w:type="character" w:customStyle="1" w:styleId="HeaderChar">
    <w:name w:val="Header Char"/>
    <w:basedOn w:val="DefaultParagraphFont"/>
    <w:link w:val="Header"/>
    <w:uiPriority w:val="99"/>
    <w:rsid w:val="00C624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7086">
      <w:bodyDiv w:val="1"/>
      <w:marLeft w:val="0"/>
      <w:marRight w:val="0"/>
      <w:marTop w:val="0"/>
      <w:marBottom w:val="0"/>
      <w:divBdr>
        <w:top w:val="none" w:sz="0" w:space="0" w:color="auto"/>
        <w:left w:val="none" w:sz="0" w:space="0" w:color="auto"/>
        <w:bottom w:val="none" w:sz="0" w:space="0" w:color="auto"/>
        <w:right w:val="none" w:sz="0" w:space="0" w:color="auto"/>
      </w:divBdr>
    </w:div>
    <w:div w:id="1147359819">
      <w:bodyDiv w:val="1"/>
      <w:marLeft w:val="0"/>
      <w:marRight w:val="0"/>
      <w:marTop w:val="0"/>
      <w:marBottom w:val="0"/>
      <w:divBdr>
        <w:top w:val="none" w:sz="0" w:space="0" w:color="auto"/>
        <w:left w:val="none" w:sz="0" w:space="0" w:color="auto"/>
        <w:bottom w:val="none" w:sz="0" w:space="0" w:color="auto"/>
        <w:right w:val="none" w:sz="0" w:space="0" w:color="auto"/>
      </w:divBdr>
    </w:div>
    <w:div w:id="1292859825">
      <w:bodyDiv w:val="1"/>
      <w:marLeft w:val="0"/>
      <w:marRight w:val="0"/>
      <w:marTop w:val="0"/>
      <w:marBottom w:val="0"/>
      <w:divBdr>
        <w:top w:val="none" w:sz="0" w:space="0" w:color="auto"/>
        <w:left w:val="none" w:sz="0" w:space="0" w:color="auto"/>
        <w:bottom w:val="none" w:sz="0" w:space="0" w:color="auto"/>
        <w:right w:val="none" w:sz="0" w:space="0" w:color="auto"/>
      </w:divBdr>
    </w:div>
    <w:div w:id="20652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2.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3.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D2B0F9-0B65-451E-9257-78BDE250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44385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2015-04-06T07:06:00Z</cp:lastPrinted>
  <dcterms:created xsi:type="dcterms:W3CDTF">2016-04-28T18:40:00Z</dcterms:created>
  <dcterms:modified xsi:type="dcterms:W3CDTF">2016-04-28T18:40:00Z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