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1DAE1" w14:textId="1CB1206E" w:rsidR="004A4942" w:rsidRPr="004A4942" w:rsidRDefault="004A4942" w:rsidP="00B51950">
      <w:pPr>
        <w:pStyle w:val="Head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4A4942">
        <w:rPr>
          <w:rFonts w:ascii="Times New Roman" w:hAnsi="Times New Roman"/>
          <w:b/>
          <w:bCs/>
          <w:color w:val="000000"/>
          <w:sz w:val="28"/>
          <w:szCs w:val="28"/>
        </w:rPr>
        <w:t>Annex 2</w:t>
      </w:r>
      <w:r w:rsidR="0034619A">
        <w:rPr>
          <w:rFonts w:ascii="Times New Roman" w:hAnsi="Times New Roman"/>
          <w:b/>
          <w:bCs/>
          <w:color w:val="000000"/>
          <w:sz w:val="28"/>
          <w:szCs w:val="28"/>
        </w:rPr>
        <w:t>. List of cost recovery related waivers granted during 2014-2015</w:t>
      </w:r>
    </w:p>
    <w:p w14:paraId="6B3DF147" w14:textId="77777777" w:rsidR="004A4942" w:rsidRDefault="004A4942" w:rsidP="00B51950">
      <w:pPr>
        <w:pStyle w:val="Header"/>
        <w:rPr>
          <w:rFonts w:ascii="Times New Roman" w:hAnsi="Times New Roman"/>
          <w:bCs/>
          <w:color w:val="000000"/>
          <w:szCs w:val="28"/>
        </w:rPr>
      </w:pPr>
    </w:p>
    <w:p w14:paraId="3298A957" w14:textId="5C59FD93" w:rsidR="00B65356" w:rsidRPr="00EA39DB" w:rsidRDefault="00B65356" w:rsidP="00B51950">
      <w:pPr>
        <w:pStyle w:val="Header"/>
        <w:rPr>
          <w:rFonts w:ascii="Times New Roman" w:hAnsi="Times New Roman"/>
          <w:sz w:val="18"/>
          <w:szCs w:val="17"/>
        </w:rPr>
      </w:pPr>
      <w:r w:rsidRPr="00EA39DB">
        <w:rPr>
          <w:rFonts w:ascii="Times New Roman" w:hAnsi="Times New Roman"/>
          <w:bCs/>
          <w:color w:val="000000"/>
          <w:szCs w:val="28"/>
        </w:rPr>
        <w:t xml:space="preserve">During 2014, </w:t>
      </w:r>
      <w:r w:rsidR="00BE6882" w:rsidRPr="00EA39DB">
        <w:rPr>
          <w:rFonts w:ascii="Times New Roman" w:hAnsi="Times New Roman"/>
          <w:bCs/>
          <w:color w:val="000000"/>
          <w:szCs w:val="28"/>
        </w:rPr>
        <w:t xml:space="preserve">24 </w:t>
      </w:r>
      <w:r w:rsidRPr="00EA39DB">
        <w:rPr>
          <w:rFonts w:ascii="Times New Roman" w:hAnsi="Times New Roman"/>
          <w:bCs/>
          <w:color w:val="000000"/>
          <w:szCs w:val="28"/>
        </w:rPr>
        <w:t xml:space="preserve">waivers were granted and reported in the Annual review of the financial situation, 2014 in September 2015 EB </w:t>
      </w:r>
      <w:r w:rsidR="004A4942" w:rsidRPr="00EA39DB">
        <w:rPr>
          <w:rFonts w:ascii="Times New Roman" w:hAnsi="Times New Roman"/>
          <w:bCs/>
          <w:color w:val="000000"/>
          <w:szCs w:val="28"/>
        </w:rPr>
        <w:t>session</w:t>
      </w:r>
      <w:r w:rsidR="004A4942" w:rsidRPr="00EA39DB">
        <w:rPr>
          <w:rFonts w:ascii="Times New Roman" w:hAnsi="Times New Roman"/>
          <w:color w:val="000000"/>
        </w:rPr>
        <w:t xml:space="preserve"> </w:t>
      </w:r>
      <w:r w:rsidR="004A4942" w:rsidRPr="00EA39DB">
        <w:rPr>
          <w:rFonts w:ascii="Times New Roman" w:hAnsi="Times New Roman"/>
          <w:color w:val="000000"/>
          <w:szCs w:val="24"/>
        </w:rPr>
        <w:t>(</w:t>
      </w:r>
      <w:r w:rsidR="00B51950" w:rsidRPr="00EA39DB">
        <w:rPr>
          <w:rFonts w:ascii="Times New Roman" w:hAnsi="Times New Roman"/>
          <w:szCs w:val="24"/>
        </w:rPr>
        <w:t>Annex IV, DP/2015/26):</w:t>
      </w:r>
    </w:p>
    <w:p w14:paraId="25A549DF" w14:textId="77777777" w:rsidR="003231DC" w:rsidRPr="00EA39DB" w:rsidRDefault="003231DC" w:rsidP="00B65356">
      <w:pPr>
        <w:jc w:val="both"/>
      </w:pPr>
    </w:p>
    <w:p w14:paraId="510FACA1" w14:textId="77777777" w:rsidR="00B65356" w:rsidRPr="00EA39DB" w:rsidRDefault="00B65356" w:rsidP="00B65356">
      <w:pPr>
        <w:jc w:val="both"/>
        <w:rPr>
          <w:rFonts w:eastAsia="Times New Roman"/>
          <w:b/>
          <w:bCs/>
          <w:color w:val="000000"/>
          <w:szCs w:val="28"/>
        </w:rPr>
      </w:pPr>
      <w:r w:rsidRPr="00EA39DB">
        <w:rPr>
          <w:rFonts w:eastAsia="Times New Roman"/>
          <w:b/>
          <w:bCs/>
          <w:color w:val="000000"/>
          <w:szCs w:val="28"/>
        </w:rPr>
        <w:t>A.    Thirteen One-time waivers:</w:t>
      </w:r>
    </w:p>
    <w:p w14:paraId="615E744D" w14:textId="77777777" w:rsidR="00B65356" w:rsidRPr="00EA39DB" w:rsidRDefault="00B65356" w:rsidP="00D07B5B">
      <w:pPr>
        <w:ind w:firstLineChars="600" w:firstLine="1325"/>
        <w:jc w:val="both"/>
        <w:rPr>
          <w:rFonts w:eastAsia="Times New Roman"/>
          <w:b/>
          <w:bCs/>
          <w:color w:val="000000"/>
          <w:sz w:val="22"/>
          <w:szCs w:val="28"/>
        </w:rPr>
      </w:pPr>
      <w:proofErr w:type="spellStart"/>
      <w:r w:rsidRPr="00EA39DB">
        <w:rPr>
          <w:rFonts w:eastAsia="Times New Roman"/>
          <w:b/>
          <w:bCs/>
          <w:color w:val="000000"/>
          <w:sz w:val="22"/>
          <w:szCs w:val="28"/>
        </w:rPr>
        <w:t>i</w:t>
      </w:r>
      <w:proofErr w:type="spellEnd"/>
      <w:r w:rsidRPr="00EA39DB">
        <w:rPr>
          <w:rFonts w:eastAsia="Times New Roman"/>
          <w:b/>
          <w:bCs/>
          <w:color w:val="000000"/>
          <w:sz w:val="22"/>
          <w:szCs w:val="28"/>
        </w:rPr>
        <w:t>) Five waivers due to transition to the new policy, e.g. agreements signed in 2014 but negotiations with donors occurred in 2013, a reduced (7 per cent) fee:</w:t>
      </w:r>
    </w:p>
    <w:p w14:paraId="7FA0A9AD" w14:textId="77777777" w:rsidR="00B65356" w:rsidRPr="00EA39DB" w:rsidRDefault="00B65356" w:rsidP="00B65356">
      <w:pPr>
        <w:jc w:val="both"/>
      </w:pPr>
    </w:p>
    <w:p w14:paraId="519A4DC7" w14:textId="77777777" w:rsidR="00B65356" w:rsidRPr="00EA39DB" w:rsidRDefault="00B65356" w:rsidP="00B65356">
      <w:pPr>
        <w:jc w:val="both"/>
        <w:rPr>
          <w:rFonts w:eastAsia="Times New Roman"/>
          <w:color w:val="000000"/>
        </w:rPr>
      </w:pPr>
      <w:r w:rsidRPr="00EA39DB">
        <w:t xml:space="preserve">1. </w:t>
      </w:r>
      <w:proofErr w:type="gramStart"/>
      <w:r w:rsidRPr="00EA39DB">
        <w:rPr>
          <w:rFonts w:eastAsia="Times New Roman"/>
          <w:color w:val="000000"/>
        </w:rPr>
        <w:t>a</w:t>
      </w:r>
      <w:proofErr w:type="gramEnd"/>
      <w:r w:rsidRPr="00EA39DB">
        <w:rPr>
          <w:rFonts w:eastAsia="Times New Roman"/>
          <w:color w:val="000000"/>
        </w:rPr>
        <w:t xml:space="preserve"> contribution to ‘Aid for Trade in the Arab States (RBAS/HQ/Regional);</w:t>
      </w:r>
    </w:p>
    <w:p w14:paraId="27A6B5EB" w14:textId="77777777" w:rsidR="00B65356" w:rsidRPr="00EA39DB" w:rsidRDefault="00B65356" w:rsidP="00B65356">
      <w:pPr>
        <w:jc w:val="both"/>
        <w:rPr>
          <w:rFonts w:eastAsia="Times New Roman"/>
          <w:color w:val="000000"/>
          <w:lang w:val="es-ES"/>
        </w:rPr>
      </w:pPr>
      <w:r w:rsidRPr="00EA39DB">
        <w:rPr>
          <w:lang w:val="es-ES"/>
        </w:rPr>
        <w:t xml:space="preserve">2. </w:t>
      </w:r>
      <w:r w:rsidRPr="00EA39DB">
        <w:rPr>
          <w:rFonts w:eastAsia="Times New Roman"/>
          <w:color w:val="000000"/>
          <w:lang w:val="es-ES"/>
        </w:rPr>
        <w:t xml:space="preserve">a </w:t>
      </w:r>
      <w:proofErr w:type="spellStart"/>
      <w:r w:rsidRPr="00EA39DB">
        <w:rPr>
          <w:rFonts w:eastAsia="Times New Roman"/>
          <w:color w:val="000000"/>
          <w:lang w:val="es-ES"/>
        </w:rPr>
        <w:t>contribution</w:t>
      </w:r>
      <w:proofErr w:type="spellEnd"/>
      <w:r w:rsidRPr="00EA39DB">
        <w:rPr>
          <w:rFonts w:eastAsia="Times New Roman"/>
          <w:color w:val="000000"/>
          <w:lang w:val="es-ES"/>
        </w:rPr>
        <w:t xml:space="preserve"> to ‘Industrias Extractivas Guajira (Colombia);</w:t>
      </w:r>
    </w:p>
    <w:p w14:paraId="419DBE0E" w14:textId="77777777" w:rsidR="00B65356" w:rsidRPr="00EA39DB" w:rsidRDefault="00B65356" w:rsidP="00B65356">
      <w:pPr>
        <w:jc w:val="both"/>
        <w:rPr>
          <w:rFonts w:eastAsia="Times New Roman"/>
          <w:color w:val="000000"/>
        </w:rPr>
      </w:pPr>
      <w:r w:rsidRPr="00EA39DB">
        <w:t xml:space="preserve">3. </w:t>
      </w:r>
      <w:proofErr w:type="gramStart"/>
      <w:r w:rsidRPr="00EA39DB">
        <w:rPr>
          <w:rFonts w:eastAsia="Times New Roman"/>
          <w:color w:val="000000"/>
        </w:rPr>
        <w:t>a</w:t>
      </w:r>
      <w:proofErr w:type="gramEnd"/>
      <w:r w:rsidRPr="00EA39DB">
        <w:rPr>
          <w:rFonts w:eastAsia="Times New Roman"/>
          <w:color w:val="000000"/>
        </w:rPr>
        <w:t xml:space="preserve"> contribution to ‘Renovation and rehabilitation of maternities in the Gaza Strip for the </w:t>
      </w:r>
      <w:proofErr w:type="spellStart"/>
      <w:r w:rsidRPr="00EA39DB">
        <w:rPr>
          <w:rFonts w:eastAsia="Times New Roman"/>
          <w:color w:val="000000"/>
        </w:rPr>
        <w:t>Programme</w:t>
      </w:r>
      <w:proofErr w:type="spellEnd"/>
      <w:r w:rsidRPr="00EA39DB">
        <w:rPr>
          <w:rFonts w:eastAsia="Times New Roman"/>
          <w:color w:val="000000"/>
        </w:rPr>
        <w:t xml:space="preserve"> of Assistance to the Palestinian People;</w:t>
      </w:r>
    </w:p>
    <w:p w14:paraId="5B90F614" w14:textId="77777777" w:rsidR="00B65356" w:rsidRPr="00EA39DB" w:rsidRDefault="00B65356" w:rsidP="00B65356">
      <w:pPr>
        <w:jc w:val="both"/>
        <w:rPr>
          <w:rFonts w:eastAsia="Times New Roman"/>
          <w:color w:val="000000"/>
        </w:rPr>
      </w:pPr>
      <w:r w:rsidRPr="00EA39DB">
        <w:t xml:space="preserve">4. </w:t>
      </w:r>
      <w:proofErr w:type="gramStart"/>
      <w:r w:rsidRPr="00EA39DB">
        <w:rPr>
          <w:rFonts w:eastAsia="Times New Roman"/>
          <w:color w:val="000000"/>
        </w:rPr>
        <w:t>a</w:t>
      </w:r>
      <w:proofErr w:type="gramEnd"/>
      <w:r w:rsidRPr="00EA39DB">
        <w:rPr>
          <w:rFonts w:eastAsia="Times New Roman"/>
          <w:color w:val="000000"/>
        </w:rPr>
        <w:t xml:space="preserve"> contribution to ‘Social Local Development </w:t>
      </w:r>
      <w:proofErr w:type="spellStart"/>
      <w:r w:rsidRPr="00EA39DB">
        <w:rPr>
          <w:rFonts w:eastAsia="Times New Roman"/>
          <w:color w:val="000000"/>
        </w:rPr>
        <w:t>Programme</w:t>
      </w:r>
      <w:proofErr w:type="spellEnd"/>
      <w:r w:rsidRPr="00EA39DB">
        <w:rPr>
          <w:rFonts w:eastAsia="Times New Roman"/>
          <w:color w:val="000000"/>
        </w:rPr>
        <w:t xml:space="preserve"> (Lebanon);</w:t>
      </w:r>
    </w:p>
    <w:p w14:paraId="633D32AF" w14:textId="77777777" w:rsidR="00B65356" w:rsidRPr="00EA39DB" w:rsidRDefault="00B65356" w:rsidP="00B65356">
      <w:pPr>
        <w:jc w:val="both"/>
        <w:rPr>
          <w:rFonts w:eastAsia="Times New Roman"/>
          <w:color w:val="000000"/>
          <w:lang w:val="es-ES"/>
        </w:rPr>
      </w:pPr>
      <w:r w:rsidRPr="00EA39DB">
        <w:rPr>
          <w:lang w:val="es-ES"/>
        </w:rPr>
        <w:t>5.</w:t>
      </w:r>
      <w:r w:rsidRPr="00EA39DB">
        <w:rPr>
          <w:rFonts w:eastAsia="Times New Roman"/>
          <w:color w:val="000000"/>
          <w:lang w:val="es-ES"/>
        </w:rPr>
        <w:t xml:space="preserve"> a </w:t>
      </w:r>
      <w:proofErr w:type="spellStart"/>
      <w:r w:rsidRPr="00EA39DB">
        <w:rPr>
          <w:rFonts w:eastAsia="Times New Roman"/>
          <w:color w:val="000000"/>
          <w:lang w:val="es-ES"/>
        </w:rPr>
        <w:t>contribution</w:t>
      </w:r>
      <w:proofErr w:type="spellEnd"/>
      <w:r w:rsidRPr="00EA39DB">
        <w:rPr>
          <w:rFonts w:eastAsia="Times New Roman"/>
          <w:color w:val="000000"/>
          <w:lang w:val="es-ES"/>
        </w:rPr>
        <w:t xml:space="preserve"> to ‘Fortalecimiento política de transparencia (Colombia);</w:t>
      </w:r>
    </w:p>
    <w:p w14:paraId="3DCE401C" w14:textId="77777777" w:rsidR="00B65356" w:rsidRPr="00EA39DB" w:rsidRDefault="00B65356" w:rsidP="00B65356">
      <w:pPr>
        <w:jc w:val="both"/>
        <w:rPr>
          <w:lang w:val="es-ES"/>
        </w:rPr>
      </w:pPr>
    </w:p>
    <w:p w14:paraId="2C7E5887" w14:textId="77777777" w:rsidR="00B65356" w:rsidRPr="00EA39DB" w:rsidRDefault="00B65356" w:rsidP="00B65356">
      <w:pPr>
        <w:ind w:firstLineChars="600" w:firstLine="1446"/>
        <w:jc w:val="both"/>
        <w:rPr>
          <w:rFonts w:eastAsia="Times New Roman"/>
          <w:b/>
          <w:bCs/>
          <w:color w:val="000000"/>
          <w:szCs w:val="28"/>
        </w:rPr>
      </w:pPr>
      <w:r w:rsidRPr="00EA39DB">
        <w:rPr>
          <w:rFonts w:eastAsia="Times New Roman"/>
          <w:b/>
          <w:bCs/>
          <w:color w:val="000000"/>
          <w:szCs w:val="28"/>
        </w:rPr>
        <w:t>ii) Eight One-time exceptional waivers to a reduced (7 per cent) fee:</w:t>
      </w:r>
    </w:p>
    <w:p w14:paraId="0616EB2B" w14:textId="77777777" w:rsidR="00B65356" w:rsidRPr="00EA39DB" w:rsidRDefault="00B65356" w:rsidP="00B65356">
      <w:pPr>
        <w:jc w:val="both"/>
      </w:pPr>
    </w:p>
    <w:p w14:paraId="384885F9" w14:textId="77777777" w:rsidR="00B65356" w:rsidRPr="00EA39DB" w:rsidRDefault="00B65356" w:rsidP="00B6535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 xml:space="preserve">a contribution to ‘UNDP/SKHF Pilot Project “Shaping the Future of the World” in China; </w:t>
      </w:r>
    </w:p>
    <w:p w14:paraId="51486185" w14:textId="77777777" w:rsidR="00B65356" w:rsidRPr="00EA39DB" w:rsidRDefault="00B65356" w:rsidP="00B6535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 xml:space="preserve">a contribution to ‘Sponsorship </w:t>
      </w:r>
      <w:proofErr w:type="spellStart"/>
      <w:r w:rsidRPr="00EA39DB">
        <w:rPr>
          <w:rFonts w:ascii="Times New Roman" w:eastAsia="Times New Roman" w:hAnsi="Times New Roman" w:cs="Times New Roman"/>
          <w:color w:val="000000"/>
        </w:rPr>
        <w:t>Programme</w:t>
      </w:r>
      <w:proofErr w:type="spellEnd"/>
      <w:r w:rsidRPr="00EA39DB">
        <w:rPr>
          <w:rFonts w:ascii="Times New Roman" w:eastAsia="Times New Roman" w:hAnsi="Times New Roman" w:cs="Times New Roman"/>
          <w:color w:val="000000"/>
        </w:rPr>
        <w:t xml:space="preserve"> – Humanitarian initiative on the Impact of Nuclear Explosions (Crisis Prevention);</w:t>
      </w:r>
    </w:p>
    <w:p w14:paraId="60D210C5" w14:textId="77777777" w:rsidR="00B65356" w:rsidRPr="00EA39DB" w:rsidRDefault="00B65356" w:rsidP="00B6535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 xml:space="preserve">a contribution to ‘Joint UNDP-DPA </w:t>
      </w:r>
      <w:proofErr w:type="spellStart"/>
      <w:r w:rsidRPr="00EA39DB">
        <w:rPr>
          <w:rFonts w:ascii="Times New Roman" w:eastAsia="Times New Roman" w:hAnsi="Times New Roman" w:cs="Times New Roman"/>
          <w:color w:val="000000"/>
        </w:rPr>
        <w:t>Programme</w:t>
      </w:r>
      <w:proofErr w:type="spellEnd"/>
      <w:r w:rsidRPr="00EA39DB">
        <w:rPr>
          <w:rFonts w:ascii="Times New Roman" w:eastAsia="Times New Roman" w:hAnsi="Times New Roman" w:cs="Times New Roman"/>
          <w:color w:val="000000"/>
        </w:rPr>
        <w:t xml:space="preserve"> (Crisis Prevention);</w:t>
      </w:r>
    </w:p>
    <w:p w14:paraId="75DA2D28" w14:textId="77777777" w:rsidR="00B65356" w:rsidRPr="00EA39DB" w:rsidRDefault="00B65356" w:rsidP="00B6535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contribution to ‘New Deal - travel facility (Crisis Prevention);</w:t>
      </w:r>
    </w:p>
    <w:p w14:paraId="4E033E55" w14:textId="77777777" w:rsidR="00B65356" w:rsidRPr="00EA39DB" w:rsidRDefault="00B65356" w:rsidP="00B6535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contribution to ‘UN Global Focal point (Crisis Prevention);</w:t>
      </w:r>
    </w:p>
    <w:p w14:paraId="6D7B24CF" w14:textId="77777777" w:rsidR="00B65356" w:rsidRPr="00EA39DB" w:rsidRDefault="00B65356" w:rsidP="00B6535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contribution to ‘ROL project in Somalia (Crisis Prevention);</w:t>
      </w:r>
    </w:p>
    <w:p w14:paraId="2840028D" w14:textId="77777777" w:rsidR="00B65356" w:rsidRPr="00EA39DB" w:rsidRDefault="00B65356" w:rsidP="00B6535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contribution to ‘Building Capacity for Post Disaster Recovery (Crisis Prevention);</w:t>
      </w:r>
    </w:p>
    <w:p w14:paraId="3AAE9DAF" w14:textId="77777777" w:rsidR="00B65356" w:rsidRPr="00EA39DB" w:rsidRDefault="00B65356" w:rsidP="00B6535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 xml:space="preserve">a contribution to ‘CPR TTF country window for project in Central African Republic (Crisis Prevention); </w:t>
      </w:r>
    </w:p>
    <w:p w14:paraId="57E420D5" w14:textId="77777777" w:rsidR="00B65356" w:rsidRPr="00EA39DB" w:rsidRDefault="00B65356" w:rsidP="00B65356">
      <w:pPr>
        <w:pStyle w:val="ListParagraph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65CC788C" w14:textId="77777777" w:rsidR="00B65356" w:rsidRPr="00EA39DB" w:rsidRDefault="00B65356" w:rsidP="00B65356">
      <w:pPr>
        <w:jc w:val="both"/>
        <w:rPr>
          <w:rFonts w:eastAsia="Times New Roman"/>
          <w:b/>
          <w:bCs/>
          <w:color w:val="000000"/>
          <w:szCs w:val="28"/>
        </w:rPr>
      </w:pPr>
      <w:r w:rsidRPr="00EA39DB">
        <w:rPr>
          <w:rFonts w:eastAsia="Times New Roman"/>
          <w:b/>
          <w:bCs/>
          <w:color w:val="000000"/>
          <w:szCs w:val="28"/>
        </w:rPr>
        <w:t>B.    Eleven exceptional approvals due to previous arrangements:</w:t>
      </w:r>
    </w:p>
    <w:p w14:paraId="703985A6" w14:textId="77777777" w:rsidR="00B65356" w:rsidRPr="00EA39DB" w:rsidRDefault="00B65356" w:rsidP="00B65356">
      <w:pPr>
        <w:jc w:val="both"/>
        <w:rPr>
          <w:rFonts w:eastAsia="Times New Roman"/>
          <w:b/>
          <w:bCs/>
          <w:color w:val="000000"/>
          <w:szCs w:val="28"/>
        </w:rPr>
      </w:pPr>
    </w:p>
    <w:p w14:paraId="69C915A2" w14:textId="77777777" w:rsidR="00B65356" w:rsidRPr="00EA39DB" w:rsidRDefault="00B65356" w:rsidP="00B65356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reduced (3 per cent) fee for a contribution to ‘Republic of Korea UNDP TF- greater Tumen Initiative in China;</w:t>
      </w:r>
    </w:p>
    <w:p w14:paraId="624FCA15" w14:textId="77777777" w:rsidR="00B65356" w:rsidRPr="00EA39DB" w:rsidRDefault="00B65356" w:rsidP="00B65356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reduced (7 per cent) fee for a contribution to ‘Human Rights Adviser and Human Rights Analyst to Support UNCT Office in Honduras and;</w:t>
      </w:r>
    </w:p>
    <w:p w14:paraId="2A08667D" w14:textId="77777777" w:rsidR="00B65356" w:rsidRPr="00EA39DB" w:rsidRDefault="00B65356" w:rsidP="00B65356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reduced (4 per cent) fee for a contribution to ‘Law &amp; Order Trust Fund for Afghanistan (Phase VII)</w:t>
      </w:r>
    </w:p>
    <w:p w14:paraId="1F50A19A" w14:textId="77777777" w:rsidR="00B65356" w:rsidRPr="00EA39DB" w:rsidRDefault="00B65356" w:rsidP="00B65356">
      <w:pPr>
        <w:pStyle w:val="ListParagraph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735462C4" w14:textId="77777777" w:rsidR="00B65356" w:rsidRPr="00EA39DB" w:rsidRDefault="00B65356" w:rsidP="00B65356">
      <w:pPr>
        <w:jc w:val="both"/>
        <w:rPr>
          <w:rFonts w:eastAsia="Times New Roman"/>
          <w:color w:val="000000"/>
        </w:rPr>
      </w:pPr>
      <w:r w:rsidRPr="00EA39DB">
        <w:rPr>
          <w:rFonts w:eastAsia="Times New Roman"/>
          <w:color w:val="000000"/>
        </w:rPr>
        <w:t xml:space="preserve">A reduced (7 per cent) fee for eight contributions from UNOCHA/ERF: </w:t>
      </w:r>
    </w:p>
    <w:p w14:paraId="075DE088" w14:textId="77777777" w:rsidR="00B65356" w:rsidRPr="00EA39DB" w:rsidRDefault="00B65356" w:rsidP="00B65356">
      <w:pPr>
        <w:pStyle w:val="ListParagraph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377B8777" w14:textId="77777777" w:rsidR="00B65356" w:rsidRPr="00EA39DB" w:rsidRDefault="00B65356" w:rsidP="00B65356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 xml:space="preserve">a contribution to ‘Renovation and Rehabilitation Works for Health facilities in the Gaza Strip/ERF for the </w:t>
      </w:r>
      <w:proofErr w:type="spellStart"/>
      <w:r w:rsidRPr="00EA39DB">
        <w:rPr>
          <w:rFonts w:ascii="Times New Roman" w:eastAsia="Times New Roman" w:hAnsi="Times New Roman" w:cs="Times New Roman"/>
          <w:color w:val="000000"/>
        </w:rPr>
        <w:t>Programme</w:t>
      </w:r>
      <w:proofErr w:type="spellEnd"/>
      <w:r w:rsidRPr="00EA39DB">
        <w:rPr>
          <w:rFonts w:ascii="Times New Roman" w:eastAsia="Times New Roman" w:hAnsi="Times New Roman" w:cs="Times New Roman"/>
          <w:color w:val="000000"/>
        </w:rPr>
        <w:t xml:space="preserve"> of Assistance to the Palestinian People;</w:t>
      </w:r>
    </w:p>
    <w:p w14:paraId="1908B3B4" w14:textId="77777777" w:rsidR="00B65356" w:rsidRPr="00EA39DB" w:rsidRDefault="00B65356" w:rsidP="00B65356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contribution to ‘Security Support for Humanitarian Operations  UNDP on behalf of UNDSS (Syria);</w:t>
      </w:r>
    </w:p>
    <w:p w14:paraId="7DE2C133" w14:textId="77777777" w:rsidR="00B65356" w:rsidRPr="00EA39DB" w:rsidRDefault="00B65356" w:rsidP="00B65356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contribution to ‘Improvement of Basic Service Infrastructure in the Host Communities /  IDP Settlements Saudi Humanitarian fund for Iraq;</w:t>
      </w:r>
    </w:p>
    <w:p w14:paraId="7F1AC64C" w14:textId="77777777" w:rsidR="00B65356" w:rsidRPr="00EA39DB" w:rsidRDefault="00B65356" w:rsidP="00B65356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lastRenderedPageBreak/>
        <w:t>a contribution to ‘Limit the risk of blood transmitted diseases in Syria;</w:t>
      </w:r>
    </w:p>
    <w:p w14:paraId="41364CB8" w14:textId="77777777" w:rsidR="00B65356" w:rsidRPr="00EA39DB" w:rsidRDefault="00B65356" w:rsidP="00B65356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 xml:space="preserve">a contribution to ‘Emergency Support to the Electricity Sector due to Damages in the Gaza Strip through the Gaza Electricity Distribution Corporation (GEDCO) for the </w:t>
      </w:r>
      <w:proofErr w:type="spellStart"/>
      <w:r w:rsidRPr="00EA39DB">
        <w:rPr>
          <w:rFonts w:ascii="Times New Roman" w:eastAsia="Times New Roman" w:hAnsi="Times New Roman" w:cs="Times New Roman"/>
          <w:color w:val="000000"/>
        </w:rPr>
        <w:t>Programme</w:t>
      </w:r>
      <w:proofErr w:type="spellEnd"/>
      <w:r w:rsidRPr="00EA39DB">
        <w:rPr>
          <w:rFonts w:ascii="Times New Roman" w:eastAsia="Times New Roman" w:hAnsi="Times New Roman" w:cs="Times New Roman"/>
          <w:color w:val="000000"/>
        </w:rPr>
        <w:t xml:space="preserve"> of Assistance to the Palestinian People;</w:t>
      </w:r>
    </w:p>
    <w:p w14:paraId="5B29F31A" w14:textId="77777777" w:rsidR="00B65356" w:rsidRPr="00EA39DB" w:rsidRDefault="00B65356" w:rsidP="00B65356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 xml:space="preserve">a contribution to ‘Emergency Assistance to Victims of Conflict in Northern and Central Yemen; </w:t>
      </w:r>
    </w:p>
    <w:p w14:paraId="7360187D" w14:textId="77777777" w:rsidR="00B65356" w:rsidRPr="00EA39DB" w:rsidRDefault="00B65356" w:rsidP="00B65356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 xml:space="preserve">a contribution to ‘Emergency Cash Assistant for affected Non-refugee families in Gaza Strip – Gaza Crisis 2014 for the </w:t>
      </w:r>
      <w:proofErr w:type="spellStart"/>
      <w:r w:rsidRPr="00EA39DB">
        <w:rPr>
          <w:rFonts w:ascii="Times New Roman" w:eastAsia="Times New Roman" w:hAnsi="Times New Roman" w:cs="Times New Roman"/>
          <w:color w:val="000000"/>
        </w:rPr>
        <w:t>Programme</w:t>
      </w:r>
      <w:proofErr w:type="spellEnd"/>
      <w:r w:rsidRPr="00EA39DB">
        <w:rPr>
          <w:rFonts w:ascii="Times New Roman" w:eastAsia="Times New Roman" w:hAnsi="Times New Roman" w:cs="Times New Roman"/>
          <w:color w:val="000000"/>
        </w:rPr>
        <w:t xml:space="preserve"> of Assistance to the Palestinian People;</w:t>
      </w:r>
    </w:p>
    <w:p w14:paraId="489870C4" w14:textId="77777777" w:rsidR="00B65356" w:rsidRPr="00EA39DB" w:rsidRDefault="00B65356" w:rsidP="00B65356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lang w:val="fr-FR"/>
        </w:rPr>
      </w:pPr>
      <w:proofErr w:type="spellStart"/>
      <w:r w:rsidRPr="00EA39DB">
        <w:rPr>
          <w:rFonts w:ascii="Times New Roman" w:eastAsia="Times New Roman" w:hAnsi="Times New Roman" w:cs="Times New Roman"/>
          <w:color w:val="000000"/>
          <w:lang w:val="fr-FR"/>
        </w:rPr>
        <w:t>a</w:t>
      </w:r>
      <w:proofErr w:type="spellEnd"/>
      <w:r w:rsidRPr="00EA39DB">
        <w:rPr>
          <w:rFonts w:ascii="Times New Roman" w:eastAsia="Times New Roman" w:hAnsi="Times New Roman" w:cs="Times New Roman"/>
          <w:color w:val="000000"/>
          <w:lang w:val="fr-FR"/>
        </w:rPr>
        <w:t xml:space="preserve"> contribution to ‘Plan de sensibilisation et de </w:t>
      </w:r>
      <w:r w:rsidR="00BE6882" w:rsidRPr="00EA39DB">
        <w:rPr>
          <w:rFonts w:ascii="Times New Roman" w:eastAsia="Times New Roman" w:hAnsi="Times New Roman" w:cs="Times New Roman"/>
          <w:color w:val="000000"/>
          <w:lang w:val="fr-FR"/>
        </w:rPr>
        <w:t xml:space="preserve">préparation </w:t>
      </w:r>
      <w:r w:rsidRPr="00EA39DB">
        <w:rPr>
          <w:rFonts w:ascii="Times New Roman" w:eastAsia="Times New Roman" w:hAnsi="Times New Roman" w:cs="Times New Roman"/>
          <w:color w:val="000000"/>
          <w:lang w:val="fr-FR"/>
        </w:rPr>
        <w:t>sur les risques majeurs (</w:t>
      </w:r>
      <w:r w:rsidR="00BE6882" w:rsidRPr="00EA39DB">
        <w:rPr>
          <w:rFonts w:ascii="Times New Roman" w:eastAsia="Times New Roman" w:hAnsi="Times New Roman" w:cs="Times New Roman"/>
          <w:color w:val="000000"/>
          <w:lang w:val="fr-FR"/>
        </w:rPr>
        <w:t>aléas</w:t>
      </w:r>
      <w:r w:rsidRPr="00EA39DB">
        <w:rPr>
          <w:rFonts w:ascii="Times New Roman" w:eastAsia="Times New Roman" w:hAnsi="Times New Roman" w:cs="Times New Roman"/>
          <w:color w:val="000000"/>
          <w:lang w:val="fr-FR"/>
        </w:rPr>
        <w:t xml:space="preserve"> multiples) – </w:t>
      </w:r>
      <w:r w:rsidR="00BE6882" w:rsidRPr="00EA39DB">
        <w:rPr>
          <w:rFonts w:ascii="Times New Roman" w:eastAsia="Times New Roman" w:hAnsi="Times New Roman" w:cs="Times New Roman"/>
          <w:color w:val="000000"/>
          <w:lang w:val="fr-FR"/>
        </w:rPr>
        <w:t>Haïti</w:t>
      </w:r>
      <w:r w:rsidRPr="00EA39DB">
        <w:rPr>
          <w:rFonts w:ascii="Times New Roman" w:eastAsia="Times New Roman" w:hAnsi="Times New Roman" w:cs="Times New Roman"/>
          <w:color w:val="000000"/>
          <w:lang w:val="fr-FR"/>
        </w:rPr>
        <w:t>.</w:t>
      </w:r>
    </w:p>
    <w:p w14:paraId="1B2AE4B3" w14:textId="77777777" w:rsidR="00B65356" w:rsidRPr="00EA39DB" w:rsidRDefault="00B65356" w:rsidP="00B65356">
      <w:pPr>
        <w:pStyle w:val="ListParagraph"/>
        <w:ind w:left="360"/>
        <w:jc w:val="both"/>
        <w:rPr>
          <w:rFonts w:ascii="Times New Roman" w:eastAsia="Times New Roman" w:hAnsi="Times New Roman" w:cs="Times New Roman"/>
          <w:color w:val="000000"/>
          <w:lang w:val="fr-FR"/>
        </w:rPr>
      </w:pPr>
    </w:p>
    <w:p w14:paraId="5794642B" w14:textId="77777777" w:rsidR="00B65356" w:rsidRPr="00EA39DB" w:rsidRDefault="00B65356" w:rsidP="00B65356">
      <w:pPr>
        <w:pStyle w:val="ListParagraph"/>
        <w:ind w:left="360"/>
        <w:jc w:val="both"/>
        <w:rPr>
          <w:rFonts w:ascii="Times New Roman" w:eastAsia="Times New Roman" w:hAnsi="Times New Roman" w:cs="Times New Roman"/>
          <w:color w:val="000000"/>
          <w:lang w:val="fr-FR"/>
        </w:rPr>
      </w:pPr>
    </w:p>
    <w:p w14:paraId="72D3A7D9" w14:textId="370C8BB6" w:rsidR="00B65356" w:rsidRPr="00EA39DB" w:rsidRDefault="00B65356" w:rsidP="00B65356">
      <w:pPr>
        <w:jc w:val="both"/>
        <w:rPr>
          <w:rFonts w:eastAsia="Times New Roman"/>
          <w:color w:val="000000"/>
        </w:rPr>
      </w:pPr>
      <w:r w:rsidRPr="00EA39DB">
        <w:rPr>
          <w:rFonts w:eastAsia="Times New Roman"/>
          <w:color w:val="000000"/>
        </w:rPr>
        <w:t xml:space="preserve">During 2015, the </w:t>
      </w:r>
      <w:r w:rsidR="008D1574" w:rsidRPr="00EA39DB">
        <w:rPr>
          <w:rFonts w:eastAsia="Times New Roman"/>
          <w:color w:val="000000"/>
        </w:rPr>
        <w:t xml:space="preserve">following </w:t>
      </w:r>
      <w:r w:rsidR="004A4942" w:rsidRPr="00EA39DB">
        <w:rPr>
          <w:rFonts w:eastAsia="Times New Roman"/>
          <w:color w:val="000000"/>
        </w:rPr>
        <w:t>nine</w:t>
      </w:r>
      <w:r w:rsidR="008D1574" w:rsidRPr="00EA39DB">
        <w:rPr>
          <w:rFonts w:eastAsia="Times New Roman"/>
          <w:color w:val="000000"/>
        </w:rPr>
        <w:t xml:space="preserve"> </w:t>
      </w:r>
      <w:r w:rsidRPr="00EA39DB">
        <w:rPr>
          <w:rFonts w:eastAsia="Times New Roman"/>
          <w:color w:val="000000"/>
        </w:rPr>
        <w:t>waivers were granted as follows:</w:t>
      </w:r>
    </w:p>
    <w:p w14:paraId="3CDB350E" w14:textId="77777777" w:rsidR="00B65356" w:rsidRPr="00EA39DB" w:rsidRDefault="00B65356" w:rsidP="00B65356">
      <w:pPr>
        <w:pStyle w:val="ListParagraph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408F326D" w14:textId="77777777" w:rsidR="00B65356" w:rsidRPr="00EA39DB" w:rsidRDefault="00B65356" w:rsidP="00B65356">
      <w:pPr>
        <w:pStyle w:val="ListParagraph"/>
        <w:ind w:left="360"/>
        <w:jc w:val="both"/>
        <w:rPr>
          <w:rFonts w:ascii="Times New Roman" w:eastAsia="Times New Roman" w:hAnsi="Times New Roman" w:cs="Times New Roman"/>
          <w:bCs/>
          <w:color w:val="000000"/>
          <w:szCs w:val="28"/>
        </w:rPr>
      </w:pPr>
    </w:p>
    <w:p w14:paraId="508E5F5B" w14:textId="108E3B47" w:rsidR="00B65356" w:rsidRPr="00EA39DB" w:rsidRDefault="00B65356" w:rsidP="00B65356">
      <w:pPr>
        <w:jc w:val="both"/>
        <w:rPr>
          <w:rFonts w:eastAsia="Times New Roman"/>
          <w:b/>
          <w:bCs/>
          <w:color w:val="000000"/>
          <w:szCs w:val="28"/>
        </w:rPr>
      </w:pPr>
      <w:r w:rsidRPr="00EA39DB">
        <w:rPr>
          <w:rFonts w:eastAsia="Times New Roman"/>
          <w:b/>
          <w:bCs/>
          <w:color w:val="000000"/>
          <w:szCs w:val="28"/>
        </w:rPr>
        <w:t>A.    F</w:t>
      </w:r>
      <w:r w:rsidR="004A4942" w:rsidRPr="00EA39DB">
        <w:rPr>
          <w:rFonts w:eastAsia="Times New Roman"/>
          <w:b/>
          <w:bCs/>
          <w:color w:val="000000"/>
          <w:szCs w:val="28"/>
        </w:rPr>
        <w:t>ive</w:t>
      </w:r>
      <w:r w:rsidRPr="00EA39DB">
        <w:rPr>
          <w:rFonts w:eastAsia="Times New Roman"/>
          <w:b/>
          <w:bCs/>
          <w:color w:val="000000"/>
          <w:szCs w:val="28"/>
        </w:rPr>
        <w:t xml:space="preserve"> One-time </w:t>
      </w:r>
      <w:r w:rsidR="004A4942" w:rsidRPr="00EA39DB">
        <w:rPr>
          <w:rFonts w:eastAsia="Times New Roman"/>
          <w:b/>
          <w:bCs/>
          <w:color w:val="000000"/>
          <w:szCs w:val="28"/>
        </w:rPr>
        <w:t>waivers to a reduced fee:</w:t>
      </w:r>
    </w:p>
    <w:p w14:paraId="1AB13ACF" w14:textId="77777777" w:rsidR="00B65356" w:rsidRPr="00EA39DB" w:rsidRDefault="00B65356" w:rsidP="004A4942">
      <w:pPr>
        <w:jc w:val="both"/>
        <w:rPr>
          <w:rFonts w:eastAsia="Times New Roman"/>
          <w:color w:val="000000"/>
        </w:rPr>
      </w:pPr>
    </w:p>
    <w:p w14:paraId="1C29E4CA" w14:textId="77777777" w:rsidR="00B65356" w:rsidRPr="00EA39DB" w:rsidRDefault="00B65356" w:rsidP="00B65356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reduced (7 per cent) fee for a contribution to "Yemen Flash Appeal";</w:t>
      </w:r>
    </w:p>
    <w:p w14:paraId="0E3AE374" w14:textId="77777777" w:rsidR="00B65356" w:rsidRPr="00EA39DB" w:rsidRDefault="00B65356" w:rsidP="00B65356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reduced (7 per cent) fee for a contribution to “United Nations Millennium Campaign”;</w:t>
      </w:r>
    </w:p>
    <w:p w14:paraId="04348E9B" w14:textId="77777777" w:rsidR="00B65356" w:rsidRPr="00EA39DB" w:rsidRDefault="00B65356" w:rsidP="00B65356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reduced (7 per cent) fee for a contribution to</w:t>
      </w:r>
      <w:r w:rsidRPr="00EA39DB">
        <w:rPr>
          <w:rFonts w:ascii="Times New Roman" w:hAnsi="Times New Roman" w:cs="Times New Roman"/>
        </w:rPr>
        <w:t xml:space="preserve"> </w:t>
      </w:r>
      <w:r w:rsidRPr="00EA39DB">
        <w:rPr>
          <w:rFonts w:ascii="Times New Roman" w:eastAsia="Times New Roman" w:hAnsi="Times New Roman" w:cs="Times New Roman"/>
          <w:color w:val="000000"/>
        </w:rPr>
        <w:t>"Support to the 2015 Electoral Process in Togo";</w:t>
      </w:r>
    </w:p>
    <w:p w14:paraId="6F4F87A4" w14:textId="77777777" w:rsidR="00B65356" w:rsidRPr="00EA39DB" w:rsidRDefault="00B65356" w:rsidP="00B65356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reduced (5 per cent) fee for a contribution to "Creating Employment &amp; Entrepreneurship Opportunities for Women in India"</w:t>
      </w:r>
      <w:r w:rsidR="006B584D" w:rsidRPr="00EA39DB">
        <w:rPr>
          <w:rFonts w:ascii="Times New Roman" w:eastAsia="Times New Roman" w:hAnsi="Times New Roman" w:cs="Times New Roman"/>
          <w:color w:val="000000"/>
        </w:rPr>
        <w:t>;</w:t>
      </w:r>
    </w:p>
    <w:p w14:paraId="59139108" w14:textId="77777777" w:rsidR="006B584D" w:rsidRPr="00EA39DB" w:rsidRDefault="006B584D" w:rsidP="006B584D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EA39DB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EA39DB">
        <w:rPr>
          <w:rFonts w:ascii="Times New Roman" w:eastAsia="Times New Roman" w:hAnsi="Times New Roman" w:cs="Times New Roman"/>
          <w:color w:val="000000"/>
        </w:rPr>
        <w:t xml:space="preserve"> reduced (3 per cent) fee for a contribution to "Emergency Supply &amp; Advanced Plan for Early Recovery-Gaza ".</w:t>
      </w:r>
    </w:p>
    <w:p w14:paraId="5EAFB818" w14:textId="77777777" w:rsidR="00B65356" w:rsidRPr="00EA39DB" w:rsidRDefault="00B65356" w:rsidP="00B65356">
      <w:pPr>
        <w:pStyle w:val="ListParagraph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163668E8" w14:textId="77777777" w:rsidR="00B65356" w:rsidRPr="00EA39DB" w:rsidRDefault="00B65356" w:rsidP="00B65356">
      <w:pPr>
        <w:jc w:val="both"/>
        <w:rPr>
          <w:rFonts w:eastAsia="Times New Roman"/>
          <w:b/>
          <w:bCs/>
          <w:color w:val="000000"/>
          <w:szCs w:val="28"/>
        </w:rPr>
      </w:pPr>
      <w:r w:rsidRPr="00EA39DB">
        <w:rPr>
          <w:rFonts w:eastAsia="Times New Roman"/>
          <w:b/>
          <w:bCs/>
          <w:color w:val="000000"/>
          <w:szCs w:val="28"/>
        </w:rPr>
        <w:t xml:space="preserve">B.    </w:t>
      </w:r>
      <w:r w:rsidR="008C0962" w:rsidRPr="00EA39DB">
        <w:rPr>
          <w:rFonts w:eastAsia="Times New Roman"/>
          <w:b/>
          <w:bCs/>
          <w:color w:val="000000"/>
          <w:szCs w:val="28"/>
        </w:rPr>
        <w:t xml:space="preserve">Four </w:t>
      </w:r>
      <w:r w:rsidRPr="00EA39DB">
        <w:rPr>
          <w:rFonts w:eastAsia="Times New Roman"/>
          <w:b/>
          <w:bCs/>
          <w:color w:val="000000"/>
          <w:szCs w:val="28"/>
        </w:rPr>
        <w:t>exceptional approvals due to previous arrangements:</w:t>
      </w:r>
    </w:p>
    <w:p w14:paraId="40634D3F" w14:textId="77777777" w:rsidR="00B65356" w:rsidRPr="00EA39DB" w:rsidRDefault="00B65356" w:rsidP="00B65356">
      <w:pPr>
        <w:jc w:val="both"/>
        <w:rPr>
          <w:rFonts w:eastAsia="Times New Roman"/>
          <w:b/>
          <w:bCs/>
          <w:color w:val="000000"/>
          <w:szCs w:val="28"/>
        </w:rPr>
      </w:pPr>
    </w:p>
    <w:p w14:paraId="3C972FDF" w14:textId="77777777" w:rsidR="00B65356" w:rsidRPr="00EA39DB" w:rsidRDefault="00B65356" w:rsidP="00B65356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reduced (5 per cent) fee for a contribution to "DFATD-Quartet"</w:t>
      </w:r>
      <w:r w:rsidR="00467227" w:rsidRPr="00EA39DB">
        <w:rPr>
          <w:rFonts w:ascii="Times New Roman" w:eastAsia="Times New Roman" w:hAnsi="Times New Roman" w:cs="Times New Roman"/>
          <w:color w:val="000000"/>
        </w:rPr>
        <w:t>;</w:t>
      </w:r>
    </w:p>
    <w:p w14:paraId="0F144A84" w14:textId="77777777" w:rsidR="00B65356" w:rsidRPr="00EA39DB" w:rsidRDefault="00B65356" w:rsidP="00B65356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>a reduced (5 per cent) fee for a contribution to "Support to PRF Secretariat Services - (SDS-SEA)";</w:t>
      </w:r>
    </w:p>
    <w:p w14:paraId="187B6EE4" w14:textId="77777777" w:rsidR="008C0962" w:rsidRPr="00EA39DB" w:rsidRDefault="008C0962" w:rsidP="008C0962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A39DB">
        <w:rPr>
          <w:rFonts w:ascii="Times New Roman" w:eastAsia="Times New Roman" w:hAnsi="Times New Roman" w:cs="Times New Roman"/>
          <w:color w:val="000000"/>
        </w:rPr>
        <w:t xml:space="preserve">a reduced (4 per cent) fee for a contribution to ‘Law &amp; Order Trust Fund for Afghanistan – MOIA (Ministry of Interior Affairs) Afghanistan Development Outcome – Capacities for reform and accountable and efficient MOIA management and oversight are improved with integrated civilian and uniformed leadership and management and Support to payroll management </w:t>
      </w:r>
      <w:r w:rsidR="00B51950" w:rsidRPr="00EA39DB">
        <w:rPr>
          <w:rFonts w:ascii="Times New Roman" w:eastAsia="Times New Roman" w:hAnsi="Times New Roman" w:cs="Times New Roman"/>
          <w:color w:val="000000"/>
        </w:rPr>
        <w:t>(Approved in December 2014)</w:t>
      </w:r>
      <w:r w:rsidR="00467227" w:rsidRPr="00EA39DB">
        <w:rPr>
          <w:rFonts w:ascii="Times New Roman" w:eastAsia="Times New Roman" w:hAnsi="Times New Roman" w:cs="Times New Roman"/>
          <w:color w:val="000000"/>
        </w:rPr>
        <w:t>;</w:t>
      </w:r>
    </w:p>
    <w:p w14:paraId="5259D880" w14:textId="77777777" w:rsidR="00B65356" w:rsidRPr="00EA39DB" w:rsidRDefault="00B65356" w:rsidP="00B65356">
      <w:pPr>
        <w:jc w:val="both"/>
        <w:rPr>
          <w:rFonts w:eastAsia="Times New Roman"/>
          <w:color w:val="000000"/>
        </w:rPr>
      </w:pPr>
    </w:p>
    <w:p w14:paraId="5BD37EC4" w14:textId="77777777" w:rsidR="00B65356" w:rsidRPr="00EA39DB" w:rsidRDefault="00B65356" w:rsidP="00B65356">
      <w:pPr>
        <w:jc w:val="both"/>
        <w:rPr>
          <w:rFonts w:eastAsia="Times New Roman"/>
          <w:color w:val="000000"/>
        </w:rPr>
      </w:pPr>
      <w:r w:rsidRPr="00EA39DB">
        <w:rPr>
          <w:rFonts w:eastAsia="Times New Roman"/>
          <w:color w:val="000000"/>
        </w:rPr>
        <w:t xml:space="preserve">A reduced (7 per cent) fee for eight contributions from UNOCHA/ERF: </w:t>
      </w:r>
    </w:p>
    <w:p w14:paraId="5BB2FDFE" w14:textId="77777777" w:rsidR="006B584D" w:rsidRPr="00EA39DB" w:rsidRDefault="006B584D" w:rsidP="00B65356">
      <w:pPr>
        <w:jc w:val="both"/>
        <w:rPr>
          <w:rFonts w:eastAsia="Times New Roman"/>
          <w:color w:val="000000"/>
        </w:rPr>
      </w:pPr>
    </w:p>
    <w:p w14:paraId="7CC6DC7A" w14:textId="77777777" w:rsidR="00B65356" w:rsidRPr="00EA39DB" w:rsidRDefault="00B65356" w:rsidP="00B65356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EA39DB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EA39DB">
        <w:rPr>
          <w:rFonts w:ascii="Times New Roman" w:eastAsia="Times New Roman" w:hAnsi="Times New Roman" w:cs="Times New Roman"/>
          <w:color w:val="000000"/>
        </w:rPr>
        <w:t xml:space="preserve"> contribution to "Support to Eliminate the Impact from Mines - IV".</w:t>
      </w:r>
    </w:p>
    <w:p w14:paraId="7405210A" w14:textId="77777777" w:rsidR="000B5C37" w:rsidRPr="00EA39DB" w:rsidRDefault="000B5C37" w:rsidP="000B5C37">
      <w:pPr>
        <w:jc w:val="both"/>
        <w:rPr>
          <w:rFonts w:eastAsia="Times New Roman"/>
          <w:color w:val="000000"/>
        </w:rPr>
      </w:pPr>
    </w:p>
    <w:p w14:paraId="03D16C0E" w14:textId="77777777" w:rsidR="000B5C37" w:rsidRPr="00EA39DB" w:rsidRDefault="00D2615F" w:rsidP="00D2615F">
      <w:pPr>
        <w:jc w:val="both"/>
        <w:rPr>
          <w:rFonts w:eastAsia="Times New Roman"/>
          <w:color w:val="000000"/>
        </w:rPr>
      </w:pPr>
      <w:r w:rsidRPr="00EA39DB">
        <w:rPr>
          <w:rFonts w:eastAsia="Times New Roman"/>
          <w:color w:val="000000"/>
        </w:rPr>
        <w:t xml:space="preserve">In addition, </w:t>
      </w:r>
      <w:r w:rsidR="00CA0879" w:rsidRPr="00EA39DB">
        <w:rPr>
          <w:rFonts w:eastAsia="Times New Roman"/>
          <w:color w:val="000000"/>
        </w:rPr>
        <w:t xml:space="preserve">during 2014-2015, the </w:t>
      </w:r>
      <w:r w:rsidRPr="00EA39DB">
        <w:rPr>
          <w:rFonts w:eastAsia="Times New Roman"/>
          <w:color w:val="000000"/>
        </w:rPr>
        <w:t>contributions received from</w:t>
      </w:r>
      <w:r w:rsidR="003E2C49" w:rsidRPr="00EA39DB">
        <w:rPr>
          <w:rFonts w:eastAsia="Times New Roman"/>
          <w:color w:val="000000"/>
        </w:rPr>
        <w:t xml:space="preserve"> the European Commission, </w:t>
      </w:r>
      <w:r w:rsidRPr="00EA39DB">
        <w:rPr>
          <w:rFonts w:eastAsia="Times New Roman"/>
          <w:color w:val="000000"/>
        </w:rPr>
        <w:t>UNOCHA/CERF,</w:t>
      </w:r>
      <w:r w:rsidR="003E2C49" w:rsidRPr="00EA39DB">
        <w:rPr>
          <w:rFonts w:eastAsia="Times New Roman"/>
          <w:color w:val="000000"/>
        </w:rPr>
        <w:t xml:space="preserve"> the UN Trust Fund for Human Security (UNTFHS),</w:t>
      </w:r>
      <w:r w:rsidR="001C6D68" w:rsidRPr="00EA39DB">
        <w:rPr>
          <w:rFonts w:eastAsia="Times New Roman"/>
          <w:color w:val="000000"/>
        </w:rPr>
        <w:t xml:space="preserve"> </w:t>
      </w:r>
      <w:r w:rsidR="00C618B4" w:rsidRPr="00EA39DB">
        <w:rPr>
          <w:rFonts w:eastAsia="Times New Roman"/>
          <w:color w:val="000000"/>
        </w:rPr>
        <w:t xml:space="preserve">Global Fund to Fight </w:t>
      </w:r>
      <w:r w:rsidR="009A5067" w:rsidRPr="00EA39DB">
        <w:rPr>
          <w:rFonts w:eastAsia="Times New Roman"/>
          <w:color w:val="000000"/>
        </w:rPr>
        <w:t>AIDS, Tuberculosis and Malaria (GFATM)</w:t>
      </w:r>
      <w:r w:rsidR="009C524C" w:rsidRPr="00EA39DB">
        <w:rPr>
          <w:rFonts w:eastAsia="Times New Roman"/>
          <w:color w:val="000000"/>
        </w:rPr>
        <w:t xml:space="preserve">, Montreal Protocol projects with budget above $250,000 </w:t>
      </w:r>
      <w:r w:rsidRPr="00EA39DB">
        <w:rPr>
          <w:rFonts w:eastAsia="Times New Roman"/>
          <w:color w:val="000000"/>
        </w:rPr>
        <w:t>and</w:t>
      </w:r>
      <w:r w:rsidR="00694782" w:rsidRPr="00EA39DB">
        <w:rPr>
          <w:rFonts w:eastAsia="Times New Roman"/>
          <w:color w:val="000000"/>
        </w:rPr>
        <w:t xml:space="preserve"> Multi-</w:t>
      </w:r>
      <w:r w:rsidR="00B349BF" w:rsidRPr="00EA39DB">
        <w:rPr>
          <w:rFonts w:eastAsia="Times New Roman"/>
          <w:color w:val="000000"/>
        </w:rPr>
        <w:t xml:space="preserve">Donor </w:t>
      </w:r>
      <w:r w:rsidR="00694782" w:rsidRPr="00EA39DB">
        <w:rPr>
          <w:rFonts w:eastAsia="Times New Roman"/>
          <w:color w:val="000000"/>
        </w:rPr>
        <w:t>Trust Fund</w:t>
      </w:r>
      <w:r w:rsidR="00B349BF" w:rsidRPr="00EA39DB">
        <w:rPr>
          <w:rFonts w:eastAsia="Times New Roman"/>
          <w:color w:val="000000"/>
        </w:rPr>
        <w:t xml:space="preserve"> (MD</w:t>
      </w:r>
      <w:r w:rsidR="00694782" w:rsidRPr="00EA39DB">
        <w:rPr>
          <w:rFonts w:eastAsia="Times New Roman"/>
          <w:color w:val="000000"/>
        </w:rPr>
        <w:t>TF) projects adminis</w:t>
      </w:r>
      <w:r w:rsidR="00B349BF" w:rsidRPr="00EA39DB">
        <w:rPr>
          <w:rFonts w:eastAsia="Times New Roman"/>
          <w:color w:val="000000"/>
        </w:rPr>
        <w:t xml:space="preserve">tered by Multi-Partner Trust Office (MPTF) </w:t>
      </w:r>
      <w:r w:rsidR="00CA0879" w:rsidRPr="00EA39DB">
        <w:rPr>
          <w:rFonts w:eastAsia="Times New Roman"/>
          <w:color w:val="000000"/>
        </w:rPr>
        <w:t xml:space="preserve">are </w:t>
      </w:r>
      <w:r w:rsidRPr="00EA39DB">
        <w:rPr>
          <w:rFonts w:eastAsia="Times New Roman"/>
          <w:color w:val="000000"/>
        </w:rPr>
        <w:t>all received at the rate of 7% given past framework agreements</w:t>
      </w:r>
      <w:r w:rsidR="00B349BF" w:rsidRPr="00EA39DB">
        <w:rPr>
          <w:rFonts w:eastAsia="Times New Roman"/>
          <w:color w:val="000000"/>
        </w:rPr>
        <w:t>.</w:t>
      </w:r>
    </w:p>
    <w:sectPr w:rsidR="000B5C37" w:rsidRPr="00EA39DB" w:rsidSect="00DA6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12B6"/>
    <w:multiLevelType w:val="hybridMultilevel"/>
    <w:tmpl w:val="DE7602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700AD"/>
    <w:multiLevelType w:val="hybridMultilevel"/>
    <w:tmpl w:val="4F62F896"/>
    <w:lvl w:ilvl="0" w:tplc="EB18A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85B02"/>
    <w:multiLevelType w:val="hybridMultilevel"/>
    <w:tmpl w:val="CC6CCA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0405A"/>
    <w:multiLevelType w:val="hybridMultilevel"/>
    <w:tmpl w:val="D790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F19B3"/>
    <w:multiLevelType w:val="hybridMultilevel"/>
    <w:tmpl w:val="551A4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043F5"/>
    <w:multiLevelType w:val="hybridMultilevel"/>
    <w:tmpl w:val="46C0B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6F4B16"/>
    <w:multiLevelType w:val="hybridMultilevel"/>
    <w:tmpl w:val="2ACA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34316"/>
    <w:multiLevelType w:val="hybridMultilevel"/>
    <w:tmpl w:val="A312981C"/>
    <w:lvl w:ilvl="0" w:tplc="A770E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73C7B"/>
    <w:multiLevelType w:val="hybridMultilevel"/>
    <w:tmpl w:val="A82E9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842E48"/>
    <w:multiLevelType w:val="hybridMultilevel"/>
    <w:tmpl w:val="84C26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56"/>
    <w:rsid w:val="000B5C37"/>
    <w:rsid w:val="001C6D68"/>
    <w:rsid w:val="002B4E3F"/>
    <w:rsid w:val="002D26E7"/>
    <w:rsid w:val="003231DC"/>
    <w:rsid w:val="0034619A"/>
    <w:rsid w:val="003E2C49"/>
    <w:rsid w:val="003E6F98"/>
    <w:rsid w:val="00467227"/>
    <w:rsid w:val="00471F92"/>
    <w:rsid w:val="004A4942"/>
    <w:rsid w:val="004E69EE"/>
    <w:rsid w:val="00694782"/>
    <w:rsid w:val="006B584D"/>
    <w:rsid w:val="007E78A8"/>
    <w:rsid w:val="008C0962"/>
    <w:rsid w:val="008D1574"/>
    <w:rsid w:val="00941BAF"/>
    <w:rsid w:val="00985B62"/>
    <w:rsid w:val="009A5067"/>
    <w:rsid w:val="009C524C"/>
    <w:rsid w:val="00B349BF"/>
    <w:rsid w:val="00B51950"/>
    <w:rsid w:val="00B65356"/>
    <w:rsid w:val="00BE6882"/>
    <w:rsid w:val="00C618B4"/>
    <w:rsid w:val="00CA0879"/>
    <w:rsid w:val="00D07B5B"/>
    <w:rsid w:val="00D2615F"/>
    <w:rsid w:val="00D412BE"/>
    <w:rsid w:val="00DA6AED"/>
    <w:rsid w:val="00E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C7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3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356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51950"/>
    <w:pPr>
      <w:tabs>
        <w:tab w:val="center" w:pos="4320"/>
        <w:tab w:val="right" w:pos="8640"/>
      </w:tabs>
    </w:pPr>
    <w:rPr>
      <w:rFonts w:ascii="Courier" w:eastAsia="Times New Roman" w:hAnsi="Courier"/>
      <w:szCs w:val="20"/>
    </w:rPr>
  </w:style>
  <w:style w:type="character" w:customStyle="1" w:styleId="HeaderChar">
    <w:name w:val="Header Char"/>
    <w:basedOn w:val="DefaultParagraphFont"/>
    <w:link w:val="Header"/>
    <w:rsid w:val="00B51950"/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Yefimova</dc:creator>
  <cp:keywords/>
  <dc:description/>
  <cp:lastModifiedBy>Svetlana Iazykova</cp:lastModifiedBy>
  <cp:revision>2</cp:revision>
  <cp:lastPrinted>2016-04-04T17:11:00Z</cp:lastPrinted>
  <dcterms:created xsi:type="dcterms:W3CDTF">2016-04-26T14:49:00Z</dcterms:created>
  <dcterms:modified xsi:type="dcterms:W3CDTF">2016-04-26T14:49:00Z</dcterms:modified>
</cp:coreProperties>
</file>