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C247B5" w:rsidRDefault="00F32AB1">
      <w:pPr>
        <w:pStyle w:val="Heading3"/>
        <w:jc w:val="left"/>
        <w:rPr>
          <w:rFonts w:ascii="Calibri" w:hAnsi="Calibri"/>
          <w:lang w:val="es-HN"/>
        </w:rPr>
      </w:pPr>
      <w:r>
        <w:rPr>
          <w:rFonts w:ascii="Calibri" w:hAnsi="Calibri"/>
          <w:lang w:val="es-HN"/>
        </w:rPr>
        <w:t>Country:</w:t>
      </w:r>
      <w:r>
        <w:rPr>
          <w:rFonts w:ascii="Calibri" w:hAnsi="Calibri"/>
          <w:lang w:val="es-HN"/>
        </w:rPr>
        <w:tab/>
      </w:r>
      <w:r>
        <w:rPr>
          <w:rFonts w:ascii="Calibri" w:hAnsi="Calibri"/>
          <w:lang w:val="es-HN"/>
        </w:rPr>
        <w:tab/>
      </w:r>
      <w:r w:rsidR="007022B5">
        <w:rPr>
          <w:rFonts w:ascii="Calibri" w:hAnsi="Calibri"/>
          <w:lang w:val="es-HN"/>
        </w:rPr>
        <w:t>PANAMA</w:t>
      </w:r>
    </w:p>
    <w:p w:rsidR="005C6168" w:rsidRPr="00C247B5" w:rsidRDefault="005C6168">
      <w:pPr>
        <w:pStyle w:val="Heading3"/>
        <w:rPr>
          <w:rFonts w:ascii="Calibri" w:hAnsi="Calibri"/>
          <w:lang w:val="es-HN"/>
        </w:rPr>
      </w:pPr>
    </w:p>
    <w:p w:rsidR="005C6168" w:rsidRPr="00C247B5" w:rsidRDefault="00C247B5">
      <w:pPr>
        <w:pStyle w:val="Heading3"/>
        <w:rPr>
          <w:rFonts w:ascii="Calibri" w:hAnsi="Calibri"/>
          <w:b/>
          <w:bCs w:val="0"/>
          <w:lang w:val="es-HN"/>
        </w:rPr>
      </w:pPr>
      <w:r w:rsidRPr="00C247B5">
        <w:rPr>
          <w:rFonts w:ascii="Calibri" w:hAnsi="Calibri"/>
          <w:b/>
          <w:bCs w:val="0"/>
          <w:lang w:val="es-HN"/>
        </w:rPr>
        <w:t xml:space="preserve">RESUMEN DEL </w:t>
      </w:r>
      <w:r w:rsidR="00097364">
        <w:rPr>
          <w:rFonts w:ascii="Calibri" w:hAnsi="Calibri"/>
          <w:b/>
          <w:bCs w:val="0"/>
          <w:lang w:val="es-HN"/>
        </w:rPr>
        <w:t>RENDIMIENTO</w:t>
      </w:r>
      <w:r w:rsidRPr="00C247B5">
        <w:rPr>
          <w:rFonts w:ascii="Calibri" w:hAnsi="Calibri"/>
          <w:b/>
          <w:bCs w:val="0"/>
          <w:lang w:val="es-HN"/>
        </w:rPr>
        <w:t xml:space="preserve"> DEL PROGRAMA DE PA</w:t>
      </w:r>
      <w:r>
        <w:rPr>
          <w:rFonts w:ascii="Calibri" w:hAnsi="Calibri"/>
          <w:b/>
          <w:bCs w:val="0"/>
          <w:lang w:val="es-HN"/>
        </w:rPr>
        <w:t>IS</w:t>
      </w:r>
    </w:p>
    <w:p w:rsidR="005C6168" w:rsidRPr="00C247B5" w:rsidRDefault="005C6168">
      <w:pPr>
        <w:pStyle w:val="Heading3"/>
        <w:rPr>
          <w:rFonts w:ascii="Calibri" w:hAnsi="Calibri"/>
          <w:b/>
          <w:lang w:val="es-HN"/>
        </w:rPr>
      </w:pPr>
    </w:p>
    <w:p w:rsidR="005C6168" w:rsidRPr="00C247B5" w:rsidRDefault="00C247B5" w:rsidP="00460447">
      <w:pPr>
        <w:pStyle w:val="Heading3"/>
        <w:jc w:val="left"/>
        <w:rPr>
          <w:rFonts w:ascii="Calibri" w:hAnsi="Calibri"/>
          <w:lang w:val="es-HN"/>
        </w:rPr>
      </w:pPr>
      <w:r>
        <w:rPr>
          <w:rFonts w:ascii="Calibri" w:hAnsi="Calibri"/>
          <w:lang w:val="es-HN"/>
        </w:rPr>
        <w:t>Período del Reporte</w:t>
      </w:r>
      <w:r w:rsidR="00460447" w:rsidRPr="00C247B5">
        <w:rPr>
          <w:rFonts w:ascii="Calibri" w:hAnsi="Calibri"/>
          <w:lang w:val="es-HN"/>
        </w:rPr>
        <w:t xml:space="preserve">: </w:t>
      </w:r>
      <w:r w:rsidR="00460447" w:rsidRPr="00C247B5">
        <w:rPr>
          <w:rFonts w:ascii="Calibri" w:hAnsi="Calibri"/>
          <w:lang w:val="es-HN"/>
        </w:rPr>
        <w:tab/>
        <w:t>20</w:t>
      </w:r>
      <w:r w:rsidR="00F32AB1">
        <w:rPr>
          <w:rFonts w:ascii="Calibri" w:hAnsi="Calibri"/>
          <w:lang w:val="es-HN"/>
        </w:rPr>
        <w:t>12-2015</w:t>
      </w:r>
    </w:p>
    <w:p w:rsidR="005C6168" w:rsidRPr="00C247B5" w:rsidRDefault="005C6168">
      <w:pPr>
        <w:rPr>
          <w:rFonts w:ascii="Calibri" w:hAnsi="Calibri"/>
          <w:lang w:val="es-HN"/>
        </w:rPr>
      </w:pPr>
    </w:p>
    <w:p w:rsidR="00F9616B" w:rsidRPr="00F9616B" w:rsidRDefault="00F9616B" w:rsidP="00F9616B">
      <w:pPr>
        <w:pStyle w:val="BodyText"/>
        <w:rPr>
          <w:rFonts w:ascii="Calibri" w:hAnsi="Calibri"/>
          <w:lang w:val="es-HN"/>
        </w:rPr>
      </w:pPr>
    </w:p>
    <w:p w:rsidR="00F32AB1" w:rsidRPr="008D7F85" w:rsidRDefault="008D7F85" w:rsidP="008D7F85">
      <w:pPr>
        <w:jc w:val="both"/>
        <w:rPr>
          <w:rFonts w:asciiTheme="minorHAnsi" w:hAnsiTheme="minorHAnsi"/>
          <w:sz w:val="22"/>
          <w:szCs w:val="22"/>
        </w:rPr>
      </w:pPr>
      <w:r w:rsidRPr="008D7F85">
        <w:rPr>
          <w:rFonts w:asciiTheme="minorHAnsi" w:hAnsiTheme="minorHAnsi"/>
          <w:sz w:val="22"/>
          <w:szCs w:val="22"/>
        </w:rPr>
        <w:t>Panam</w:t>
      </w:r>
      <w:r>
        <w:rPr>
          <w:rFonts w:asciiTheme="minorHAnsi" w:hAnsiTheme="minorHAnsi"/>
          <w:sz w:val="22"/>
          <w:szCs w:val="22"/>
        </w:rPr>
        <w:t>á</w:t>
      </w:r>
      <w:r w:rsidR="00F32AB1" w:rsidRPr="008D7F85">
        <w:rPr>
          <w:rFonts w:asciiTheme="minorHAnsi" w:hAnsiTheme="minorHAnsi"/>
          <w:sz w:val="22"/>
          <w:szCs w:val="22"/>
        </w:rPr>
        <w:t xml:space="preserve"> has positioned itself as a country of high human development riding on the wave of one of the highest rates of economic growth in the world during the last decade (8.4% average annual GDP growth </w:t>
      </w:r>
      <w:proofErr w:type="gramStart"/>
      <w:r w:rsidR="00F32AB1" w:rsidRPr="008D7F85">
        <w:rPr>
          <w:rFonts w:asciiTheme="minorHAnsi" w:hAnsiTheme="minorHAnsi"/>
          <w:sz w:val="22"/>
          <w:szCs w:val="22"/>
        </w:rPr>
        <w:t>between</w:t>
      </w:r>
      <w:r w:rsidR="00580396">
        <w:rPr>
          <w:rFonts w:asciiTheme="minorHAnsi" w:hAnsiTheme="minorHAnsi"/>
          <w:sz w:val="22"/>
          <w:szCs w:val="22"/>
        </w:rPr>
        <w:t xml:space="preserve"> </w:t>
      </w:r>
      <w:r w:rsidR="00F32AB1" w:rsidRPr="008D7F85">
        <w:rPr>
          <w:rFonts w:asciiTheme="minorHAnsi" w:hAnsiTheme="minorHAnsi"/>
          <w:sz w:val="22"/>
          <w:szCs w:val="22"/>
        </w:rPr>
        <w:t>2004-2013</w:t>
      </w:r>
      <w:proofErr w:type="gramEnd"/>
      <w:r w:rsidR="00F32AB1" w:rsidRPr="008D7F85">
        <w:rPr>
          <w:rFonts w:asciiTheme="minorHAnsi" w:hAnsiTheme="minorHAnsi"/>
          <w:sz w:val="22"/>
          <w:szCs w:val="22"/>
        </w:rPr>
        <w:t>)</w:t>
      </w:r>
      <w:r w:rsidR="00F32AB1" w:rsidRPr="008D7F85">
        <w:rPr>
          <w:rStyle w:val="FootnoteReference"/>
          <w:rFonts w:asciiTheme="minorHAnsi" w:eastAsia="Calibri" w:hAnsiTheme="minorHAnsi"/>
          <w:sz w:val="22"/>
          <w:szCs w:val="22"/>
        </w:rPr>
        <w:footnoteReference w:id="1"/>
      </w:r>
      <w:r w:rsidR="00F32AB1" w:rsidRPr="008D7F85">
        <w:rPr>
          <w:rFonts w:asciiTheme="minorHAnsi" w:hAnsiTheme="minorHAnsi"/>
          <w:sz w:val="22"/>
          <w:szCs w:val="22"/>
        </w:rPr>
        <w:t>. Its HDI of 0.765 places it 65th among 187 countries. Its economic activity continues to be strong (+ 7.0% GDP, 2014) with a model centered in services, infrastructure provision and construction. Economic growth led to significant reductions in the poverty level (25.8% in 2013, from 33.4% in 2009) and in extreme poverty (10.6% in 2013 vs. 15.3% in 2009)</w:t>
      </w:r>
      <w:r w:rsidR="00F32AB1" w:rsidRPr="008D7F85">
        <w:rPr>
          <w:rStyle w:val="FootnoteReference"/>
          <w:rFonts w:asciiTheme="minorHAnsi" w:eastAsia="Calibri" w:hAnsiTheme="minorHAnsi"/>
          <w:sz w:val="22"/>
          <w:szCs w:val="22"/>
        </w:rPr>
        <w:footnoteReference w:id="2"/>
      </w:r>
      <w:r w:rsidR="00F32AB1" w:rsidRPr="008D7F85">
        <w:rPr>
          <w:rFonts w:asciiTheme="minorHAnsi" w:hAnsiTheme="minorHAnsi"/>
          <w:sz w:val="22"/>
          <w:szCs w:val="22"/>
        </w:rPr>
        <w:t xml:space="preserve">. </w:t>
      </w:r>
      <w:r>
        <w:rPr>
          <w:rFonts w:asciiTheme="minorHAnsi" w:hAnsiTheme="minorHAnsi"/>
          <w:sz w:val="22"/>
          <w:szCs w:val="22"/>
        </w:rPr>
        <w:t>However, t</w:t>
      </w:r>
      <w:r w:rsidR="00F32AB1" w:rsidRPr="008D7F85">
        <w:rPr>
          <w:rFonts w:asciiTheme="minorHAnsi" w:hAnsiTheme="minorHAnsi"/>
          <w:sz w:val="22"/>
          <w:szCs w:val="22"/>
        </w:rPr>
        <w:t>argeted interventions are still needed to address this central development challenge, tackling socio-economic exclusion of vulnerable groups manifested through shortfalls in productive employment and dignified livelihoods</w:t>
      </w:r>
    </w:p>
    <w:p w:rsidR="00F32AB1" w:rsidRPr="008D7F85" w:rsidRDefault="00F32AB1" w:rsidP="008D7F85">
      <w:pPr>
        <w:jc w:val="both"/>
        <w:rPr>
          <w:rFonts w:asciiTheme="minorHAnsi" w:hAnsiTheme="minorHAnsi"/>
          <w:sz w:val="22"/>
          <w:szCs w:val="22"/>
        </w:rPr>
      </w:pPr>
    </w:p>
    <w:p w:rsidR="00F32AB1" w:rsidRDefault="00F32AB1" w:rsidP="008D7F85">
      <w:pPr>
        <w:jc w:val="both"/>
        <w:rPr>
          <w:rFonts w:asciiTheme="minorHAnsi" w:hAnsiTheme="minorHAnsi"/>
          <w:sz w:val="22"/>
          <w:szCs w:val="22"/>
        </w:rPr>
      </w:pPr>
      <w:r w:rsidRPr="008D7F85">
        <w:rPr>
          <w:rFonts w:asciiTheme="minorHAnsi" w:hAnsiTheme="minorHAnsi"/>
          <w:sz w:val="22"/>
          <w:szCs w:val="22"/>
        </w:rPr>
        <w:t xml:space="preserve">During the 2012-2015 Programme Cycle, </w:t>
      </w:r>
      <w:r w:rsidR="009D185F" w:rsidRPr="008D7F85">
        <w:rPr>
          <w:rFonts w:asciiTheme="minorHAnsi" w:hAnsiTheme="minorHAnsi"/>
          <w:sz w:val="22"/>
          <w:szCs w:val="22"/>
        </w:rPr>
        <w:t xml:space="preserve">the CO has supported the areas of a) Support to MDG achievement, b) Strengthening of Democracy, c) Citizen Security and d) Environment and Climate Change. During this period </w:t>
      </w:r>
      <w:r w:rsidRPr="008D7F85">
        <w:rPr>
          <w:rFonts w:asciiTheme="minorHAnsi" w:hAnsiTheme="minorHAnsi"/>
          <w:sz w:val="22"/>
          <w:szCs w:val="22"/>
        </w:rPr>
        <w:t>UNDP support has led to significant development advances.</w:t>
      </w:r>
      <w:r w:rsidRPr="008D7F85">
        <w:rPr>
          <w:rStyle w:val="FootnoteReference"/>
          <w:rFonts w:asciiTheme="minorHAnsi" w:eastAsia="Calibri" w:hAnsiTheme="minorHAnsi"/>
          <w:sz w:val="22"/>
          <w:szCs w:val="22"/>
        </w:rPr>
        <w:footnoteReference w:id="3"/>
      </w:r>
      <w:r w:rsidRPr="008D7F85">
        <w:rPr>
          <w:rFonts w:asciiTheme="minorHAnsi" w:hAnsiTheme="minorHAnsi"/>
          <w:sz w:val="22"/>
          <w:szCs w:val="22"/>
        </w:rPr>
        <w:t xml:space="preserve"> Citizen security policies took on a prevention approach, with measures such as formation of a National Committee </w:t>
      </w:r>
      <w:proofErr w:type="gramStart"/>
      <w:r w:rsidRPr="008D7F85">
        <w:rPr>
          <w:rFonts w:asciiTheme="minorHAnsi" w:hAnsiTheme="minorHAnsi"/>
          <w:sz w:val="22"/>
          <w:szCs w:val="22"/>
        </w:rPr>
        <w:t>Against</w:t>
      </w:r>
      <w:proofErr w:type="gramEnd"/>
      <w:r w:rsidRPr="008D7F85">
        <w:rPr>
          <w:rFonts w:asciiTheme="minorHAnsi" w:hAnsiTheme="minorHAnsi"/>
          <w:sz w:val="22"/>
          <w:szCs w:val="22"/>
        </w:rPr>
        <w:t xml:space="preserve"> Violence to Women and reduction of prevalent repressive measures. Facilitation of State-society dialogues, such as the sensitive process of the National Roundtable for Indigenous Peoples, helped build trust. Technical support for the transitio</w:t>
      </w:r>
      <w:bookmarkStart w:id="0" w:name="_GoBack"/>
      <w:bookmarkEnd w:id="0"/>
      <w:r w:rsidRPr="008D7F85">
        <w:rPr>
          <w:rFonts w:asciiTheme="minorHAnsi" w:hAnsiTheme="minorHAnsi"/>
          <w:sz w:val="22"/>
          <w:szCs w:val="22"/>
        </w:rPr>
        <w:t>n between Administrations after the 2014 elections, led to higher capacities in strategic planning and programme implementation in various ministries.</w:t>
      </w:r>
    </w:p>
    <w:p w:rsidR="008D7F85" w:rsidRPr="008D7F85" w:rsidRDefault="008D7F85" w:rsidP="008D7F85">
      <w:pPr>
        <w:jc w:val="both"/>
        <w:rPr>
          <w:rFonts w:asciiTheme="minorHAnsi" w:hAnsiTheme="minorHAnsi"/>
          <w:sz w:val="22"/>
          <w:szCs w:val="22"/>
        </w:rPr>
      </w:pPr>
    </w:p>
    <w:p w:rsidR="009D185F" w:rsidRDefault="009D185F" w:rsidP="008D7F85">
      <w:pPr>
        <w:jc w:val="both"/>
        <w:rPr>
          <w:rFonts w:asciiTheme="minorHAnsi" w:eastAsiaTheme="minorEastAsia" w:hAnsiTheme="minorHAnsi" w:cstheme="minorBidi"/>
          <w:sz w:val="22"/>
          <w:szCs w:val="22"/>
        </w:rPr>
      </w:pPr>
      <w:r w:rsidRPr="008D7F85">
        <w:rPr>
          <w:rFonts w:asciiTheme="minorHAnsi" w:eastAsiaTheme="minorEastAsia" w:hAnsiTheme="minorHAnsi" w:cstheme="minorBidi"/>
          <w:sz w:val="22"/>
          <w:szCs w:val="22"/>
        </w:rPr>
        <w:t xml:space="preserve">In this period UNDP Panama has successfully led the preparation of the first National Development Plan for indigenous people developed through a wide and comprehensive consultation process in 12 indigenous territories, 96 communities with the participation of 10,000 people. This programme targets 420,000 people historically excluded from public policies and </w:t>
      </w:r>
      <w:proofErr w:type="spellStart"/>
      <w:r w:rsidRPr="008D7F85">
        <w:rPr>
          <w:rFonts w:asciiTheme="minorHAnsi" w:eastAsiaTheme="minorEastAsia" w:hAnsiTheme="minorHAnsi" w:cstheme="minorBidi"/>
          <w:sz w:val="22"/>
          <w:szCs w:val="22"/>
        </w:rPr>
        <w:t>programmme</w:t>
      </w:r>
      <w:proofErr w:type="spellEnd"/>
      <w:r w:rsidRPr="008D7F85">
        <w:rPr>
          <w:rFonts w:asciiTheme="minorHAnsi" w:eastAsiaTheme="minorEastAsia" w:hAnsiTheme="minorHAnsi" w:cstheme="minorBidi"/>
          <w:sz w:val="22"/>
          <w:szCs w:val="22"/>
        </w:rPr>
        <w:t xml:space="preserve">. The observatory of Citizen Security was also important during this period developing key statistics on homicides incorporated in agenda of the new government. In the same line, UNDP Panama conducted a successful awareness campaign to make more visible violence against women, supporting the law that classify type of crime against women. In 2014 UNDP launched with the Government of Panama the fourth National MDG Progress Report considered as a substantive input for the social policy of the new </w:t>
      </w:r>
      <w:r w:rsidR="008D7F85" w:rsidRPr="008D7F85">
        <w:rPr>
          <w:rFonts w:asciiTheme="minorHAnsi" w:eastAsiaTheme="minorEastAsia" w:hAnsiTheme="minorHAnsi" w:cstheme="minorBidi"/>
          <w:sz w:val="22"/>
          <w:szCs w:val="22"/>
        </w:rPr>
        <w:t>government</w:t>
      </w:r>
      <w:r w:rsidRPr="008D7F85">
        <w:rPr>
          <w:rFonts w:asciiTheme="minorHAnsi" w:eastAsiaTheme="minorEastAsia" w:hAnsiTheme="minorHAnsi" w:cstheme="minorBidi"/>
          <w:sz w:val="22"/>
          <w:szCs w:val="22"/>
        </w:rPr>
        <w:t>.</w:t>
      </w:r>
    </w:p>
    <w:p w:rsidR="008D7F85" w:rsidRPr="008D7F85" w:rsidRDefault="008D7F85" w:rsidP="008D7F85">
      <w:pPr>
        <w:jc w:val="both"/>
        <w:rPr>
          <w:rFonts w:asciiTheme="minorHAnsi" w:eastAsiaTheme="minorEastAsia" w:hAnsiTheme="minorHAnsi" w:cstheme="minorBidi"/>
          <w:sz w:val="22"/>
          <w:szCs w:val="22"/>
        </w:rPr>
      </w:pPr>
    </w:p>
    <w:p w:rsidR="009D185F" w:rsidRDefault="009D185F" w:rsidP="008D7F85">
      <w:pPr>
        <w:jc w:val="both"/>
        <w:rPr>
          <w:rFonts w:asciiTheme="minorHAnsi" w:eastAsiaTheme="minorEastAsia" w:hAnsiTheme="minorHAnsi" w:cstheme="minorBidi"/>
          <w:sz w:val="22"/>
          <w:szCs w:val="22"/>
        </w:rPr>
      </w:pPr>
      <w:r w:rsidRPr="008D7F85">
        <w:rPr>
          <w:rFonts w:asciiTheme="minorHAnsi" w:eastAsiaTheme="minorEastAsia" w:hAnsiTheme="minorHAnsi" w:cstheme="minorBidi"/>
          <w:sz w:val="22"/>
          <w:szCs w:val="22"/>
        </w:rPr>
        <w:t xml:space="preserve">In 2015 UNDP was </w:t>
      </w:r>
      <w:r w:rsidR="008D7F85">
        <w:rPr>
          <w:rFonts w:asciiTheme="minorHAnsi" w:eastAsiaTheme="minorEastAsia" w:hAnsiTheme="minorHAnsi" w:cstheme="minorBidi"/>
          <w:sz w:val="22"/>
          <w:szCs w:val="22"/>
        </w:rPr>
        <w:t xml:space="preserve">also </w:t>
      </w:r>
      <w:r w:rsidRPr="008D7F85">
        <w:rPr>
          <w:rFonts w:asciiTheme="minorHAnsi" w:eastAsiaTheme="minorEastAsia" w:hAnsiTheme="minorHAnsi" w:cstheme="minorBidi"/>
          <w:sz w:val="22"/>
          <w:szCs w:val="22"/>
        </w:rPr>
        <w:t xml:space="preserve">very supportive in facilitating dialogue on sensitive issues such as the conflict with indigenous communities due to the impact of a Hydro electrical dam and the dialogue on the Health reform. </w:t>
      </w:r>
    </w:p>
    <w:p w:rsidR="008D7F85" w:rsidRPr="008D7F85" w:rsidRDefault="008D7F85" w:rsidP="008D7F85">
      <w:pPr>
        <w:jc w:val="both"/>
        <w:rPr>
          <w:rFonts w:asciiTheme="minorHAnsi" w:eastAsiaTheme="minorEastAsia" w:hAnsiTheme="minorHAnsi" w:cstheme="minorBidi"/>
          <w:sz w:val="22"/>
          <w:szCs w:val="22"/>
        </w:rPr>
      </w:pPr>
    </w:p>
    <w:p w:rsidR="008D7F85" w:rsidRDefault="008D7F85" w:rsidP="008D7F85">
      <w:pPr>
        <w:jc w:val="both"/>
        <w:rPr>
          <w:rFonts w:asciiTheme="minorHAnsi" w:hAnsiTheme="minorHAnsi"/>
          <w:sz w:val="22"/>
          <w:szCs w:val="22"/>
        </w:rPr>
      </w:pPr>
      <w:r w:rsidRPr="008D7F85">
        <w:rPr>
          <w:rFonts w:asciiTheme="minorHAnsi" w:hAnsiTheme="minorHAnsi"/>
          <w:sz w:val="22"/>
          <w:szCs w:val="22"/>
        </w:rPr>
        <w:t xml:space="preserve">Through the RBLAC’s SIGOB regional programme methodology, UNDP assisted the incoming Administration with the writing of papers that analyzed the electoral plan, ongoing initiatives and opportunities for the incorporation of human development on the agendas of different ministries and key institutions. The impact of this support is reflected today in a government plan that has incorporated the concept of human development and has allowed the identification of an ambitious set of reforms in several key ministries such as the MINGOB (reforms in 11 areas of work ) Foreign </w:t>
      </w:r>
      <w:r w:rsidRPr="008D7F85">
        <w:rPr>
          <w:rFonts w:asciiTheme="minorHAnsi" w:hAnsiTheme="minorHAnsi"/>
          <w:sz w:val="22"/>
          <w:szCs w:val="22"/>
        </w:rPr>
        <w:lastRenderedPageBreak/>
        <w:t xml:space="preserve">Ministry (creation of the deputy minister of international organizations), and the use of dialogue as a tool for building consensus in the social sphere (where UNDP is supporting: </w:t>
      </w:r>
      <w:proofErr w:type="spellStart"/>
      <w:r w:rsidRPr="008D7F85">
        <w:rPr>
          <w:rFonts w:asciiTheme="minorHAnsi" w:hAnsiTheme="minorHAnsi"/>
          <w:sz w:val="22"/>
          <w:szCs w:val="22"/>
        </w:rPr>
        <w:t>i</w:t>
      </w:r>
      <w:proofErr w:type="spellEnd"/>
      <w:r w:rsidRPr="008D7F85">
        <w:rPr>
          <w:rFonts w:asciiTheme="minorHAnsi" w:hAnsiTheme="minorHAnsi"/>
          <w:sz w:val="22"/>
          <w:szCs w:val="22"/>
        </w:rPr>
        <w:t xml:space="preserve">) the Ministry of Health in facilitating a dialogue aimed at reforming the public health system; and ii) the Vice-president and Minister of Foreign Affairs in the peaceful resolution of the on-going dispute with indigenous communities around the </w:t>
      </w:r>
      <w:proofErr w:type="spellStart"/>
      <w:r w:rsidRPr="008D7F85">
        <w:rPr>
          <w:rFonts w:asciiTheme="minorHAnsi" w:hAnsiTheme="minorHAnsi"/>
          <w:sz w:val="22"/>
          <w:szCs w:val="22"/>
        </w:rPr>
        <w:t>Barro</w:t>
      </w:r>
      <w:proofErr w:type="spellEnd"/>
      <w:r w:rsidRPr="008D7F85">
        <w:rPr>
          <w:rFonts w:asciiTheme="minorHAnsi" w:hAnsiTheme="minorHAnsi"/>
          <w:sz w:val="22"/>
          <w:szCs w:val="22"/>
        </w:rPr>
        <w:t xml:space="preserve"> Blanco hydroelectric project). </w:t>
      </w:r>
    </w:p>
    <w:p w:rsidR="008D7F85" w:rsidRPr="008D7F85" w:rsidRDefault="008D7F85" w:rsidP="008D7F85">
      <w:pPr>
        <w:jc w:val="both"/>
        <w:rPr>
          <w:rFonts w:asciiTheme="minorHAnsi" w:hAnsiTheme="minorHAnsi"/>
          <w:sz w:val="22"/>
          <w:szCs w:val="22"/>
        </w:rPr>
      </w:pPr>
    </w:p>
    <w:p w:rsidR="00F32AB1" w:rsidRPr="008D7F85" w:rsidRDefault="00F32AB1" w:rsidP="008D7F85">
      <w:pPr>
        <w:jc w:val="both"/>
        <w:rPr>
          <w:rFonts w:asciiTheme="minorHAnsi" w:hAnsiTheme="minorHAnsi"/>
          <w:sz w:val="22"/>
          <w:szCs w:val="22"/>
        </w:rPr>
      </w:pPr>
      <w:r w:rsidRPr="008D7F85">
        <w:rPr>
          <w:rFonts w:asciiTheme="minorHAnsi" w:hAnsiTheme="minorHAnsi"/>
          <w:sz w:val="22"/>
          <w:szCs w:val="22"/>
        </w:rPr>
        <w:t xml:space="preserve">Lessons learned in the past cycle, incorporated into the design of the proposed programme, indicate the need to increase programmatic focus, unlock potential synergies among interventions, and make better use of monitoring and evaluation as technical and policy advocacy tool for the office. For instance, interventions to benefit youth, ranging from participatory processes towards a youth development agenda to specific on-the-ground actions with local networks and community leaders, did not clearly articulate a policy outcome for this important population segment, and results remained isolated. </w:t>
      </w:r>
      <w:r w:rsidRPr="008D7F85">
        <w:rPr>
          <w:rFonts w:asciiTheme="minorHAnsi" w:hAnsiTheme="minorHAnsi"/>
          <w:caps/>
          <w:sz w:val="22"/>
          <w:szCs w:val="22"/>
        </w:rPr>
        <w:t>A</w:t>
      </w:r>
      <w:r w:rsidRPr="008D7F85">
        <w:rPr>
          <w:rFonts w:asciiTheme="minorHAnsi" w:hAnsiTheme="minorHAnsi"/>
          <w:sz w:val="22"/>
          <w:szCs w:val="22"/>
        </w:rPr>
        <w:t xml:space="preserve"> National Human Development Report (NHDR) on Youth and Early Childhood was not used sufficiently as an advocacy tool.</w:t>
      </w:r>
      <w:r w:rsidRPr="008D7F85" w:rsidDel="006D33F3">
        <w:rPr>
          <w:rFonts w:asciiTheme="minorHAnsi" w:hAnsiTheme="minorHAnsi"/>
          <w:sz w:val="22"/>
          <w:szCs w:val="22"/>
        </w:rPr>
        <w:t xml:space="preserve"> </w:t>
      </w:r>
      <w:r w:rsidR="008D7F85" w:rsidRPr="008D7F85">
        <w:rPr>
          <w:rFonts w:asciiTheme="minorHAnsi" w:eastAsiaTheme="minorEastAsia" w:hAnsiTheme="minorHAnsi" w:cstheme="minorBidi"/>
          <w:sz w:val="22"/>
          <w:szCs w:val="22"/>
        </w:rPr>
        <w:t>The new 2016-2020 CPD for Panama addresses this issue with the multidimensional approach developed during the alignment process and which is reflected the proposed programme of the new programme.</w:t>
      </w:r>
    </w:p>
    <w:p w:rsidR="008D7F85" w:rsidRPr="008D7F85" w:rsidRDefault="008D7F85" w:rsidP="008D7F85">
      <w:pPr>
        <w:jc w:val="both"/>
        <w:rPr>
          <w:rFonts w:asciiTheme="minorHAnsi" w:eastAsiaTheme="minorEastAsia" w:hAnsiTheme="minorHAnsi" w:cstheme="minorBidi"/>
          <w:sz w:val="22"/>
          <w:szCs w:val="22"/>
        </w:rPr>
      </w:pPr>
    </w:p>
    <w:p w:rsidR="0037523B" w:rsidRPr="008D7F85" w:rsidRDefault="0037523B" w:rsidP="008D7F85">
      <w:pPr>
        <w:jc w:val="both"/>
        <w:rPr>
          <w:rFonts w:asciiTheme="minorHAnsi" w:hAnsiTheme="minorHAnsi"/>
          <w:b/>
          <w:sz w:val="22"/>
          <w:szCs w:val="22"/>
        </w:rPr>
      </w:pPr>
    </w:p>
    <w:p w:rsidR="0037523B" w:rsidRPr="008D7F85" w:rsidRDefault="0037523B" w:rsidP="008D7F85">
      <w:pPr>
        <w:jc w:val="both"/>
        <w:rPr>
          <w:rFonts w:asciiTheme="minorHAnsi" w:hAnsiTheme="minorHAnsi"/>
          <w:b/>
          <w:sz w:val="22"/>
          <w:szCs w:val="22"/>
        </w:rPr>
        <w:sectPr w:rsidR="0037523B" w:rsidRPr="008D7F85">
          <w:footerReference w:type="default" r:id="rId8"/>
          <w:endnotePr>
            <w:numFmt w:val="decimal"/>
          </w:endnotePr>
          <w:pgSz w:w="11907" w:h="16840" w:code="9"/>
          <w:pgMar w:top="1440" w:right="1440" w:bottom="1440" w:left="1440" w:header="720" w:footer="720" w:gutter="0"/>
          <w:cols w:space="720"/>
        </w:sectPr>
      </w:pPr>
    </w:p>
    <w:p w:rsidR="00975566" w:rsidRPr="00097364" w:rsidRDefault="006900FE" w:rsidP="008440D9">
      <w:pPr>
        <w:pStyle w:val="Heading3"/>
        <w:jc w:val="left"/>
        <w:rPr>
          <w:rFonts w:ascii="Calibri" w:hAnsi="Calibri"/>
          <w:b/>
          <w:lang w:val="es-HN"/>
        </w:rPr>
      </w:pPr>
      <w:r w:rsidRPr="00097364">
        <w:rPr>
          <w:rFonts w:ascii="Calibri" w:hAnsi="Calibri"/>
          <w:b/>
          <w:lang w:val="es-HN"/>
        </w:rPr>
        <w:lastRenderedPageBreak/>
        <w:t>II</w:t>
      </w:r>
      <w:r w:rsidR="0081403B" w:rsidRPr="00097364">
        <w:rPr>
          <w:rFonts w:ascii="Calibri" w:hAnsi="Calibri"/>
          <w:b/>
          <w:lang w:val="es-HN"/>
        </w:rPr>
        <w:t xml:space="preserve">: </w:t>
      </w:r>
      <w:r w:rsidR="00EC6DFE" w:rsidRPr="00097364">
        <w:rPr>
          <w:rFonts w:ascii="Calibri" w:hAnsi="Calibri"/>
          <w:b/>
          <w:lang w:val="es-HN"/>
        </w:rPr>
        <w:t>Resumen</w:t>
      </w:r>
      <w:r w:rsidR="00097364" w:rsidRPr="00097364">
        <w:rPr>
          <w:rFonts w:ascii="Calibri" w:hAnsi="Calibri"/>
          <w:b/>
          <w:lang w:val="es-HN"/>
        </w:rPr>
        <w:t xml:space="preserve"> del Rendimiento del Programa de Pa</w:t>
      </w:r>
      <w:r w:rsidR="00097364">
        <w:rPr>
          <w:rFonts w:ascii="Calibri" w:hAnsi="Calibri"/>
          <w:b/>
          <w:lang w:val="es-HN"/>
        </w:rPr>
        <w:t xml:space="preserve">ís </w:t>
      </w:r>
    </w:p>
    <w:p w:rsidR="00DC7354" w:rsidRPr="00097364" w:rsidRDefault="00DC7354" w:rsidP="00975566">
      <w:pPr>
        <w:pStyle w:val="BodyText2"/>
        <w:jc w:val="center"/>
        <w:rPr>
          <w:rFonts w:ascii="Times New Roman" w:hAnsi="Times New Roman"/>
          <w:b/>
          <w:sz w:val="24"/>
          <w:lang w:val="es-H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960"/>
        <w:gridCol w:w="5490"/>
      </w:tblGrid>
      <w:tr w:rsidR="00CB647D" w:rsidRPr="005F6421" w:rsidTr="009E7526">
        <w:tc>
          <w:tcPr>
            <w:tcW w:w="3150" w:type="dxa"/>
            <w:tcBorders>
              <w:right w:val="nil"/>
            </w:tcBorders>
            <w:shd w:val="clear" w:color="auto" w:fill="FFC000"/>
          </w:tcPr>
          <w:p w:rsidR="00CB647D" w:rsidRPr="005F6421" w:rsidRDefault="00951D3E" w:rsidP="005F6421">
            <w:pPr>
              <w:pStyle w:val="BodyText2"/>
              <w:rPr>
                <w:rFonts w:ascii="Calibri" w:hAnsi="Calibri"/>
                <w:b/>
                <w:sz w:val="24"/>
                <w:lang w:val="es-HN"/>
              </w:rPr>
            </w:pPr>
            <w:r w:rsidRPr="005F6421">
              <w:rPr>
                <w:rFonts w:ascii="Calibri" w:hAnsi="Calibri"/>
                <w:b/>
                <w:lang w:val="es-HN"/>
              </w:rPr>
              <w:t>Información</w:t>
            </w:r>
            <w:r w:rsidR="005F6421" w:rsidRPr="005F6421">
              <w:rPr>
                <w:rFonts w:ascii="Calibri" w:hAnsi="Calibri"/>
                <w:b/>
                <w:lang w:val="es-HN"/>
              </w:rPr>
              <w:t xml:space="preserve"> de País </w:t>
            </w:r>
          </w:p>
        </w:tc>
        <w:tc>
          <w:tcPr>
            <w:tcW w:w="10890" w:type="dxa"/>
            <w:gridSpan w:val="3"/>
            <w:tcBorders>
              <w:left w:val="nil"/>
            </w:tcBorders>
            <w:shd w:val="clear" w:color="auto" w:fill="FFC000"/>
          </w:tcPr>
          <w:p w:rsidR="00CB647D" w:rsidRPr="005F6421" w:rsidRDefault="00CB647D">
            <w:pPr>
              <w:pStyle w:val="BodyText2"/>
              <w:rPr>
                <w:rFonts w:ascii="Calibri" w:hAnsi="Calibri"/>
                <w:b/>
                <w:sz w:val="24"/>
                <w:lang w:val="es-HN"/>
              </w:rPr>
            </w:pPr>
          </w:p>
        </w:tc>
      </w:tr>
      <w:tr w:rsidR="009B76A1" w:rsidRPr="00DC7354" w:rsidTr="00704406">
        <w:tc>
          <w:tcPr>
            <w:tcW w:w="14040" w:type="dxa"/>
            <w:gridSpan w:val="4"/>
          </w:tcPr>
          <w:p w:rsidR="009B76A1" w:rsidRPr="00DC7354" w:rsidRDefault="005F6421" w:rsidP="00D53789">
            <w:pPr>
              <w:pStyle w:val="BodyText2"/>
              <w:rPr>
                <w:rFonts w:ascii="Calibri" w:hAnsi="Calibri"/>
                <w:b/>
                <w:sz w:val="24"/>
              </w:rPr>
            </w:pPr>
            <w:r>
              <w:rPr>
                <w:rFonts w:ascii="Calibri" w:hAnsi="Calibri"/>
                <w:b/>
              </w:rPr>
              <w:t>País</w:t>
            </w:r>
            <w:r w:rsidR="009B76A1" w:rsidRPr="00230A0E">
              <w:rPr>
                <w:rFonts w:ascii="Calibri" w:hAnsi="Calibri"/>
                <w:b/>
              </w:rPr>
              <w:t>:</w:t>
            </w:r>
            <w:r w:rsidR="000E4B0B">
              <w:rPr>
                <w:rFonts w:ascii="Calibri" w:hAnsi="Calibri"/>
                <w:b/>
              </w:rPr>
              <w:t xml:space="preserve"> </w:t>
            </w:r>
            <w:r w:rsidR="00D53789">
              <w:rPr>
                <w:rFonts w:ascii="Calibri" w:hAnsi="Calibri"/>
                <w:b/>
              </w:rPr>
              <w:t>PANAMA</w:t>
            </w:r>
          </w:p>
        </w:tc>
      </w:tr>
      <w:tr w:rsidR="009B76A1" w:rsidRPr="00843006" w:rsidTr="00704406">
        <w:tc>
          <w:tcPr>
            <w:tcW w:w="14040" w:type="dxa"/>
            <w:gridSpan w:val="4"/>
          </w:tcPr>
          <w:p w:rsidR="009B76A1" w:rsidRPr="00843006" w:rsidRDefault="005F6421" w:rsidP="008D7F85">
            <w:pPr>
              <w:pStyle w:val="BodyText2"/>
              <w:rPr>
                <w:rFonts w:ascii="Calibri" w:hAnsi="Calibri"/>
                <w:b/>
              </w:rPr>
            </w:pPr>
            <w:r w:rsidRPr="00394307">
              <w:rPr>
                <w:rFonts w:ascii="Calibri" w:hAnsi="Calibri"/>
                <w:b/>
                <w:lang w:val="es-HN"/>
              </w:rPr>
              <w:t>Período</w:t>
            </w:r>
            <w:r>
              <w:rPr>
                <w:rFonts w:ascii="Calibri" w:hAnsi="Calibri"/>
                <w:b/>
              </w:rPr>
              <w:t xml:space="preserve"> del </w:t>
            </w:r>
            <w:r w:rsidRPr="00394307">
              <w:rPr>
                <w:rFonts w:ascii="Calibri" w:hAnsi="Calibri"/>
                <w:b/>
                <w:lang w:val="es-HN"/>
              </w:rPr>
              <w:t>Programa</w:t>
            </w:r>
            <w:r w:rsidR="009B76A1" w:rsidRPr="00843006">
              <w:rPr>
                <w:rFonts w:ascii="Calibri" w:hAnsi="Calibri"/>
                <w:b/>
              </w:rPr>
              <w:t>:</w:t>
            </w:r>
            <w:r w:rsidR="008D7F85">
              <w:rPr>
                <w:rFonts w:ascii="Calibri" w:hAnsi="Calibri"/>
                <w:b/>
              </w:rPr>
              <w:t xml:space="preserve"> 2012-</w:t>
            </w:r>
            <w:r w:rsidR="000E4B0B">
              <w:rPr>
                <w:rFonts w:ascii="Calibri" w:hAnsi="Calibri"/>
                <w:b/>
              </w:rPr>
              <w:t>201</w:t>
            </w:r>
            <w:r w:rsidR="008D7F85">
              <w:rPr>
                <w:rFonts w:ascii="Calibri" w:hAnsi="Calibri"/>
                <w:b/>
              </w:rPr>
              <w:t>5</w:t>
            </w:r>
          </w:p>
        </w:tc>
      </w:tr>
      <w:tr w:rsidR="003B037A" w:rsidRPr="00DC7354" w:rsidTr="004A066F">
        <w:tc>
          <w:tcPr>
            <w:tcW w:w="3150" w:type="dxa"/>
            <w:vAlign w:val="center"/>
          </w:tcPr>
          <w:p w:rsidR="003B037A" w:rsidRPr="00DC7354" w:rsidRDefault="005F6421" w:rsidP="004A066F">
            <w:pPr>
              <w:pStyle w:val="BodyText2"/>
              <w:jc w:val="center"/>
              <w:rPr>
                <w:rFonts w:ascii="Calibri" w:hAnsi="Calibri"/>
                <w:b/>
                <w:sz w:val="24"/>
              </w:rPr>
            </w:pPr>
            <w:r w:rsidRPr="00394307">
              <w:rPr>
                <w:rFonts w:ascii="Calibri" w:hAnsi="Calibri"/>
                <w:b/>
                <w:sz w:val="24"/>
                <w:lang w:val="es-HN"/>
              </w:rPr>
              <w:t>Efectos</w:t>
            </w:r>
          </w:p>
        </w:tc>
        <w:tc>
          <w:tcPr>
            <w:tcW w:w="1440" w:type="dxa"/>
            <w:shd w:val="clear" w:color="auto" w:fill="auto"/>
            <w:vAlign w:val="center"/>
          </w:tcPr>
          <w:p w:rsidR="003B037A" w:rsidRDefault="005F6421" w:rsidP="004A066F">
            <w:pPr>
              <w:pStyle w:val="BodyText2"/>
              <w:jc w:val="center"/>
              <w:rPr>
                <w:rFonts w:ascii="Calibri" w:hAnsi="Calibri"/>
                <w:b/>
                <w:sz w:val="22"/>
              </w:rPr>
            </w:pPr>
            <w:r w:rsidRPr="00394307">
              <w:rPr>
                <w:rFonts w:ascii="Calibri" w:hAnsi="Calibri"/>
                <w:b/>
                <w:sz w:val="22"/>
                <w:lang w:val="es-HN"/>
              </w:rPr>
              <w:t>Gasto</w:t>
            </w:r>
          </w:p>
          <w:p w:rsidR="005F6421" w:rsidRPr="005F6261" w:rsidRDefault="005F6421" w:rsidP="004A066F">
            <w:pPr>
              <w:pStyle w:val="BodyText2"/>
              <w:jc w:val="center"/>
              <w:rPr>
                <w:rFonts w:ascii="Calibri" w:hAnsi="Calibri"/>
                <w:b/>
                <w:sz w:val="22"/>
              </w:rPr>
            </w:pPr>
            <w:r>
              <w:rPr>
                <w:rFonts w:ascii="Calibri" w:hAnsi="Calibri"/>
                <w:b/>
                <w:sz w:val="22"/>
              </w:rPr>
              <w:t>Total</w:t>
            </w:r>
          </w:p>
        </w:tc>
        <w:tc>
          <w:tcPr>
            <w:tcW w:w="3960" w:type="dxa"/>
            <w:tcBorders>
              <w:left w:val="single" w:sz="4" w:space="0" w:color="auto"/>
            </w:tcBorders>
            <w:vAlign w:val="center"/>
          </w:tcPr>
          <w:p w:rsidR="003B037A" w:rsidRPr="005F6421" w:rsidRDefault="005F6421" w:rsidP="004A066F">
            <w:pPr>
              <w:pStyle w:val="BodyText2"/>
              <w:jc w:val="center"/>
              <w:rPr>
                <w:rFonts w:ascii="Calibri" w:hAnsi="Calibri"/>
                <w:b/>
                <w:sz w:val="22"/>
                <w:lang w:val="es-HN"/>
              </w:rPr>
            </w:pPr>
            <w:r w:rsidRPr="005F6421">
              <w:rPr>
                <w:rFonts w:ascii="Calibri" w:hAnsi="Calibri"/>
                <w:b/>
                <w:sz w:val="22"/>
                <w:lang w:val="es-HN"/>
              </w:rPr>
              <w:t>Indicadores Clave de Efecto</w:t>
            </w:r>
            <w:r w:rsidR="003B037A" w:rsidRPr="005F6421">
              <w:rPr>
                <w:rFonts w:ascii="Calibri" w:hAnsi="Calibri"/>
                <w:b/>
                <w:sz w:val="22"/>
                <w:lang w:val="es-HN"/>
              </w:rPr>
              <w:t xml:space="preserve"> </w:t>
            </w:r>
            <w:r w:rsidR="004A066F">
              <w:rPr>
                <w:rFonts w:ascii="Calibri" w:hAnsi="Calibri"/>
                <w:b/>
                <w:sz w:val="22"/>
                <w:lang w:val="es-HN"/>
              </w:rPr>
              <w:t xml:space="preserve">                                      </w:t>
            </w:r>
            <w:r w:rsidR="003B037A" w:rsidRPr="005F6421">
              <w:rPr>
                <w:rFonts w:ascii="Calibri" w:hAnsi="Calibri"/>
                <w:b/>
                <w:sz w:val="22"/>
                <w:lang w:val="es-HN"/>
              </w:rPr>
              <w:t xml:space="preserve">(1-4 </w:t>
            </w:r>
            <w:r w:rsidRPr="005F6421">
              <w:rPr>
                <w:rFonts w:ascii="Calibri" w:hAnsi="Calibri"/>
                <w:b/>
                <w:sz w:val="22"/>
                <w:lang w:val="es-HN"/>
              </w:rPr>
              <w:t>por</w:t>
            </w:r>
            <w:r w:rsidR="003B037A" w:rsidRPr="005F6421">
              <w:rPr>
                <w:rFonts w:ascii="Calibri" w:hAnsi="Calibri"/>
                <w:b/>
                <w:sz w:val="22"/>
                <w:lang w:val="es-HN"/>
              </w:rPr>
              <w:t xml:space="preserve"> </w:t>
            </w:r>
            <w:r w:rsidRPr="005F6421">
              <w:rPr>
                <w:rFonts w:ascii="Calibri" w:hAnsi="Calibri"/>
                <w:b/>
                <w:sz w:val="22"/>
                <w:lang w:val="es-HN"/>
              </w:rPr>
              <w:t>ef</w:t>
            </w:r>
            <w:r w:rsidR="003B037A" w:rsidRPr="005F6421">
              <w:rPr>
                <w:rFonts w:ascii="Calibri" w:hAnsi="Calibri"/>
                <w:b/>
                <w:sz w:val="22"/>
                <w:lang w:val="es-HN"/>
              </w:rPr>
              <w:t>e</w:t>
            </w:r>
            <w:r w:rsidRPr="005F6421">
              <w:rPr>
                <w:rFonts w:ascii="Calibri" w:hAnsi="Calibri"/>
                <w:b/>
                <w:sz w:val="22"/>
                <w:lang w:val="es-HN"/>
              </w:rPr>
              <w:t>cto</w:t>
            </w:r>
            <w:r w:rsidR="003B037A" w:rsidRPr="005F6421">
              <w:rPr>
                <w:rFonts w:ascii="Calibri" w:hAnsi="Calibri"/>
                <w:b/>
                <w:sz w:val="22"/>
                <w:lang w:val="es-HN"/>
              </w:rPr>
              <w:t>)</w:t>
            </w:r>
          </w:p>
        </w:tc>
        <w:tc>
          <w:tcPr>
            <w:tcW w:w="5490" w:type="dxa"/>
            <w:vAlign w:val="center"/>
          </w:tcPr>
          <w:p w:rsidR="003B037A" w:rsidRPr="005F6261" w:rsidRDefault="005F6421" w:rsidP="004A066F">
            <w:pPr>
              <w:pStyle w:val="BodyText2"/>
              <w:jc w:val="center"/>
              <w:rPr>
                <w:rFonts w:ascii="Calibri" w:hAnsi="Calibri"/>
                <w:b/>
                <w:sz w:val="22"/>
              </w:rPr>
            </w:pPr>
            <w:r w:rsidRPr="00394307">
              <w:rPr>
                <w:rFonts w:ascii="Calibri" w:hAnsi="Calibri"/>
                <w:b/>
                <w:sz w:val="22"/>
                <w:lang w:val="es-HN"/>
              </w:rPr>
              <w:t>Progreso respecto</w:t>
            </w:r>
            <w:r>
              <w:rPr>
                <w:rFonts w:ascii="Calibri" w:hAnsi="Calibri"/>
                <w:b/>
                <w:sz w:val="22"/>
              </w:rPr>
              <w:t xml:space="preserve"> al </w:t>
            </w:r>
            <w:r w:rsidRPr="00394307">
              <w:rPr>
                <w:rFonts w:ascii="Calibri" w:hAnsi="Calibri"/>
                <w:b/>
                <w:sz w:val="22"/>
                <w:lang w:val="es-HN"/>
              </w:rPr>
              <w:t>indicador</w:t>
            </w:r>
          </w:p>
        </w:tc>
      </w:tr>
      <w:tr w:rsidR="000823AC" w:rsidRPr="00F32AB1" w:rsidTr="000823AC">
        <w:tc>
          <w:tcPr>
            <w:tcW w:w="3150" w:type="dxa"/>
            <w:tcBorders>
              <w:bottom w:val="single" w:sz="4" w:space="0" w:color="auto"/>
            </w:tcBorders>
            <w:shd w:val="clear" w:color="auto" w:fill="95B3D7"/>
          </w:tcPr>
          <w:p w:rsidR="003B037A" w:rsidRPr="00F32AB1" w:rsidRDefault="003B037A" w:rsidP="000C4457">
            <w:pPr>
              <w:pStyle w:val="BodyText2"/>
              <w:rPr>
                <w:rFonts w:ascii="Calibri" w:hAnsi="Calibri"/>
                <w:b/>
              </w:rPr>
            </w:pPr>
          </w:p>
        </w:tc>
        <w:tc>
          <w:tcPr>
            <w:tcW w:w="1440" w:type="dxa"/>
            <w:tcBorders>
              <w:bottom w:val="single" w:sz="4" w:space="0" w:color="auto"/>
            </w:tcBorders>
            <w:shd w:val="clear" w:color="auto" w:fill="auto"/>
          </w:tcPr>
          <w:p w:rsidR="003B037A" w:rsidRPr="00DC7354" w:rsidRDefault="003B037A">
            <w:pPr>
              <w:pStyle w:val="BodyText2"/>
              <w:rPr>
                <w:rFonts w:ascii="Calibri" w:hAnsi="Calibri"/>
              </w:rPr>
            </w:pPr>
          </w:p>
        </w:tc>
        <w:tc>
          <w:tcPr>
            <w:tcW w:w="3960" w:type="dxa"/>
            <w:tcBorders>
              <w:left w:val="single" w:sz="4" w:space="0" w:color="auto"/>
              <w:bottom w:val="single" w:sz="4" w:space="0" w:color="auto"/>
            </w:tcBorders>
          </w:tcPr>
          <w:p w:rsidR="00C45315" w:rsidRPr="005F6421" w:rsidRDefault="00C45315" w:rsidP="00C45315">
            <w:pPr>
              <w:pStyle w:val="BodyText2"/>
              <w:numPr>
                <w:ilvl w:val="0"/>
                <w:numId w:val="39"/>
              </w:numPr>
              <w:rPr>
                <w:rFonts w:ascii="Calibri" w:hAnsi="Calibri"/>
                <w:i/>
                <w:lang w:val="es-HN"/>
              </w:rPr>
            </w:pPr>
          </w:p>
        </w:tc>
        <w:tc>
          <w:tcPr>
            <w:tcW w:w="5490" w:type="dxa"/>
            <w:tcBorders>
              <w:bottom w:val="single" w:sz="4" w:space="0" w:color="auto"/>
            </w:tcBorders>
            <w:shd w:val="clear" w:color="auto" w:fill="auto"/>
          </w:tcPr>
          <w:p w:rsidR="003251D4" w:rsidRPr="006A0B4C" w:rsidRDefault="003251D4" w:rsidP="003251D4">
            <w:pPr>
              <w:pStyle w:val="BodyText2"/>
              <w:ind w:left="360"/>
              <w:rPr>
                <w:rFonts w:ascii="Calibri" w:hAnsi="Calibri"/>
                <w:i/>
                <w:lang w:val="es-HN"/>
              </w:rPr>
            </w:pPr>
          </w:p>
        </w:tc>
      </w:tr>
    </w:tbl>
    <w:p w:rsidR="00D9192E" w:rsidRPr="00866FA4" w:rsidRDefault="00D9192E">
      <w:pPr>
        <w:rPr>
          <w:lang w:val="es-H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4D4326" w:rsidTr="000823AC">
        <w:tc>
          <w:tcPr>
            <w:tcW w:w="3060" w:type="dxa"/>
            <w:shd w:val="clear" w:color="auto" w:fill="95B3D7"/>
          </w:tcPr>
          <w:p w:rsidR="003B037A" w:rsidRPr="00F32AB1" w:rsidRDefault="00C45315" w:rsidP="004A066F">
            <w:pPr>
              <w:pStyle w:val="BodyText2"/>
              <w:rPr>
                <w:rFonts w:ascii="Times New Roman" w:hAnsi="Times New Roman"/>
                <w:b/>
              </w:rPr>
            </w:pPr>
            <w:r w:rsidRPr="00F32AB1">
              <w:rPr>
                <w:rFonts w:ascii="Times New Roman" w:hAnsi="Times New Roman"/>
                <w:b/>
              </w:rPr>
              <w:t>Communication channels promote government accountability and transparency through e-governance, independent journalism, and access to information policies</w:t>
            </w:r>
          </w:p>
        </w:tc>
        <w:tc>
          <w:tcPr>
            <w:tcW w:w="1530" w:type="dxa"/>
            <w:shd w:val="clear" w:color="auto" w:fill="auto"/>
          </w:tcPr>
          <w:p w:rsidR="003B037A" w:rsidRPr="00F01FDE" w:rsidRDefault="00CF54C1">
            <w:pPr>
              <w:pStyle w:val="BodyText2"/>
              <w:rPr>
                <w:rFonts w:ascii="Times New Roman" w:hAnsi="Times New Roman"/>
              </w:rPr>
            </w:pPr>
            <w:r>
              <w:rPr>
                <w:rFonts w:ascii="Times New Roman" w:hAnsi="Times New Roman"/>
              </w:rPr>
              <w:t>$19,174,337</w:t>
            </w:r>
          </w:p>
        </w:tc>
        <w:tc>
          <w:tcPr>
            <w:tcW w:w="3960" w:type="dxa"/>
            <w:tcBorders>
              <w:left w:val="single" w:sz="4" w:space="0" w:color="auto"/>
            </w:tcBorders>
          </w:tcPr>
          <w:p w:rsidR="00D53789" w:rsidRPr="004A066F" w:rsidRDefault="00C45315" w:rsidP="00C45315">
            <w:pPr>
              <w:pStyle w:val="BodyText2"/>
              <w:numPr>
                <w:ilvl w:val="0"/>
                <w:numId w:val="42"/>
              </w:numPr>
              <w:rPr>
                <w:rFonts w:asciiTheme="minorHAnsi" w:hAnsiTheme="minorHAnsi"/>
                <w:i/>
                <w:lang w:val="es-HN"/>
              </w:rPr>
            </w:pPr>
            <w:r w:rsidRPr="004A066F">
              <w:rPr>
                <w:rFonts w:asciiTheme="minorHAnsi" w:hAnsiTheme="minorHAnsi"/>
                <w:i/>
                <w:lang w:val="es-HN"/>
              </w:rPr>
              <w:t xml:space="preserve">% de </w:t>
            </w:r>
            <w:r w:rsidR="004A066F" w:rsidRPr="004A066F">
              <w:rPr>
                <w:rFonts w:asciiTheme="minorHAnsi" w:hAnsiTheme="minorHAnsi"/>
                <w:i/>
                <w:lang w:val="es-HN"/>
              </w:rPr>
              <w:t>Población</w:t>
            </w:r>
            <w:r w:rsidRPr="004A066F">
              <w:rPr>
                <w:rFonts w:asciiTheme="minorHAnsi" w:hAnsiTheme="minorHAnsi"/>
                <w:i/>
                <w:lang w:val="es-HN"/>
              </w:rPr>
              <w:t xml:space="preserve"> Escolar con acceso a tecnología en las escuelas primarias (laboratorios).</w:t>
            </w:r>
          </w:p>
          <w:p w:rsidR="00C45315" w:rsidRPr="004A066F" w:rsidRDefault="00C45315" w:rsidP="00C45315">
            <w:pPr>
              <w:pStyle w:val="BodyText2"/>
              <w:numPr>
                <w:ilvl w:val="0"/>
                <w:numId w:val="42"/>
              </w:numPr>
              <w:rPr>
                <w:rFonts w:asciiTheme="minorHAnsi" w:hAnsiTheme="minorHAnsi"/>
                <w:i/>
                <w:lang w:val="es-HN"/>
              </w:rPr>
            </w:pPr>
            <w:r w:rsidRPr="004A066F">
              <w:rPr>
                <w:rFonts w:asciiTheme="minorHAnsi" w:hAnsiTheme="minorHAnsi"/>
                <w:i/>
                <w:lang w:val="es-HN"/>
              </w:rPr>
              <w:t xml:space="preserve">Número de Nuevas Iniciativas Gubernamentales que impulsan el uso de la </w:t>
            </w:r>
            <w:r w:rsidR="004A066F" w:rsidRPr="004A066F">
              <w:rPr>
                <w:rFonts w:asciiTheme="minorHAnsi" w:hAnsiTheme="minorHAnsi"/>
                <w:i/>
                <w:lang w:val="es-HN"/>
              </w:rPr>
              <w:t>tecnología</w:t>
            </w:r>
            <w:r w:rsidRPr="004A066F">
              <w:rPr>
                <w:rFonts w:asciiTheme="minorHAnsi" w:hAnsiTheme="minorHAnsi"/>
                <w:i/>
                <w:lang w:val="es-HN"/>
              </w:rPr>
              <w:t xml:space="preserve"> para </w:t>
            </w:r>
            <w:r w:rsidR="004A066F" w:rsidRPr="004A066F">
              <w:rPr>
                <w:rFonts w:asciiTheme="minorHAnsi" w:hAnsiTheme="minorHAnsi"/>
                <w:i/>
                <w:lang w:val="es-HN"/>
              </w:rPr>
              <w:t>aumentar</w:t>
            </w:r>
            <w:r w:rsidRPr="004A066F">
              <w:rPr>
                <w:rFonts w:asciiTheme="minorHAnsi" w:hAnsiTheme="minorHAnsi"/>
                <w:i/>
                <w:lang w:val="es-HN"/>
              </w:rPr>
              <w:t xml:space="preserve"> eficiencia y transparencia</w:t>
            </w:r>
          </w:p>
        </w:tc>
        <w:tc>
          <w:tcPr>
            <w:tcW w:w="5490" w:type="dxa"/>
            <w:shd w:val="clear" w:color="auto" w:fill="auto"/>
          </w:tcPr>
          <w:p w:rsidR="003B037A" w:rsidRPr="00FB5637" w:rsidRDefault="00FB5637" w:rsidP="00FB5637">
            <w:pPr>
              <w:pStyle w:val="BodyText2"/>
              <w:numPr>
                <w:ilvl w:val="0"/>
                <w:numId w:val="42"/>
              </w:numPr>
              <w:rPr>
                <w:rFonts w:asciiTheme="minorHAnsi" w:hAnsiTheme="minorHAnsi"/>
                <w:i/>
                <w:lang w:val="es-HN"/>
              </w:rPr>
            </w:pPr>
            <w:r w:rsidRPr="00FB5637">
              <w:rPr>
                <w:rFonts w:asciiTheme="minorHAnsi" w:hAnsiTheme="minorHAnsi"/>
                <w:i/>
                <w:lang w:val="es-HN"/>
              </w:rPr>
              <w:t>63% de la población escolar de primaria cuenta con acceso a computadora e internet al 2014.</w:t>
            </w:r>
          </w:p>
          <w:p w:rsidR="00034CC8" w:rsidRDefault="00034CC8" w:rsidP="00FB5637">
            <w:pPr>
              <w:pStyle w:val="BodyText2"/>
              <w:rPr>
                <w:rFonts w:ascii="Times New Roman" w:hAnsi="Times New Roman"/>
                <w:lang w:val="es-HN"/>
              </w:rPr>
            </w:pPr>
          </w:p>
          <w:p w:rsidR="00034CC8" w:rsidRPr="00D1027A" w:rsidRDefault="00034CC8" w:rsidP="00034CC8">
            <w:pPr>
              <w:pStyle w:val="BodyText2"/>
              <w:numPr>
                <w:ilvl w:val="0"/>
                <w:numId w:val="42"/>
              </w:numPr>
              <w:rPr>
                <w:rFonts w:ascii="Times New Roman" w:hAnsi="Times New Roman"/>
                <w:lang w:val="es-HN"/>
              </w:rPr>
            </w:pPr>
            <w:r>
              <w:rPr>
                <w:rFonts w:asciiTheme="minorHAnsi" w:hAnsiTheme="minorHAnsi"/>
                <w:i/>
                <w:lang w:val="es-HN"/>
              </w:rPr>
              <w:t xml:space="preserve">Panamá </w:t>
            </w:r>
            <w:r w:rsidRPr="00034CC8">
              <w:rPr>
                <w:rFonts w:asciiTheme="minorHAnsi" w:hAnsiTheme="minorHAnsi"/>
                <w:i/>
                <w:lang w:val="es-HN"/>
              </w:rPr>
              <w:t xml:space="preserve"> se encuentra elaborando el 2do Plan de Acción 2015-2017 para la plataforma de Open </w:t>
            </w:r>
            <w:proofErr w:type="spellStart"/>
            <w:r w:rsidRPr="00034CC8">
              <w:rPr>
                <w:rFonts w:asciiTheme="minorHAnsi" w:hAnsiTheme="minorHAnsi"/>
                <w:i/>
                <w:lang w:val="es-HN"/>
              </w:rPr>
              <w:t>Goverment</w:t>
            </w:r>
            <w:proofErr w:type="spellEnd"/>
            <w:r w:rsidRPr="00034CC8">
              <w:rPr>
                <w:rFonts w:asciiTheme="minorHAnsi" w:hAnsiTheme="minorHAnsi"/>
                <w:i/>
                <w:lang w:val="es-HN"/>
              </w:rPr>
              <w:t xml:space="preserve"> </w:t>
            </w:r>
            <w:proofErr w:type="spellStart"/>
            <w:r w:rsidRPr="00034CC8">
              <w:rPr>
                <w:rFonts w:asciiTheme="minorHAnsi" w:hAnsiTheme="minorHAnsi"/>
                <w:i/>
                <w:lang w:val="es-HN"/>
              </w:rPr>
              <w:t>Partnership</w:t>
            </w:r>
            <w:proofErr w:type="spellEnd"/>
            <w:r w:rsidRPr="00034CC8">
              <w:rPr>
                <w:rFonts w:asciiTheme="minorHAnsi" w:hAnsiTheme="minorHAnsi"/>
                <w:i/>
                <w:lang w:val="es-HN"/>
              </w:rPr>
              <w:t xml:space="preserve"> a través de la Autoridad de Transparencia y acceso a la información.</w:t>
            </w:r>
          </w:p>
        </w:tc>
      </w:tr>
      <w:tr w:rsidR="00DC4D86" w:rsidRPr="00F9616B" w:rsidTr="009E7526">
        <w:tc>
          <w:tcPr>
            <w:tcW w:w="14040" w:type="dxa"/>
            <w:gridSpan w:val="4"/>
          </w:tcPr>
          <w:p w:rsidR="00D53789" w:rsidRPr="00F32AB1" w:rsidRDefault="00951D3E" w:rsidP="00D53789">
            <w:pPr>
              <w:pStyle w:val="BodyText2"/>
              <w:rPr>
                <w:rFonts w:ascii="Calibri" w:hAnsi="Calibri"/>
                <w:b/>
              </w:rPr>
            </w:pPr>
            <w:r w:rsidRPr="00F32AB1">
              <w:rPr>
                <w:rFonts w:ascii="Calibri" w:hAnsi="Calibri"/>
                <w:b/>
              </w:rPr>
              <w:t>UNDP Contribution</w:t>
            </w:r>
          </w:p>
          <w:p w:rsidR="00951D3E" w:rsidRPr="00F32AB1" w:rsidRDefault="00951D3E" w:rsidP="00951D3E">
            <w:pPr>
              <w:pStyle w:val="BodyText2"/>
              <w:rPr>
                <w:rFonts w:ascii="Calibri" w:hAnsi="Calibri"/>
              </w:rPr>
            </w:pPr>
            <w:r w:rsidRPr="00F32AB1">
              <w:rPr>
                <w:rFonts w:ascii="Calibri" w:hAnsi="Calibri"/>
              </w:rPr>
              <w:t xml:space="preserve">Progress has been made in </w:t>
            </w:r>
            <w:proofErr w:type="spellStart"/>
            <w:r w:rsidRPr="00F32AB1">
              <w:rPr>
                <w:rFonts w:ascii="Calibri" w:hAnsi="Calibri"/>
              </w:rPr>
              <w:t>modernizating</w:t>
            </w:r>
            <w:proofErr w:type="spellEnd"/>
            <w:r w:rsidRPr="00F32AB1">
              <w:rPr>
                <w:rFonts w:ascii="Calibri" w:hAnsi="Calibri"/>
              </w:rPr>
              <w:t xml:space="preserve"> the governmental communication system. The 311 platform has been launched to attend citizens' requests regarding public services. Although, it is in an inception phase, up to date, seven public institutions has joint the service. </w:t>
            </w:r>
          </w:p>
          <w:p w:rsidR="00951D3E" w:rsidRPr="00F32AB1" w:rsidRDefault="00951D3E" w:rsidP="00951D3E">
            <w:pPr>
              <w:pStyle w:val="BodyText2"/>
              <w:rPr>
                <w:rFonts w:ascii="Calibri" w:hAnsi="Calibri"/>
              </w:rPr>
            </w:pPr>
          </w:p>
          <w:p w:rsidR="00951D3E" w:rsidRPr="00F32AB1" w:rsidRDefault="00951D3E" w:rsidP="00951D3E">
            <w:pPr>
              <w:pStyle w:val="BodyText2"/>
              <w:rPr>
                <w:rFonts w:ascii="Calibri" w:hAnsi="Calibri"/>
                <w:b/>
              </w:rPr>
            </w:pPr>
            <w:r w:rsidRPr="00F32AB1">
              <w:rPr>
                <w:rFonts w:ascii="Calibri" w:hAnsi="Calibri"/>
              </w:rPr>
              <w:t xml:space="preserve">On the other hand,  it has been launched a National Internet Net service aiming at providing free </w:t>
            </w:r>
            <w:proofErr w:type="spellStart"/>
            <w:r w:rsidRPr="00F32AB1">
              <w:rPr>
                <w:rFonts w:ascii="Calibri" w:hAnsi="Calibri"/>
              </w:rPr>
              <w:t>wifi</w:t>
            </w:r>
            <w:proofErr w:type="spellEnd"/>
            <w:r w:rsidRPr="00F32AB1">
              <w:rPr>
                <w:rFonts w:ascii="Calibri" w:hAnsi="Calibri"/>
              </w:rPr>
              <w:t xml:space="preserve"> all </w:t>
            </w:r>
            <w:proofErr w:type="spellStart"/>
            <w:r w:rsidRPr="00F32AB1">
              <w:rPr>
                <w:rFonts w:ascii="Calibri" w:hAnsi="Calibri"/>
              </w:rPr>
              <w:t>accross</w:t>
            </w:r>
            <w:proofErr w:type="spellEnd"/>
            <w:r w:rsidRPr="00F32AB1">
              <w:rPr>
                <w:rFonts w:ascii="Calibri" w:hAnsi="Calibri"/>
              </w:rPr>
              <w:t xml:space="preserve"> the country and covering roughly 80% of the population in 651 access points distributed in 22 cities. By </w:t>
            </w:r>
            <w:proofErr w:type="spellStart"/>
            <w:r w:rsidRPr="00F32AB1">
              <w:rPr>
                <w:rFonts w:ascii="Calibri" w:hAnsi="Calibri"/>
              </w:rPr>
              <w:t>mid year</w:t>
            </w:r>
            <w:proofErr w:type="spellEnd"/>
            <w:r w:rsidRPr="00F32AB1">
              <w:rPr>
                <w:rFonts w:ascii="Calibri" w:hAnsi="Calibri"/>
              </w:rPr>
              <w:t>, the net counted 43.000 registered users. Up to 4,500 users access the service on a daily basis</w:t>
            </w:r>
          </w:p>
        </w:tc>
      </w:tr>
      <w:tr w:rsidR="00394307" w:rsidRPr="004D4326" w:rsidTr="004A066F">
        <w:trPr>
          <w:trHeight w:val="1408"/>
        </w:trPr>
        <w:tc>
          <w:tcPr>
            <w:tcW w:w="3060" w:type="dxa"/>
            <w:shd w:val="clear" w:color="auto" w:fill="95B3D7"/>
          </w:tcPr>
          <w:p w:rsidR="00394307" w:rsidRPr="00F32AB1" w:rsidRDefault="00951D3E" w:rsidP="004A066F">
            <w:pPr>
              <w:pStyle w:val="BodyText2"/>
              <w:rPr>
                <w:rFonts w:ascii="Times New Roman" w:hAnsi="Times New Roman"/>
                <w:b/>
              </w:rPr>
            </w:pPr>
            <w:r w:rsidRPr="00F32AB1">
              <w:rPr>
                <w:rFonts w:ascii="Times New Roman" w:hAnsi="Times New Roman"/>
                <w:b/>
              </w:rPr>
              <w:t>National, regional and local levels of governance expand their capacities to reduce conflict and manage the equitable delivery of public services</w:t>
            </w:r>
          </w:p>
        </w:tc>
        <w:tc>
          <w:tcPr>
            <w:tcW w:w="1530" w:type="dxa"/>
            <w:shd w:val="clear" w:color="auto" w:fill="auto"/>
          </w:tcPr>
          <w:p w:rsidR="00394307" w:rsidRPr="00F01FDE" w:rsidRDefault="00CF54C1" w:rsidP="00F760C4">
            <w:pPr>
              <w:pStyle w:val="BodyText2"/>
              <w:rPr>
                <w:rFonts w:ascii="Times New Roman" w:hAnsi="Times New Roman"/>
              </w:rPr>
            </w:pPr>
            <w:r>
              <w:rPr>
                <w:rFonts w:ascii="Times New Roman" w:hAnsi="Times New Roman"/>
              </w:rPr>
              <w:t>$44,090,542</w:t>
            </w:r>
          </w:p>
        </w:tc>
        <w:tc>
          <w:tcPr>
            <w:tcW w:w="3960" w:type="dxa"/>
            <w:tcBorders>
              <w:left w:val="single" w:sz="4" w:space="0" w:color="auto"/>
            </w:tcBorders>
          </w:tcPr>
          <w:p w:rsidR="00D53789" w:rsidRPr="004A066F" w:rsidRDefault="00951D3E" w:rsidP="004A066F">
            <w:pPr>
              <w:pStyle w:val="BodyText2"/>
              <w:numPr>
                <w:ilvl w:val="0"/>
                <w:numId w:val="43"/>
              </w:numPr>
              <w:jc w:val="both"/>
              <w:rPr>
                <w:rFonts w:asciiTheme="minorHAnsi" w:hAnsiTheme="minorHAnsi"/>
                <w:i/>
                <w:lang w:val="es-HN"/>
              </w:rPr>
            </w:pPr>
            <w:r w:rsidRPr="004A066F">
              <w:rPr>
                <w:rFonts w:asciiTheme="minorHAnsi" w:hAnsiTheme="minorHAnsi"/>
                <w:i/>
                <w:lang w:val="es-HN"/>
              </w:rPr>
              <w:t>Numero de Políticas Públicas que se sustentan sobre la base de los aportes realizados a través de informe del PNUD</w:t>
            </w:r>
          </w:p>
          <w:p w:rsidR="00951D3E" w:rsidRPr="000B0F27" w:rsidRDefault="00951D3E" w:rsidP="004A066F">
            <w:pPr>
              <w:pStyle w:val="BodyText2"/>
              <w:numPr>
                <w:ilvl w:val="0"/>
                <w:numId w:val="43"/>
              </w:numPr>
              <w:jc w:val="both"/>
              <w:rPr>
                <w:rFonts w:ascii="Times New Roman" w:hAnsi="Times New Roman"/>
                <w:lang w:val="es-HN"/>
              </w:rPr>
            </w:pPr>
            <w:r w:rsidRPr="004A066F">
              <w:rPr>
                <w:rFonts w:asciiTheme="minorHAnsi" w:hAnsiTheme="minorHAnsi"/>
                <w:i/>
                <w:lang w:val="es-HN"/>
              </w:rPr>
              <w:t xml:space="preserve">Leyes y procesos que </w:t>
            </w:r>
            <w:r w:rsidR="004A066F" w:rsidRPr="004A066F">
              <w:rPr>
                <w:rFonts w:asciiTheme="minorHAnsi" w:hAnsiTheme="minorHAnsi"/>
                <w:i/>
                <w:lang w:val="es-HN"/>
              </w:rPr>
              <w:t>facilitan</w:t>
            </w:r>
            <w:r w:rsidRPr="004A066F">
              <w:rPr>
                <w:rFonts w:asciiTheme="minorHAnsi" w:hAnsiTheme="minorHAnsi"/>
                <w:i/>
                <w:lang w:val="es-HN"/>
              </w:rPr>
              <w:t xml:space="preserve"> la </w:t>
            </w:r>
            <w:r w:rsidR="007022B5" w:rsidRPr="004A066F">
              <w:rPr>
                <w:rFonts w:asciiTheme="minorHAnsi" w:hAnsiTheme="minorHAnsi"/>
                <w:i/>
                <w:lang w:val="es-HN"/>
              </w:rPr>
              <w:t>descentralización</w:t>
            </w:r>
            <w:r w:rsidRPr="004A066F">
              <w:rPr>
                <w:rFonts w:asciiTheme="minorHAnsi" w:hAnsiTheme="minorHAnsi"/>
                <w:i/>
                <w:lang w:val="es-HN"/>
              </w:rPr>
              <w:t xml:space="preserve"> aprobadas</w:t>
            </w:r>
          </w:p>
        </w:tc>
        <w:tc>
          <w:tcPr>
            <w:tcW w:w="5490" w:type="dxa"/>
            <w:shd w:val="clear" w:color="auto" w:fill="auto"/>
          </w:tcPr>
          <w:p w:rsidR="00394307" w:rsidRPr="00034CC8" w:rsidRDefault="00034CC8" w:rsidP="00034CC8">
            <w:pPr>
              <w:pStyle w:val="BodyText2"/>
              <w:numPr>
                <w:ilvl w:val="0"/>
                <w:numId w:val="43"/>
              </w:numPr>
              <w:rPr>
                <w:rFonts w:ascii="Times New Roman" w:hAnsi="Times New Roman"/>
                <w:lang w:val="es-HN"/>
              </w:rPr>
            </w:pPr>
            <w:r w:rsidRPr="00034CC8">
              <w:rPr>
                <w:rFonts w:asciiTheme="minorHAnsi" w:hAnsiTheme="minorHAnsi"/>
                <w:i/>
                <w:lang w:val="es-HN"/>
              </w:rPr>
              <w:t>1 Política Pública de Salud Materna</w:t>
            </w:r>
          </w:p>
          <w:p w:rsidR="00034CC8" w:rsidRDefault="00034CC8" w:rsidP="00034CC8">
            <w:pPr>
              <w:pStyle w:val="BodyText2"/>
              <w:rPr>
                <w:rFonts w:asciiTheme="minorHAnsi" w:hAnsiTheme="minorHAnsi"/>
                <w:i/>
                <w:lang w:val="es-HN"/>
              </w:rPr>
            </w:pPr>
          </w:p>
          <w:p w:rsidR="00034CC8" w:rsidRDefault="00034CC8" w:rsidP="00034CC8">
            <w:pPr>
              <w:pStyle w:val="BodyText2"/>
              <w:rPr>
                <w:rFonts w:asciiTheme="minorHAnsi" w:hAnsiTheme="minorHAnsi"/>
                <w:i/>
                <w:lang w:val="es-HN"/>
              </w:rPr>
            </w:pPr>
          </w:p>
          <w:p w:rsidR="00034CC8" w:rsidRPr="000B0F27" w:rsidRDefault="00034CC8" w:rsidP="00034CC8">
            <w:pPr>
              <w:pStyle w:val="BodyText2"/>
              <w:numPr>
                <w:ilvl w:val="0"/>
                <w:numId w:val="43"/>
              </w:numPr>
              <w:rPr>
                <w:rFonts w:ascii="Times New Roman" w:hAnsi="Times New Roman"/>
                <w:lang w:val="es-HN"/>
              </w:rPr>
            </w:pPr>
            <w:r>
              <w:rPr>
                <w:rFonts w:asciiTheme="minorHAnsi" w:hAnsiTheme="minorHAnsi"/>
                <w:i/>
                <w:lang w:val="es-HN"/>
              </w:rPr>
              <w:t xml:space="preserve">Se contribuyó a la reformulación de la Ley 37. </w:t>
            </w:r>
            <w:r w:rsidR="008460E3">
              <w:rPr>
                <w:rFonts w:asciiTheme="minorHAnsi" w:hAnsiTheme="minorHAnsi"/>
                <w:i/>
                <w:lang w:val="es-HN"/>
              </w:rPr>
              <w:t>Aún</w:t>
            </w:r>
            <w:r>
              <w:rPr>
                <w:rFonts w:asciiTheme="minorHAnsi" w:hAnsiTheme="minorHAnsi"/>
                <w:i/>
                <w:lang w:val="es-HN"/>
              </w:rPr>
              <w:t xml:space="preserve"> en proceso de revisión por el Gobierno.</w:t>
            </w:r>
          </w:p>
        </w:tc>
      </w:tr>
      <w:tr w:rsidR="00394307" w:rsidRPr="00F9616B" w:rsidTr="00F760C4">
        <w:tc>
          <w:tcPr>
            <w:tcW w:w="14040" w:type="dxa"/>
            <w:gridSpan w:val="4"/>
          </w:tcPr>
          <w:p w:rsidR="00D53789" w:rsidRPr="00F32AB1" w:rsidRDefault="00951D3E" w:rsidP="004A066F">
            <w:pPr>
              <w:pStyle w:val="BodyText2"/>
              <w:jc w:val="both"/>
              <w:rPr>
                <w:rFonts w:ascii="Calibri" w:hAnsi="Calibri"/>
              </w:rPr>
            </w:pPr>
            <w:r w:rsidRPr="00F32AB1">
              <w:rPr>
                <w:rFonts w:ascii="Calibri" w:hAnsi="Calibri"/>
              </w:rPr>
              <w:t>An important contribution was made towards equitable delivery of health services by accompanying the Ministry of Health in implementing a scheme where medical and health services were delivered in situ, in remote areas of the country</w:t>
            </w:r>
          </w:p>
          <w:p w:rsidR="00951D3E" w:rsidRDefault="00951D3E" w:rsidP="004A066F">
            <w:pPr>
              <w:pStyle w:val="BodyText2"/>
              <w:jc w:val="both"/>
              <w:rPr>
                <w:rFonts w:ascii="Calibri" w:hAnsi="Calibri"/>
              </w:rPr>
            </w:pPr>
            <w:r w:rsidRPr="00F32AB1">
              <w:rPr>
                <w:rFonts w:ascii="Calibri" w:hAnsi="Calibri"/>
              </w:rPr>
              <w:t xml:space="preserve">Project 14281 and 60235 had an important impact in women´s access to health services in rural areas, with particular focus in indigenous territories, particularly in the </w:t>
            </w:r>
            <w:proofErr w:type="spellStart"/>
            <w:r w:rsidRPr="00F32AB1">
              <w:rPr>
                <w:rFonts w:ascii="Calibri" w:hAnsi="Calibri"/>
              </w:rPr>
              <w:t>Ngobe</w:t>
            </w:r>
            <w:proofErr w:type="spellEnd"/>
            <w:r w:rsidRPr="00F32AB1">
              <w:rPr>
                <w:rFonts w:ascii="Calibri" w:hAnsi="Calibri"/>
              </w:rPr>
              <w:t xml:space="preserve"> Bugle and Kuna </w:t>
            </w:r>
            <w:proofErr w:type="spellStart"/>
            <w:r w:rsidRPr="00F32AB1">
              <w:rPr>
                <w:rFonts w:ascii="Calibri" w:hAnsi="Calibri"/>
              </w:rPr>
              <w:t>yala</w:t>
            </w:r>
            <w:proofErr w:type="spellEnd"/>
            <w:r w:rsidRPr="00F32AB1">
              <w:rPr>
                <w:rFonts w:ascii="Calibri" w:hAnsi="Calibri"/>
              </w:rPr>
              <w:t xml:space="preserve"> Indigenous territories. A health services plan and its coverage reached more than 430 thousand people in the poorest regions of the country. It that plan, women had access to specialized medical services and </w:t>
            </w:r>
            <w:r w:rsidR="004D4326" w:rsidRPr="00F32AB1">
              <w:rPr>
                <w:rFonts w:ascii="Calibri" w:hAnsi="Calibri"/>
              </w:rPr>
              <w:t>pre-birth</w:t>
            </w:r>
            <w:r w:rsidRPr="00F32AB1">
              <w:rPr>
                <w:rFonts w:ascii="Calibri" w:hAnsi="Calibri"/>
              </w:rPr>
              <w:t xml:space="preserve"> control as well as dietary supplements during pregnancy. Children and newborns were also specific target population.  In the </w:t>
            </w:r>
            <w:proofErr w:type="spellStart"/>
            <w:r w:rsidRPr="00F32AB1">
              <w:rPr>
                <w:rFonts w:ascii="Calibri" w:hAnsi="Calibri"/>
              </w:rPr>
              <w:t>Ngobe</w:t>
            </w:r>
            <w:proofErr w:type="spellEnd"/>
            <w:r w:rsidRPr="00F32AB1">
              <w:rPr>
                <w:rFonts w:ascii="Calibri" w:hAnsi="Calibri"/>
              </w:rPr>
              <w:t xml:space="preserve"> Bugle Indigenous territory, 121,160 people had access and benefited from medical services, and in Kuna </w:t>
            </w:r>
            <w:proofErr w:type="spellStart"/>
            <w:r w:rsidRPr="00F32AB1">
              <w:rPr>
                <w:rFonts w:ascii="Calibri" w:hAnsi="Calibri"/>
              </w:rPr>
              <w:t>Yala</w:t>
            </w:r>
            <w:proofErr w:type="spellEnd"/>
            <w:r w:rsidRPr="00F32AB1">
              <w:rPr>
                <w:rFonts w:ascii="Calibri" w:hAnsi="Calibri"/>
              </w:rPr>
              <w:t>, 15,601 people benefited from the medical services</w:t>
            </w:r>
            <w:r w:rsidR="004D4326">
              <w:rPr>
                <w:rFonts w:ascii="Calibri" w:hAnsi="Calibri"/>
              </w:rPr>
              <w:t>.</w:t>
            </w:r>
          </w:p>
          <w:p w:rsidR="004D4326" w:rsidRDefault="004D4326" w:rsidP="004A066F">
            <w:pPr>
              <w:pStyle w:val="BodyText2"/>
              <w:jc w:val="both"/>
              <w:rPr>
                <w:rFonts w:ascii="Calibri" w:hAnsi="Calibri"/>
              </w:rPr>
            </w:pPr>
          </w:p>
          <w:p w:rsidR="004D4326" w:rsidRPr="004D4326" w:rsidRDefault="004D4326" w:rsidP="004D4326">
            <w:pPr>
              <w:jc w:val="both"/>
              <w:rPr>
                <w:rFonts w:asciiTheme="minorHAnsi" w:hAnsiTheme="minorHAnsi"/>
                <w:sz w:val="20"/>
                <w:szCs w:val="22"/>
              </w:rPr>
            </w:pPr>
            <w:r w:rsidRPr="004D4326">
              <w:rPr>
                <w:rFonts w:asciiTheme="minorHAnsi" w:hAnsiTheme="minorHAnsi"/>
                <w:sz w:val="20"/>
                <w:szCs w:val="22"/>
              </w:rPr>
              <w:t xml:space="preserve">UNDP assisted the incoming Administration with the writing of papers that analyzed the electoral plan, ongoing initiatives and opportunities for the incorporation of human development on the agendas of different ministries and key institutions. The impact of this support is reflected today in a government plan that has incorporated the concept of human development and has allowed the identification of an ambitious set of reforms in several key ministries such as the MINGOB (reforms in 11 areas of work ) Foreign Ministry (creation of the deputy minister of international organizations), and the use of dialogue as a tool for building consensus in the social sphere (where UNDP is supporting: </w:t>
            </w:r>
            <w:proofErr w:type="spellStart"/>
            <w:r w:rsidRPr="004D4326">
              <w:rPr>
                <w:rFonts w:asciiTheme="minorHAnsi" w:hAnsiTheme="minorHAnsi"/>
                <w:sz w:val="20"/>
                <w:szCs w:val="22"/>
              </w:rPr>
              <w:t>i</w:t>
            </w:r>
            <w:proofErr w:type="spellEnd"/>
            <w:r w:rsidRPr="004D4326">
              <w:rPr>
                <w:rFonts w:asciiTheme="minorHAnsi" w:hAnsiTheme="minorHAnsi"/>
                <w:sz w:val="20"/>
                <w:szCs w:val="22"/>
              </w:rPr>
              <w:t xml:space="preserve">) the Ministry of Health in facilitating a dialogue aimed at reforming the public health system; and ii) the Vice-president and Minister of Foreign Affairs in the peaceful resolution of the on-going dispute with indigenous communities around the </w:t>
            </w:r>
            <w:proofErr w:type="spellStart"/>
            <w:r w:rsidRPr="004D4326">
              <w:rPr>
                <w:rFonts w:asciiTheme="minorHAnsi" w:hAnsiTheme="minorHAnsi"/>
                <w:sz w:val="20"/>
                <w:szCs w:val="22"/>
              </w:rPr>
              <w:t>Barro</w:t>
            </w:r>
            <w:proofErr w:type="spellEnd"/>
            <w:r w:rsidRPr="004D4326">
              <w:rPr>
                <w:rFonts w:asciiTheme="minorHAnsi" w:hAnsiTheme="minorHAnsi"/>
                <w:sz w:val="20"/>
                <w:szCs w:val="22"/>
              </w:rPr>
              <w:t xml:space="preserve"> Blanco hydroelectric project). </w:t>
            </w:r>
          </w:p>
          <w:p w:rsidR="004D4326" w:rsidRPr="00F32AB1" w:rsidRDefault="004D4326" w:rsidP="004A066F">
            <w:pPr>
              <w:pStyle w:val="BodyText2"/>
              <w:jc w:val="both"/>
              <w:rPr>
                <w:rFonts w:ascii="Calibri" w:hAnsi="Calibri"/>
                <w:u w:val="single"/>
              </w:rPr>
            </w:pPr>
          </w:p>
        </w:tc>
      </w:tr>
    </w:tbl>
    <w:p w:rsidR="00843DD9" w:rsidRPr="00F32AB1" w:rsidRDefault="00843DD9" w:rsidP="00843DD9">
      <w:pPr>
        <w:pStyle w:val="BodyText2"/>
        <w:jc w:val="center"/>
        <w:rPr>
          <w:rFonts w:ascii="Times New Roman" w:hAnsi="Times New Roman"/>
          <w:b/>
          <w:sz w:val="24"/>
        </w:rPr>
      </w:pPr>
    </w:p>
    <w:p w:rsidR="00843DD9" w:rsidRPr="00F32AB1" w:rsidRDefault="00843DD9" w:rsidP="00843DD9">
      <w:pPr>
        <w:rPr>
          <w:rFonts w:ascii="Calibri" w:hAnsi="Calibri"/>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90"/>
        <w:gridCol w:w="1530"/>
        <w:gridCol w:w="3960"/>
        <w:gridCol w:w="5490"/>
      </w:tblGrid>
      <w:tr w:rsidR="00951D3E" w:rsidRPr="004D4326" w:rsidTr="00DD1510">
        <w:tc>
          <w:tcPr>
            <w:tcW w:w="3060" w:type="dxa"/>
            <w:gridSpan w:val="2"/>
            <w:shd w:val="clear" w:color="auto" w:fill="95B3D7"/>
          </w:tcPr>
          <w:p w:rsidR="00951D3E" w:rsidRPr="00F32AB1" w:rsidRDefault="00951D3E" w:rsidP="004A066F">
            <w:pPr>
              <w:jc w:val="both"/>
              <w:rPr>
                <w:rFonts w:ascii="Calibri" w:hAnsi="Calibri"/>
                <w:b/>
                <w:sz w:val="20"/>
              </w:rPr>
            </w:pPr>
            <w:r w:rsidRPr="00F32AB1">
              <w:rPr>
                <w:rFonts w:ascii="Calibri" w:hAnsi="Calibri"/>
                <w:b/>
                <w:sz w:val="20"/>
              </w:rPr>
              <w:t>Effective, responsive, accessible and fair justice systems promote the rule of law, including both formal and informal processes, with due consideration on the rights of the poor, women and vulnerable groups.</w:t>
            </w:r>
          </w:p>
        </w:tc>
        <w:tc>
          <w:tcPr>
            <w:tcW w:w="1530" w:type="dxa"/>
            <w:shd w:val="clear" w:color="auto" w:fill="auto"/>
          </w:tcPr>
          <w:p w:rsidR="00951D3E" w:rsidRPr="00CF54C1" w:rsidRDefault="00CF54C1" w:rsidP="00951D3E">
            <w:pPr>
              <w:rPr>
                <w:rFonts w:ascii="Calibri" w:hAnsi="Calibri"/>
                <w:sz w:val="20"/>
              </w:rPr>
            </w:pPr>
            <w:r w:rsidRPr="00CF54C1">
              <w:rPr>
                <w:rFonts w:ascii="Calibri" w:hAnsi="Calibri"/>
                <w:sz w:val="20"/>
              </w:rPr>
              <w:t>$1,454,004</w:t>
            </w:r>
          </w:p>
        </w:tc>
        <w:tc>
          <w:tcPr>
            <w:tcW w:w="3960" w:type="dxa"/>
            <w:tcBorders>
              <w:left w:val="single" w:sz="4" w:space="0" w:color="auto"/>
            </w:tcBorders>
          </w:tcPr>
          <w:p w:rsidR="00951D3E" w:rsidRPr="00B75283" w:rsidRDefault="007022B5" w:rsidP="007022B5">
            <w:pPr>
              <w:numPr>
                <w:ilvl w:val="0"/>
                <w:numId w:val="42"/>
              </w:numPr>
              <w:rPr>
                <w:rFonts w:ascii="Calibri" w:hAnsi="Calibri"/>
                <w:i/>
                <w:sz w:val="20"/>
                <w:lang w:val="es-HN"/>
              </w:rPr>
            </w:pPr>
            <w:r w:rsidRPr="00B75283">
              <w:rPr>
                <w:rFonts w:ascii="Calibri" w:hAnsi="Calibri"/>
                <w:i/>
                <w:sz w:val="20"/>
                <w:lang w:val="es-HN"/>
              </w:rPr>
              <w:t>Propuesta de Reforma al sistema de justicia formulada</w:t>
            </w:r>
          </w:p>
        </w:tc>
        <w:tc>
          <w:tcPr>
            <w:tcW w:w="5490" w:type="dxa"/>
            <w:shd w:val="clear" w:color="auto" w:fill="auto"/>
          </w:tcPr>
          <w:p w:rsidR="00951D3E" w:rsidRPr="00B75283" w:rsidRDefault="00B75283" w:rsidP="00B75283">
            <w:pPr>
              <w:pStyle w:val="ListParagraph"/>
              <w:numPr>
                <w:ilvl w:val="0"/>
                <w:numId w:val="42"/>
              </w:numPr>
              <w:rPr>
                <w:i/>
                <w:sz w:val="20"/>
                <w:lang w:val="es-HN"/>
              </w:rPr>
            </w:pPr>
            <w:r w:rsidRPr="00B75283">
              <w:rPr>
                <w:i/>
                <w:sz w:val="20"/>
                <w:lang w:val="es-HN"/>
              </w:rPr>
              <w:t>El sistema penal acusatorio ha sido implementado en 4 de las 10 provincias y el paquete de reformas de justicia comunitaria fue enviado a la Asamblea el pasado en abril del 2015.</w:t>
            </w:r>
          </w:p>
        </w:tc>
      </w:tr>
      <w:tr w:rsidR="00951D3E" w:rsidRPr="00951D3E" w:rsidTr="00DD1510">
        <w:tc>
          <w:tcPr>
            <w:tcW w:w="14040" w:type="dxa"/>
            <w:gridSpan w:val="5"/>
          </w:tcPr>
          <w:p w:rsidR="00951D3E" w:rsidRPr="007168EC" w:rsidRDefault="007022B5" w:rsidP="00951D3E">
            <w:pPr>
              <w:rPr>
                <w:rFonts w:ascii="Calibri" w:hAnsi="Calibri"/>
                <w:b/>
                <w:sz w:val="20"/>
              </w:rPr>
            </w:pPr>
            <w:r w:rsidRPr="007168EC">
              <w:rPr>
                <w:rFonts w:ascii="Calibri" w:hAnsi="Calibri"/>
                <w:b/>
                <w:sz w:val="20"/>
              </w:rPr>
              <w:t>UNDP Contribution</w:t>
            </w:r>
          </w:p>
          <w:p w:rsidR="007022B5" w:rsidRDefault="007022B5" w:rsidP="00951D3E">
            <w:pPr>
              <w:rPr>
                <w:rFonts w:ascii="Calibri" w:hAnsi="Calibri"/>
                <w:sz w:val="20"/>
              </w:rPr>
            </w:pPr>
            <w:r w:rsidRPr="00F32AB1">
              <w:rPr>
                <w:rFonts w:ascii="Calibri" w:hAnsi="Calibri"/>
                <w:sz w:val="20"/>
              </w:rPr>
              <w:t>In 2010, UNDP launched a new initiative to support the Supreme Court of Justice in advancing towards the justice reform by preparing the implementation on the accusatory system in Panama.</w:t>
            </w:r>
          </w:p>
          <w:p w:rsidR="004D4326" w:rsidRDefault="004D4326" w:rsidP="004D4326">
            <w:pPr>
              <w:pStyle w:val="NoSpacing"/>
              <w:spacing w:before="240" w:line="276" w:lineRule="auto"/>
              <w:jc w:val="both"/>
              <w:rPr>
                <w:sz w:val="20"/>
              </w:rPr>
            </w:pPr>
            <w:r w:rsidRPr="004D4326">
              <w:rPr>
                <w:sz w:val="20"/>
              </w:rPr>
              <w:t xml:space="preserve">Based on this Plan, the government has taken an unprecedented action to advance the agenda of the indigenous people, particularly through the establishment of a Ministry of Indigenous Affairs, through the approval of the Integrated Development Plan for Indigenous Peoples, and the establishment of an appropriate financial mechanism to fund it. Also the government’s commitment to establish capitals with de-concentrated administrative powers in the Indigenous </w:t>
            </w:r>
            <w:proofErr w:type="spellStart"/>
            <w:r w:rsidRPr="004D4326">
              <w:rPr>
                <w:i/>
                <w:sz w:val="20"/>
              </w:rPr>
              <w:t>Comarcas</w:t>
            </w:r>
            <w:proofErr w:type="spellEnd"/>
            <w:r w:rsidRPr="004D4326">
              <w:rPr>
                <w:i/>
                <w:sz w:val="20"/>
              </w:rPr>
              <w:t>,</w:t>
            </w:r>
            <w:r w:rsidRPr="004D4326">
              <w:rPr>
                <w:sz w:val="20"/>
              </w:rPr>
              <w:t xml:space="preserve"> as well as the approval of ILO’s 169 Convention have made and extraordinary progress to address exclusion, poverty and inequality with indigenous population.</w:t>
            </w:r>
          </w:p>
          <w:p w:rsidR="004D4326" w:rsidRPr="004D4326" w:rsidRDefault="004D4326" w:rsidP="004D4326">
            <w:pPr>
              <w:pStyle w:val="NoSpacing"/>
              <w:spacing w:before="240" w:line="276" w:lineRule="auto"/>
              <w:jc w:val="both"/>
            </w:pPr>
            <w:r w:rsidRPr="004D4326">
              <w:rPr>
                <w:sz w:val="20"/>
              </w:rPr>
              <w:t xml:space="preserve">UNDP Panama has successfully led the elaboration of the first National Development Plan for indigenous people developed through a wide and comprehensive consultation process in 12 indigenous territories, 96 communities with the participation of 10,000 people. This programme targets 420,000 people historically excluded from public policies and </w:t>
            </w:r>
            <w:proofErr w:type="spellStart"/>
            <w:r w:rsidRPr="004D4326">
              <w:rPr>
                <w:sz w:val="20"/>
              </w:rPr>
              <w:t>programmme</w:t>
            </w:r>
            <w:proofErr w:type="spellEnd"/>
            <w:r w:rsidRPr="004D4326">
              <w:rPr>
                <w:sz w:val="20"/>
              </w:rPr>
              <w:t xml:space="preserve">. </w:t>
            </w:r>
          </w:p>
          <w:p w:rsidR="007022B5" w:rsidRPr="00F32AB1" w:rsidRDefault="007022B5" w:rsidP="00951D3E">
            <w:pPr>
              <w:rPr>
                <w:rFonts w:ascii="Calibri" w:hAnsi="Calibri"/>
                <w:sz w:val="20"/>
              </w:rPr>
            </w:pPr>
          </w:p>
        </w:tc>
      </w:tr>
      <w:tr w:rsidR="00951D3E" w:rsidRPr="00CF54C1" w:rsidTr="007022B5">
        <w:tc>
          <w:tcPr>
            <w:tcW w:w="2970" w:type="dxa"/>
            <w:shd w:val="clear" w:color="auto" w:fill="95B3D7"/>
          </w:tcPr>
          <w:p w:rsidR="00951D3E" w:rsidRPr="00F32AB1" w:rsidRDefault="007022B5" w:rsidP="004A066F">
            <w:pPr>
              <w:jc w:val="both"/>
              <w:rPr>
                <w:rFonts w:ascii="Calibri" w:hAnsi="Calibri"/>
                <w:b/>
                <w:sz w:val="20"/>
              </w:rPr>
            </w:pPr>
            <w:r w:rsidRPr="00F32AB1">
              <w:rPr>
                <w:rFonts w:ascii="Calibri" w:hAnsi="Calibri"/>
                <w:b/>
                <w:sz w:val="20"/>
              </w:rPr>
              <w:t xml:space="preserve">Policies, institutions and programs for environmental sustainability and energy that are pro-poor and gender sensitive developed, funded and </w:t>
            </w:r>
            <w:r w:rsidRPr="00F32AB1">
              <w:rPr>
                <w:rFonts w:ascii="Calibri" w:hAnsi="Calibri"/>
                <w:b/>
                <w:sz w:val="20"/>
              </w:rPr>
              <w:lastRenderedPageBreak/>
              <w:t>implemented through national development plans and systems</w:t>
            </w:r>
          </w:p>
        </w:tc>
        <w:tc>
          <w:tcPr>
            <w:tcW w:w="1620" w:type="dxa"/>
            <w:gridSpan w:val="2"/>
            <w:shd w:val="clear" w:color="auto" w:fill="auto"/>
          </w:tcPr>
          <w:p w:rsidR="00951D3E" w:rsidRPr="00CF54C1" w:rsidRDefault="00CF54C1" w:rsidP="00951D3E">
            <w:pPr>
              <w:rPr>
                <w:rFonts w:ascii="Calibri" w:hAnsi="Calibri"/>
                <w:sz w:val="20"/>
              </w:rPr>
            </w:pPr>
            <w:r w:rsidRPr="00CF54C1">
              <w:rPr>
                <w:rFonts w:ascii="Calibri" w:hAnsi="Calibri"/>
                <w:sz w:val="20"/>
              </w:rPr>
              <w:lastRenderedPageBreak/>
              <w:t>$6,000,141</w:t>
            </w:r>
          </w:p>
        </w:tc>
        <w:tc>
          <w:tcPr>
            <w:tcW w:w="3960" w:type="dxa"/>
            <w:tcBorders>
              <w:left w:val="single" w:sz="4" w:space="0" w:color="auto"/>
            </w:tcBorders>
          </w:tcPr>
          <w:p w:rsidR="00951D3E" w:rsidRPr="00323630" w:rsidRDefault="007022B5" w:rsidP="007022B5">
            <w:pPr>
              <w:numPr>
                <w:ilvl w:val="0"/>
                <w:numId w:val="43"/>
              </w:numPr>
              <w:rPr>
                <w:rFonts w:ascii="Calibri" w:hAnsi="Calibri"/>
                <w:sz w:val="20"/>
                <w:lang w:val="es-HN"/>
              </w:rPr>
            </w:pPr>
            <w:r w:rsidRPr="00323630">
              <w:rPr>
                <w:rFonts w:ascii="Calibri" w:hAnsi="Calibri"/>
                <w:sz w:val="20"/>
                <w:lang w:val="es-HN"/>
              </w:rPr>
              <w:t>Cantidad de pobres que obtienen títulos de propiedad a través de programas y políticas del estado</w:t>
            </w:r>
          </w:p>
          <w:p w:rsidR="007022B5" w:rsidRPr="00323630" w:rsidRDefault="007022B5" w:rsidP="007022B5">
            <w:pPr>
              <w:numPr>
                <w:ilvl w:val="0"/>
                <w:numId w:val="43"/>
              </w:numPr>
              <w:rPr>
                <w:rFonts w:ascii="Calibri" w:hAnsi="Calibri"/>
                <w:sz w:val="20"/>
                <w:lang w:val="es-HN"/>
              </w:rPr>
            </w:pPr>
            <w:r w:rsidRPr="00323630">
              <w:rPr>
                <w:rFonts w:ascii="Calibri" w:hAnsi="Calibri"/>
                <w:sz w:val="20"/>
                <w:lang w:val="es-HN"/>
              </w:rPr>
              <w:t>Estrategia para la reducción de riesgos, actualizada y aprobada</w:t>
            </w:r>
          </w:p>
          <w:p w:rsidR="00BA49AA" w:rsidRPr="00323630" w:rsidRDefault="00BA49AA" w:rsidP="008460E3">
            <w:pPr>
              <w:ind w:left="360"/>
              <w:rPr>
                <w:rFonts w:ascii="Calibri" w:hAnsi="Calibri"/>
                <w:sz w:val="20"/>
                <w:lang w:val="es-HN"/>
              </w:rPr>
            </w:pPr>
          </w:p>
          <w:p w:rsidR="007022B5" w:rsidRPr="00323630" w:rsidRDefault="007022B5" w:rsidP="007022B5">
            <w:pPr>
              <w:numPr>
                <w:ilvl w:val="0"/>
                <w:numId w:val="43"/>
              </w:numPr>
              <w:rPr>
                <w:rFonts w:ascii="Calibri" w:hAnsi="Calibri"/>
                <w:sz w:val="20"/>
                <w:lang w:val="es-HN"/>
              </w:rPr>
            </w:pPr>
            <w:r w:rsidRPr="00323630">
              <w:rPr>
                <w:rFonts w:ascii="Calibri" w:hAnsi="Calibri"/>
                <w:sz w:val="20"/>
                <w:lang w:val="es-HN"/>
              </w:rPr>
              <w:t>Nuevos Acuerdos Internacionales sobre Sostenibilidad Ambiental / Cambio Climático a los cuales el país da cumplimientos</w:t>
            </w:r>
          </w:p>
        </w:tc>
        <w:tc>
          <w:tcPr>
            <w:tcW w:w="5490" w:type="dxa"/>
            <w:shd w:val="clear" w:color="auto" w:fill="auto"/>
          </w:tcPr>
          <w:p w:rsidR="00034CC8" w:rsidRDefault="00184DC8" w:rsidP="00951D3E">
            <w:pPr>
              <w:pStyle w:val="ListParagraph"/>
              <w:numPr>
                <w:ilvl w:val="0"/>
                <w:numId w:val="43"/>
              </w:numPr>
              <w:rPr>
                <w:sz w:val="20"/>
                <w:lang w:val="es-HN"/>
              </w:rPr>
            </w:pPr>
            <w:r w:rsidRPr="00184DC8">
              <w:rPr>
                <w:sz w:val="20"/>
                <w:lang w:val="es-HN"/>
              </w:rPr>
              <w:lastRenderedPageBreak/>
              <w:t xml:space="preserve">4,960 </w:t>
            </w:r>
            <w:r w:rsidR="00323630" w:rsidRPr="00184DC8">
              <w:rPr>
                <w:sz w:val="20"/>
                <w:lang w:val="es-HN"/>
              </w:rPr>
              <w:t xml:space="preserve"> personas tituladas </w:t>
            </w:r>
            <w:r w:rsidRPr="00184DC8">
              <w:rPr>
                <w:sz w:val="20"/>
                <w:lang w:val="es-HN"/>
              </w:rPr>
              <w:t xml:space="preserve">en los corregimientos de El Cacao, </w:t>
            </w:r>
            <w:proofErr w:type="spellStart"/>
            <w:r w:rsidRPr="00184DC8">
              <w:rPr>
                <w:sz w:val="20"/>
                <w:lang w:val="es-HN"/>
              </w:rPr>
              <w:t>Cigrí</w:t>
            </w:r>
            <w:proofErr w:type="spellEnd"/>
            <w:r w:rsidRPr="00184DC8">
              <w:rPr>
                <w:sz w:val="20"/>
                <w:lang w:val="es-HN"/>
              </w:rPr>
              <w:t xml:space="preserve"> Grande, </w:t>
            </w:r>
            <w:proofErr w:type="spellStart"/>
            <w:r w:rsidRPr="00184DC8">
              <w:rPr>
                <w:sz w:val="20"/>
                <w:lang w:val="es-HN"/>
              </w:rPr>
              <w:t>Cigrí</w:t>
            </w:r>
            <w:proofErr w:type="spellEnd"/>
            <w:r w:rsidRPr="00184DC8">
              <w:rPr>
                <w:sz w:val="20"/>
                <w:lang w:val="es-HN"/>
              </w:rPr>
              <w:t xml:space="preserve"> de los Santos, y Trinidad.</w:t>
            </w:r>
          </w:p>
          <w:p w:rsidR="00184DC8" w:rsidRPr="00184DC8" w:rsidRDefault="00184DC8" w:rsidP="00184DC8">
            <w:pPr>
              <w:pStyle w:val="ListParagraph"/>
              <w:ind w:left="360"/>
              <w:rPr>
                <w:sz w:val="20"/>
                <w:lang w:val="es-HN"/>
              </w:rPr>
            </w:pPr>
          </w:p>
          <w:p w:rsidR="00034CC8" w:rsidRPr="00184DC8" w:rsidRDefault="00184DC8" w:rsidP="00184DC8">
            <w:pPr>
              <w:pStyle w:val="ListParagraph"/>
              <w:numPr>
                <w:ilvl w:val="0"/>
                <w:numId w:val="43"/>
              </w:numPr>
              <w:rPr>
                <w:sz w:val="20"/>
                <w:lang w:val="es-HN"/>
              </w:rPr>
            </w:pPr>
            <w:r>
              <w:rPr>
                <w:sz w:val="20"/>
                <w:lang w:val="es-HN"/>
              </w:rPr>
              <w:lastRenderedPageBreak/>
              <w:t xml:space="preserve">Se contribuyó con el Marco Nacional de Recuperación y Gestión de Riesgos. La </w:t>
            </w:r>
            <w:proofErr w:type="spellStart"/>
            <w:r>
              <w:rPr>
                <w:sz w:val="20"/>
                <w:lang w:val="es-HN"/>
              </w:rPr>
              <w:t>estrategía</w:t>
            </w:r>
            <w:proofErr w:type="spellEnd"/>
            <w:r>
              <w:rPr>
                <w:sz w:val="20"/>
                <w:lang w:val="es-HN"/>
              </w:rPr>
              <w:t xml:space="preserve"> aún no ha sido elaborada.</w:t>
            </w:r>
          </w:p>
          <w:p w:rsidR="00CF54C1" w:rsidRDefault="00887250" w:rsidP="00951D3E">
            <w:pPr>
              <w:pStyle w:val="ListParagraph"/>
              <w:numPr>
                <w:ilvl w:val="0"/>
                <w:numId w:val="43"/>
              </w:numPr>
              <w:rPr>
                <w:sz w:val="20"/>
                <w:lang w:val="es-HN"/>
              </w:rPr>
            </w:pPr>
            <w:r w:rsidRPr="00CF54C1">
              <w:rPr>
                <w:sz w:val="20"/>
                <w:lang w:val="es-HN"/>
              </w:rPr>
              <w:t>Acuerdos de la COP 19 y COP 20 (Cumbre de Naciones Unidas sobre cambio Climático)</w:t>
            </w:r>
          </w:p>
          <w:p w:rsidR="00CF54C1" w:rsidRDefault="00887250" w:rsidP="00CF54C1">
            <w:pPr>
              <w:pStyle w:val="ListParagraph"/>
              <w:ind w:left="360"/>
              <w:rPr>
                <w:sz w:val="20"/>
                <w:lang w:val="es-HN"/>
              </w:rPr>
            </w:pPr>
            <w:r w:rsidRPr="00CF54C1">
              <w:rPr>
                <w:sz w:val="20"/>
                <w:lang w:val="es-HN"/>
              </w:rPr>
              <w:t>Acuerdos de la COP</w:t>
            </w:r>
            <w:r w:rsidR="007C591E" w:rsidRPr="00CF54C1">
              <w:rPr>
                <w:sz w:val="20"/>
                <w:lang w:val="es-HN"/>
              </w:rPr>
              <w:t xml:space="preserve"> MOP 24, 25, y 26 (Protocolo de Montreal)</w:t>
            </w:r>
          </w:p>
          <w:p w:rsidR="007C591E" w:rsidRPr="00323630" w:rsidRDefault="0093519B" w:rsidP="00CF54C1">
            <w:pPr>
              <w:pStyle w:val="ListParagraph"/>
              <w:ind w:left="360"/>
              <w:rPr>
                <w:sz w:val="20"/>
                <w:lang w:val="es-HN"/>
              </w:rPr>
            </w:pPr>
            <w:r w:rsidRPr="00323630">
              <w:rPr>
                <w:sz w:val="20"/>
                <w:lang w:val="es-HN"/>
              </w:rPr>
              <w:t>Acuerdos COP 11 y 12 (CBD)</w:t>
            </w:r>
          </w:p>
        </w:tc>
      </w:tr>
      <w:tr w:rsidR="00951D3E" w:rsidRPr="00951D3E" w:rsidTr="00DD1510">
        <w:tc>
          <w:tcPr>
            <w:tcW w:w="14040" w:type="dxa"/>
            <w:gridSpan w:val="5"/>
          </w:tcPr>
          <w:p w:rsidR="007022B5" w:rsidRPr="00F32AB1" w:rsidRDefault="007022B5" w:rsidP="004A066F">
            <w:pPr>
              <w:jc w:val="both"/>
              <w:rPr>
                <w:rFonts w:ascii="Calibri" w:hAnsi="Calibri"/>
                <w:b/>
                <w:sz w:val="20"/>
              </w:rPr>
            </w:pPr>
            <w:r w:rsidRPr="00F32AB1">
              <w:rPr>
                <w:rFonts w:ascii="Calibri" w:hAnsi="Calibri"/>
                <w:b/>
                <w:sz w:val="20"/>
              </w:rPr>
              <w:lastRenderedPageBreak/>
              <w:t>UNDP Contribution</w:t>
            </w:r>
          </w:p>
          <w:p w:rsidR="00951D3E" w:rsidRDefault="007022B5" w:rsidP="004D4326">
            <w:pPr>
              <w:jc w:val="both"/>
              <w:rPr>
                <w:rFonts w:ascii="Calibri" w:hAnsi="Calibri"/>
                <w:sz w:val="20"/>
              </w:rPr>
            </w:pPr>
            <w:r w:rsidRPr="00CF54C1">
              <w:rPr>
                <w:rFonts w:ascii="Calibri" w:hAnsi="Calibri"/>
                <w:sz w:val="20"/>
              </w:rPr>
              <w:t xml:space="preserve">Progress towards environmental sustainability has been slowed down in the last year mainly due to a high turnover rate at the highest post of governmental institutions such as the </w:t>
            </w:r>
            <w:proofErr w:type="spellStart"/>
            <w:r w:rsidRPr="00CF54C1">
              <w:rPr>
                <w:rFonts w:ascii="Calibri" w:hAnsi="Calibri"/>
                <w:sz w:val="20"/>
              </w:rPr>
              <w:t>Autoridad</w:t>
            </w:r>
            <w:proofErr w:type="spellEnd"/>
            <w:r w:rsidRPr="00CF54C1">
              <w:rPr>
                <w:rFonts w:ascii="Calibri" w:hAnsi="Calibri"/>
                <w:sz w:val="20"/>
              </w:rPr>
              <w:t xml:space="preserve"> Nacional del </w:t>
            </w:r>
            <w:proofErr w:type="spellStart"/>
            <w:r w:rsidRPr="00CF54C1">
              <w:rPr>
                <w:rFonts w:ascii="Calibri" w:hAnsi="Calibri"/>
                <w:sz w:val="20"/>
              </w:rPr>
              <w:t>Ambiente</w:t>
            </w:r>
            <w:proofErr w:type="spellEnd"/>
            <w:r w:rsidRPr="00CF54C1">
              <w:rPr>
                <w:rFonts w:ascii="Calibri" w:hAnsi="Calibri"/>
                <w:sz w:val="20"/>
              </w:rPr>
              <w:t xml:space="preserve"> (equivalent to </w:t>
            </w:r>
            <w:r w:rsidR="004D4326" w:rsidRPr="00CF54C1">
              <w:rPr>
                <w:rFonts w:ascii="Calibri" w:hAnsi="Calibri"/>
                <w:sz w:val="20"/>
              </w:rPr>
              <w:t>Ministry</w:t>
            </w:r>
            <w:r w:rsidRPr="00CF54C1">
              <w:rPr>
                <w:rFonts w:ascii="Calibri" w:hAnsi="Calibri"/>
                <w:sz w:val="20"/>
              </w:rPr>
              <w:t xml:space="preserve"> of Environment) and the </w:t>
            </w:r>
            <w:proofErr w:type="spellStart"/>
            <w:r w:rsidRPr="00CF54C1">
              <w:rPr>
                <w:rFonts w:ascii="Calibri" w:hAnsi="Calibri"/>
                <w:sz w:val="20"/>
              </w:rPr>
              <w:t>Autoridad</w:t>
            </w:r>
            <w:proofErr w:type="spellEnd"/>
            <w:r w:rsidRPr="00CF54C1">
              <w:rPr>
                <w:rFonts w:ascii="Calibri" w:hAnsi="Calibri"/>
                <w:sz w:val="20"/>
              </w:rPr>
              <w:t xml:space="preserve"> de los </w:t>
            </w:r>
            <w:proofErr w:type="spellStart"/>
            <w:r w:rsidRPr="00CF54C1">
              <w:rPr>
                <w:rFonts w:ascii="Calibri" w:hAnsi="Calibri"/>
                <w:sz w:val="20"/>
              </w:rPr>
              <w:t>Recursos</w:t>
            </w:r>
            <w:proofErr w:type="spellEnd"/>
            <w:r w:rsidRPr="00CF54C1">
              <w:rPr>
                <w:rFonts w:ascii="Calibri" w:hAnsi="Calibri"/>
                <w:sz w:val="20"/>
              </w:rPr>
              <w:t xml:space="preserve"> </w:t>
            </w:r>
            <w:proofErr w:type="spellStart"/>
            <w:r w:rsidRPr="00CF54C1">
              <w:rPr>
                <w:rFonts w:ascii="Calibri" w:hAnsi="Calibri"/>
                <w:sz w:val="20"/>
              </w:rPr>
              <w:t>Acuáticos</w:t>
            </w:r>
            <w:proofErr w:type="spellEnd"/>
            <w:r w:rsidRPr="00CF54C1">
              <w:rPr>
                <w:rFonts w:ascii="Calibri" w:hAnsi="Calibri"/>
                <w:sz w:val="20"/>
              </w:rPr>
              <w:t xml:space="preserve"> (Fisheries Authority). These frequent changes in UNDP counter</w:t>
            </w:r>
            <w:r w:rsidR="001D78EF" w:rsidRPr="00CF54C1">
              <w:rPr>
                <w:rFonts w:ascii="Calibri" w:hAnsi="Calibri"/>
                <w:sz w:val="20"/>
              </w:rPr>
              <w:t xml:space="preserve"> </w:t>
            </w:r>
            <w:r w:rsidRPr="00CF54C1">
              <w:rPr>
                <w:rFonts w:ascii="Calibri" w:hAnsi="Calibri"/>
                <w:sz w:val="20"/>
              </w:rPr>
              <w:t xml:space="preserve">parts has delayed processes affecting both </w:t>
            </w:r>
            <w:r w:rsidR="004D4326" w:rsidRPr="00CF54C1">
              <w:rPr>
                <w:rFonts w:ascii="Calibri" w:hAnsi="Calibri"/>
                <w:sz w:val="20"/>
              </w:rPr>
              <w:t>ongoing</w:t>
            </w:r>
            <w:r w:rsidRPr="00CF54C1">
              <w:rPr>
                <w:rFonts w:ascii="Calibri" w:hAnsi="Calibri"/>
                <w:sz w:val="20"/>
              </w:rPr>
              <w:t xml:space="preserve"> projects and future initiatives. Nevertheless, two projects have been incorporated to the environmental </w:t>
            </w:r>
            <w:r w:rsidR="004D4326" w:rsidRPr="00CF54C1">
              <w:rPr>
                <w:rFonts w:ascii="Calibri" w:hAnsi="Calibri"/>
                <w:sz w:val="20"/>
              </w:rPr>
              <w:t>portfolio</w:t>
            </w:r>
            <w:r w:rsidRPr="00CF54C1">
              <w:rPr>
                <w:rFonts w:ascii="Calibri" w:hAnsi="Calibri"/>
                <w:sz w:val="20"/>
              </w:rPr>
              <w:t>, addressing critical issues: Climate Change and REDD and mainstreaming biodiversity in fisheries and tourism sector</w:t>
            </w:r>
            <w:r w:rsidR="004D4326">
              <w:rPr>
                <w:rFonts w:ascii="Calibri" w:hAnsi="Calibri"/>
                <w:sz w:val="20"/>
              </w:rPr>
              <w:t>.</w:t>
            </w:r>
          </w:p>
          <w:p w:rsidR="004D4326" w:rsidRPr="004D4326" w:rsidRDefault="004D4326" w:rsidP="004D4326">
            <w:pPr>
              <w:pStyle w:val="NoSpacing"/>
              <w:spacing w:before="240" w:line="276" w:lineRule="auto"/>
              <w:jc w:val="both"/>
              <w:rPr>
                <w:sz w:val="20"/>
              </w:rPr>
            </w:pPr>
            <w:r w:rsidRPr="004D4326">
              <w:rPr>
                <w:sz w:val="20"/>
              </w:rPr>
              <w:t>On 17 September 2014, UNDP launched with the Government of Panama the four</w:t>
            </w:r>
            <w:r>
              <w:rPr>
                <w:sz w:val="20"/>
              </w:rPr>
              <w:t>th National MDG Progress Report, t</w:t>
            </w:r>
            <w:r w:rsidRPr="004D4326">
              <w:rPr>
                <w:sz w:val="20"/>
              </w:rPr>
              <w:t>he Country Office is currently supporting key dialogues on the Health reform and the conflict with indigenous people due to the impact of a Hydro electrical dam.</w:t>
            </w:r>
          </w:p>
          <w:p w:rsidR="004D4326" w:rsidRPr="00CF54C1" w:rsidRDefault="004D4326" w:rsidP="004D4326">
            <w:pPr>
              <w:jc w:val="both"/>
              <w:rPr>
                <w:rFonts w:ascii="Calibri" w:hAnsi="Calibri"/>
                <w:sz w:val="20"/>
              </w:rPr>
            </w:pPr>
          </w:p>
        </w:tc>
      </w:tr>
    </w:tbl>
    <w:p w:rsidR="00951D3E" w:rsidRDefault="00951D3E" w:rsidP="00843DD9">
      <w:pPr>
        <w:rPr>
          <w:rFonts w:ascii="Calibri" w:hAnsi="Calibri"/>
          <w:b/>
          <w:sz w:val="20"/>
        </w:rPr>
      </w:pPr>
    </w:p>
    <w:p w:rsidR="00CF54C1" w:rsidRDefault="00CF54C1" w:rsidP="00843DD9">
      <w:pPr>
        <w:rPr>
          <w:rFonts w:ascii="Calibri" w:hAnsi="Calibri"/>
          <w:b/>
          <w:sz w:val="20"/>
        </w:rPr>
      </w:pPr>
    </w:p>
    <w:p w:rsidR="00CF54C1" w:rsidRDefault="00CF54C1" w:rsidP="00843DD9">
      <w:pPr>
        <w:rPr>
          <w:rFonts w:ascii="Calibri" w:hAnsi="Calibri"/>
          <w:b/>
          <w:sz w:val="20"/>
        </w:rPr>
      </w:pPr>
    </w:p>
    <w:p w:rsidR="00CF54C1" w:rsidRPr="00F32AB1" w:rsidRDefault="00CF54C1" w:rsidP="00843DD9">
      <w:pPr>
        <w:rPr>
          <w:rFonts w:ascii="Calibri" w:hAnsi="Calibri"/>
          <w:b/>
          <w:sz w:val="20"/>
        </w:rPr>
      </w:pPr>
    </w:p>
    <w:p w:rsidR="00843DD9" w:rsidRPr="00F32AB1" w:rsidRDefault="00843DD9" w:rsidP="00843DD9">
      <w:pPr>
        <w:rPr>
          <w:rFonts w:ascii="Calibri" w:hAnsi="Calibri"/>
          <w:b/>
          <w:sz w:val="20"/>
        </w:rPr>
      </w:pPr>
    </w:p>
    <w:p w:rsidR="00E37E7A" w:rsidRDefault="00EA7740" w:rsidP="00843DD9">
      <w:pPr>
        <w:pStyle w:val="BodyText2"/>
        <w:rPr>
          <w:rFonts w:ascii="Calibri" w:hAnsi="Calibri"/>
          <w:b/>
          <w:sz w:val="24"/>
          <w:lang w:val="es-HN"/>
        </w:rPr>
      </w:pPr>
      <w:r w:rsidRPr="001C3A4C">
        <w:rPr>
          <w:rFonts w:ascii="Calibri" w:hAnsi="Calibri"/>
          <w:b/>
          <w:sz w:val="24"/>
          <w:lang w:val="es-HN"/>
        </w:rPr>
        <w:t xml:space="preserve">II. </w:t>
      </w:r>
      <w:r w:rsidR="00097364" w:rsidRPr="001C3A4C">
        <w:rPr>
          <w:rFonts w:ascii="Calibri" w:hAnsi="Calibri"/>
          <w:b/>
          <w:sz w:val="24"/>
          <w:lang w:val="es-HN"/>
        </w:rPr>
        <w:t xml:space="preserve">Recursos del Programa de País </w:t>
      </w:r>
    </w:p>
    <w:tbl>
      <w:tblPr>
        <w:tblW w:w="7906" w:type="dxa"/>
        <w:tblInd w:w="-10" w:type="dxa"/>
        <w:tblCellMar>
          <w:left w:w="70" w:type="dxa"/>
          <w:right w:w="70" w:type="dxa"/>
        </w:tblCellMar>
        <w:tblLook w:val="04A0" w:firstRow="1" w:lastRow="0" w:firstColumn="1" w:lastColumn="0" w:noHBand="0" w:noVBand="1"/>
      </w:tblPr>
      <w:tblGrid>
        <w:gridCol w:w="960"/>
        <w:gridCol w:w="2370"/>
        <w:gridCol w:w="1246"/>
        <w:gridCol w:w="1160"/>
        <w:gridCol w:w="2170"/>
      </w:tblGrid>
      <w:tr w:rsidR="00935644" w:rsidRPr="006767D0" w:rsidTr="003C78A8">
        <w:trPr>
          <w:trHeight w:val="375"/>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5644" w:rsidRPr="006767D0" w:rsidRDefault="00935644" w:rsidP="003C78A8">
            <w:pPr>
              <w:jc w:val="center"/>
              <w:rPr>
                <w:rFonts w:ascii="Calibri" w:hAnsi="Calibri" w:cs="Arial"/>
                <w:b/>
                <w:bCs/>
                <w:sz w:val="20"/>
                <w:lang w:val="es-ES" w:eastAsia="es-ES"/>
              </w:rPr>
            </w:pPr>
            <w:proofErr w:type="spellStart"/>
            <w:r w:rsidRPr="006767D0">
              <w:rPr>
                <w:rFonts w:ascii="Calibri" w:hAnsi="Calibri" w:cs="Arial"/>
                <w:b/>
                <w:bCs/>
                <w:sz w:val="20"/>
                <w:lang w:val="es-ES" w:eastAsia="es-ES"/>
              </w:rPr>
              <w:t>Year</w:t>
            </w:r>
            <w:proofErr w:type="spellEnd"/>
          </w:p>
        </w:tc>
        <w:tc>
          <w:tcPr>
            <w:tcW w:w="23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644" w:rsidRPr="006767D0" w:rsidRDefault="00935644" w:rsidP="003C78A8">
            <w:pPr>
              <w:jc w:val="center"/>
              <w:rPr>
                <w:rFonts w:ascii="Calibri" w:hAnsi="Calibri" w:cs="Arial"/>
                <w:b/>
                <w:bCs/>
                <w:sz w:val="20"/>
                <w:lang w:eastAsia="es-ES"/>
              </w:rPr>
            </w:pPr>
            <w:r w:rsidRPr="006767D0">
              <w:rPr>
                <w:rFonts w:ascii="Calibri" w:hAnsi="Calibri" w:cs="Arial"/>
                <w:b/>
                <w:bCs/>
                <w:sz w:val="20"/>
                <w:lang w:eastAsia="es-ES"/>
              </w:rPr>
              <w:t>Programme Delivery (USD m) including TRAC</w:t>
            </w:r>
          </w:p>
        </w:tc>
        <w:tc>
          <w:tcPr>
            <w:tcW w:w="12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5644" w:rsidRPr="006767D0" w:rsidRDefault="00935644" w:rsidP="003C78A8">
            <w:pPr>
              <w:jc w:val="center"/>
              <w:rPr>
                <w:rFonts w:ascii="Calibri" w:hAnsi="Calibri" w:cs="Arial"/>
                <w:b/>
                <w:bCs/>
                <w:sz w:val="20"/>
                <w:lang w:val="es-ES" w:eastAsia="es-ES"/>
              </w:rPr>
            </w:pPr>
            <w:r w:rsidRPr="006767D0">
              <w:rPr>
                <w:rFonts w:ascii="Calibri" w:hAnsi="Calibri" w:cs="Arial"/>
                <w:b/>
                <w:bCs/>
                <w:sz w:val="20"/>
                <w:lang w:val="es-ES" w:eastAsia="es-ES"/>
              </w:rPr>
              <w:t>Core/Regular  (USD)</w:t>
            </w:r>
          </w:p>
        </w:tc>
        <w:tc>
          <w:tcPr>
            <w:tcW w:w="11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644" w:rsidRPr="006767D0" w:rsidRDefault="00935644" w:rsidP="003C78A8">
            <w:pPr>
              <w:jc w:val="center"/>
              <w:rPr>
                <w:rFonts w:ascii="Calibri" w:hAnsi="Calibri" w:cs="Arial"/>
                <w:b/>
                <w:bCs/>
                <w:sz w:val="20"/>
                <w:lang w:eastAsia="es-ES"/>
              </w:rPr>
            </w:pPr>
            <w:r w:rsidRPr="006767D0">
              <w:rPr>
                <w:rFonts w:ascii="Calibri" w:hAnsi="Calibri" w:cs="Arial"/>
                <w:b/>
                <w:bCs/>
                <w:sz w:val="20"/>
                <w:lang w:eastAsia="es-ES"/>
              </w:rPr>
              <w:t>Non-Core/Other (USD m)</w:t>
            </w:r>
          </w:p>
        </w:tc>
        <w:tc>
          <w:tcPr>
            <w:tcW w:w="21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644" w:rsidRPr="006767D0" w:rsidRDefault="00935644" w:rsidP="003C78A8">
            <w:pPr>
              <w:jc w:val="center"/>
              <w:rPr>
                <w:rFonts w:ascii="Calibri" w:hAnsi="Calibri" w:cs="Arial"/>
                <w:b/>
                <w:bCs/>
                <w:sz w:val="20"/>
                <w:lang w:val="es-ES" w:eastAsia="es-ES"/>
              </w:rPr>
            </w:pPr>
            <w:r w:rsidRPr="006767D0">
              <w:rPr>
                <w:rFonts w:ascii="Calibri" w:hAnsi="Calibri" w:cs="Arial"/>
                <w:b/>
                <w:bCs/>
                <w:sz w:val="20"/>
                <w:lang w:val="es-ES" w:eastAsia="es-ES"/>
              </w:rPr>
              <w:t>Core/Non-</w:t>
            </w:r>
            <w:proofErr w:type="spellStart"/>
            <w:r w:rsidRPr="006767D0">
              <w:rPr>
                <w:rFonts w:ascii="Calibri" w:hAnsi="Calibri" w:cs="Arial"/>
                <w:b/>
                <w:bCs/>
                <w:sz w:val="20"/>
                <w:lang w:val="es-ES" w:eastAsia="es-ES"/>
              </w:rPr>
              <w:t>core</w:t>
            </w:r>
            <w:proofErr w:type="spellEnd"/>
            <w:r w:rsidRPr="006767D0">
              <w:rPr>
                <w:rFonts w:ascii="Calibri" w:hAnsi="Calibri" w:cs="Arial"/>
                <w:b/>
                <w:bCs/>
                <w:sz w:val="20"/>
                <w:lang w:val="es-ES" w:eastAsia="es-ES"/>
              </w:rPr>
              <w:t xml:space="preserve"> ratio (%)</w:t>
            </w:r>
          </w:p>
        </w:tc>
      </w:tr>
      <w:tr w:rsidR="00935644" w:rsidRPr="006767D0" w:rsidTr="003C78A8">
        <w:trPr>
          <w:trHeight w:val="480"/>
        </w:trPr>
        <w:tc>
          <w:tcPr>
            <w:tcW w:w="960" w:type="dxa"/>
            <w:vMerge/>
            <w:tcBorders>
              <w:top w:val="single" w:sz="8" w:space="0" w:color="auto"/>
              <w:left w:val="single" w:sz="8" w:space="0" w:color="auto"/>
              <w:bottom w:val="single" w:sz="8" w:space="0" w:color="auto"/>
              <w:right w:val="single" w:sz="8" w:space="0" w:color="auto"/>
            </w:tcBorders>
            <w:vAlign w:val="center"/>
            <w:hideMark/>
          </w:tcPr>
          <w:p w:rsidR="00935644" w:rsidRPr="006767D0" w:rsidRDefault="00935644" w:rsidP="003C78A8">
            <w:pPr>
              <w:rPr>
                <w:rFonts w:ascii="Calibri" w:hAnsi="Calibri" w:cs="Arial"/>
                <w:b/>
                <w:bCs/>
                <w:sz w:val="20"/>
                <w:lang w:val="es-ES" w:eastAsia="es-ES"/>
              </w:rPr>
            </w:pPr>
          </w:p>
        </w:tc>
        <w:tc>
          <w:tcPr>
            <w:tcW w:w="2370" w:type="dxa"/>
            <w:vMerge/>
            <w:tcBorders>
              <w:top w:val="single" w:sz="8" w:space="0" w:color="auto"/>
              <w:left w:val="single" w:sz="8" w:space="0" w:color="auto"/>
              <w:bottom w:val="single" w:sz="8" w:space="0" w:color="auto"/>
              <w:right w:val="single" w:sz="8" w:space="0" w:color="auto"/>
            </w:tcBorders>
            <w:vAlign w:val="center"/>
            <w:hideMark/>
          </w:tcPr>
          <w:p w:rsidR="00935644" w:rsidRPr="006767D0" w:rsidRDefault="00935644" w:rsidP="003C78A8">
            <w:pPr>
              <w:rPr>
                <w:rFonts w:ascii="Calibri" w:hAnsi="Calibri" w:cs="Arial"/>
                <w:b/>
                <w:bCs/>
                <w:sz w:val="20"/>
                <w:lang w:val="es-ES" w:eastAsia="es-ES"/>
              </w:rPr>
            </w:pPr>
          </w:p>
        </w:tc>
        <w:tc>
          <w:tcPr>
            <w:tcW w:w="1246" w:type="dxa"/>
            <w:vMerge/>
            <w:tcBorders>
              <w:top w:val="single" w:sz="8" w:space="0" w:color="auto"/>
              <w:left w:val="single" w:sz="8" w:space="0" w:color="auto"/>
              <w:bottom w:val="single" w:sz="8" w:space="0" w:color="000000"/>
              <w:right w:val="single" w:sz="8" w:space="0" w:color="auto"/>
            </w:tcBorders>
            <w:vAlign w:val="center"/>
            <w:hideMark/>
          </w:tcPr>
          <w:p w:rsidR="00935644" w:rsidRPr="006767D0" w:rsidRDefault="00935644" w:rsidP="003C78A8">
            <w:pPr>
              <w:rPr>
                <w:rFonts w:ascii="Calibri" w:hAnsi="Calibri" w:cs="Arial"/>
                <w:b/>
                <w:bCs/>
                <w:sz w:val="20"/>
                <w:lang w:val="es-ES" w:eastAsia="es-ES"/>
              </w:rPr>
            </w:pPr>
          </w:p>
        </w:tc>
        <w:tc>
          <w:tcPr>
            <w:tcW w:w="1160" w:type="dxa"/>
            <w:vMerge/>
            <w:tcBorders>
              <w:top w:val="single" w:sz="8" w:space="0" w:color="auto"/>
              <w:left w:val="single" w:sz="8" w:space="0" w:color="auto"/>
              <w:bottom w:val="single" w:sz="8" w:space="0" w:color="auto"/>
              <w:right w:val="single" w:sz="8" w:space="0" w:color="auto"/>
            </w:tcBorders>
            <w:vAlign w:val="center"/>
            <w:hideMark/>
          </w:tcPr>
          <w:p w:rsidR="00935644" w:rsidRPr="006767D0" w:rsidRDefault="00935644" w:rsidP="003C78A8">
            <w:pPr>
              <w:rPr>
                <w:rFonts w:ascii="Calibri" w:hAnsi="Calibri" w:cs="Arial"/>
                <w:b/>
                <w:bCs/>
                <w:sz w:val="20"/>
                <w:lang w:val="es-ES" w:eastAsia="es-ES"/>
              </w:rPr>
            </w:pPr>
          </w:p>
        </w:tc>
        <w:tc>
          <w:tcPr>
            <w:tcW w:w="2170" w:type="dxa"/>
            <w:vMerge/>
            <w:tcBorders>
              <w:top w:val="single" w:sz="8" w:space="0" w:color="auto"/>
              <w:left w:val="single" w:sz="8" w:space="0" w:color="auto"/>
              <w:bottom w:val="single" w:sz="8" w:space="0" w:color="auto"/>
              <w:right w:val="single" w:sz="8" w:space="0" w:color="auto"/>
            </w:tcBorders>
            <w:vAlign w:val="center"/>
            <w:hideMark/>
          </w:tcPr>
          <w:p w:rsidR="00935644" w:rsidRPr="006767D0" w:rsidRDefault="00935644" w:rsidP="003C78A8">
            <w:pPr>
              <w:rPr>
                <w:rFonts w:ascii="Calibri" w:hAnsi="Calibri" w:cs="Arial"/>
                <w:b/>
                <w:bCs/>
                <w:sz w:val="20"/>
                <w:lang w:val="es-ES" w:eastAsia="es-ES"/>
              </w:rPr>
            </w:pPr>
          </w:p>
        </w:tc>
      </w:tr>
      <w:tr w:rsidR="00935644" w:rsidRPr="006767D0" w:rsidTr="004A066F">
        <w:trPr>
          <w:trHeight w:val="4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2011</w:t>
            </w:r>
          </w:p>
        </w:tc>
        <w:tc>
          <w:tcPr>
            <w:tcW w:w="2370" w:type="dxa"/>
            <w:tcBorders>
              <w:top w:val="nil"/>
              <w:left w:val="nil"/>
              <w:bottom w:val="single" w:sz="8" w:space="0" w:color="auto"/>
              <w:right w:val="single" w:sz="8" w:space="0" w:color="auto"/>
            </w:tcBorders>
            <w:shd w:val="clear" w:color="auto" w:fill="auto"/>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38,364,083</w:t>
            </w:r>
          </w:p>
        </w:tc>
        <w:tc>
          <w:tcPr>
            <w:tcW w:w="1246" w:type="dxa"/>
            <w:tcBorders>
              <w:top w:val="nil"/>
              <w:left w:val="nil"/>
              <w:bottom w:val="single" w:sz="8" w:space="0" w:color="auto"/>
              <w:right w:val="single" w:sz="8" w:space="0" w:color="auto"/>
            </w:tcBorders>
            <w:shd w:val="clear" w:color="auto" w:fill="auto"/>
            <w:noWrap/>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334,262</w:t>
            </w:r>
          </w:p>
        </w:tc>
        <w:tc>
          <w:tcPr>
            <w:tcW w:w="1160" w:type="dxa"/>
            <w:tcBorders>
              <w:top w:val="nil"/>
              <w:left w:val="nil"/>
              <w:bottom w:val="single" w:sz="8" w:space="0" w:color="auto"/>
              <w:right w:val="single" w:sz="8" w:space="0" w:color="auto"/>
            </w:tcBorders>
            <w:shd w:val="clear" w:color="auto" w:fill="auto"/>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38,029,821</w:t>
            </w:r>
          </w:p>
        </w:tc>
        <w:tc>
          <w:tcPr>
            <w:tcW w:w="2170" w:type="dxa"/>
            <w:tcBorders>
              <w:top w:val="nil"/>
              <w:left w:val="nil"/>
              <w:bottom w:val="single" w:sz="8" w:space="0" w:color="auto"/>
              <w:right w:val="single" w:sz="8" w:space="0" w:color="auto"/>
            </w:tcBorders>
            <w:shd w:val="clear" w:color="auto" w:fill="auto"/>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0.88%</w:t>
            </w:r>
          </w:p>
        </w:tc>
      </w:tr>
      <w:tr w:rsidR="00935644" w:rsidRPr="006767D0" w:rsidTr="004A066F">
        <w:trPr>
          <w:trHeight w:val="37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2012</w:t>
            </w:r>
          </w:p>
        </w:tc>
        <w:tc>
          <w:tcPr>
            <w:tcW w:w="2370"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28,399,150</w:t>
            </w:r>
          </w:p>
        </w:tc>
        <w:tc>
          <w:tcPr>
            <w:tcW w:w="1246"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350,000</w:t>
            </w:r>
          </w:p>
        </w:tc>
        <w:tc>
          <w:tcPr>
            <w:tcW w:w="1160" w:type="dxa"/>
            <w:tcBorders>
              <w:top w:val="nil"/>
              <w:left w:val="nil"/>
              <w:bottom w:val="single" w:sz="8" w:space="0" w:color="auto"/>
              <w:right w:val="single" w:sz="8" w:space="0" w:color="auto"/>
            </w:tcBorders>
            <w:shd w:val="clear" w:color="auto" w:fill="auto"/>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28,049,150</w:t>
            </w:r>
          </w:p>
        </w:tc>
        <w:tc>
          <w:tcPr>
            <w:tcW w:w="2170" w:type="dxa"/>
            <w:tcBorders>
              <w:top w:val="nil"/>
              <w:left w:val="nil"/>
              <w:bottom w:val="single" w:sz="8" w:space="0" w:color="auto"/>
              <w:right w:val="single" w:sz="8" w:space="0" w:color="auto"/>
            </w:tcBorders>
            <w:shd w:val="clear" w:color="auto" w:fill="auto"/>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1.25%</w:t>
            </w:r>
          </w:p>
        </w:tc>
      </w:tr>
      <w:tr w:rsidR="00935644" w:rsidRPr="006767D0" w:rsidTr="004A066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2013</w:t>
            </w:r>
          </w:p>
        </w:tc>
        <w:tc>
          <w:tcPr>
            <w:tcW w:w="2370"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30,286,398</w:t>
            </w:r>
          </w:p>
        </w:tc>
        <w:tc>
          <w:tcPr>
            <w:tcW w:w="1246"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537,816</w:t>
            </w:r>
          </w:p>
        </w:tc>
        <w:tc>
          <w:tcPr>
            <w:tcW w:w="1160" w:type="dxa"/>
            <w:tcBorders>
              <w:top w:val="nil"/>
              <w:left w:val="nil"/>
              <w:bottom w:val="single" w:sz="8" w:space="0" w:color="auto"/>
              <w:right w:val="single" w:sz="8" w:space="0" w:color="auto"/>
            </w:tcBorders>
            <w:shd w:val="clear" w:color="auto" w:fill="auto"/>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29,748,582</w:t>
            </w:r>
          </w:p>
        </w:tc>
        <w:tc>
          <w:tcPr>
            <w:tcW w:w="2170" w:type="dxa"/>
            <w:tcBorders>
              <w:top w:val="nil"/>
              <w:left w:val="nil"/>
              <w:bottom w:val="single" w:sz="8" w:space="0" w:color="auto"/>
              <w:right w:val="single" w:sz="8" w:space="0" w:color="auto"/>
            </w:tcBorders>
            <w:shd w:val="clear" w:color="auto" w:fill="auto"/>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1.81%</w:t>
            </w:r>
          </w:p>
        </w:tc>
      </w:tr>
      <w:tr w:rsidR="00935644" w:rsidRPr="006767D0" w:rsidTr="004A066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2014</w:t>
            </w:r>
          </w:p>
        </w:tc>
        <w:tc>
          <w:tcPr>
            <w:tcW w:w="2370"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ind w:left="720"/>
              <w:jc w:val="right"/>
              <w:rPr>
                <w:rFonts w:ascii="Calibri" w:hAnsi="Calibri" w:cs="Arial"/>
                <w:sz w:val="20"/>
                <w:lang w:val="es-ES" w:eastAsia="es-ES"/>
              </w:rPr>
            </w:pPr>
            <w:r w:rsidRPr="00B24CCB">
              <w:rPr>
                <w:rFonts w:ascii="Calibri" w:hAnsi="Calibri" w:cs="Arial"/>
                <w:sz w:val="20"/>
                <w:lang w:val="es-ES" w:eastAsia="es-ES"/>
              </w:rPr>
              <w:t>14,336,886</w:t>
            </w:r>
          </w:p>
        </w:tc>
        <w:tc>
          <w:tcPr>
            <w:tcW w:w="1246"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378,535</w:t>
            </w:r>
          </w:p>
        </w:tc>
        <w:tc>
          <w:tcPr>
            <w:tcW w:w="1160" w:type="dxa"/>
            <w:tcBorders>
              <w:top w:val="nil"/>
              <w:left w:val="nil"/>
              <w:bottom w:val="single" w:sz="8" w:space="0" w:color="auto"/>
              <w:right w:val="single" w:sz="8" w:space="0" w:color="auto"/>
            </w:tcBorders>
            <w:shd w:val="clear" w:color="auto" w:fill="auto"/>
            <w:vAlign w:val="center"/>
            <w:hideMark/>
          </w:tcPr>
          <w:p w:rsidR="00935644" w:rsidRPr="00B24CCB" w:rsidRDefault="00935644" w:rsidP="004A066F">
            <w:pPr>
              <w:jc w:val="right"/>
              <w:rPr>
                <w:rFonts w:ascii="Calibri" w:hAnsi="Calibri" w:cs="Arial"/>
                <w:sz w:val="20"/>
                <w:lang w:val="es-ES" w:eastAsia="es-ES"/>
              </w:rPr>
            </w:pPr>
            <w:r w:rsidRPr="00B24CCB">
              <w:rPr>
                <w:rFonts w:ascii="Calibri" w:hAnsi="Calibri" w:cs="Arial"/>
                <w:sz w:val="20"/>
                <w:lang w:val="es-ES" w:eastAsia="es-ES"/>
              </w:rPr>
              <w:t>13,958,351</w:t>
            </w:r>
          </w:p>
        </w:tc>
        <w:tc>
          <w:tcPr>
            <w:tcW w:w="2170" w:type="dxa"/>
            <w:tcBorders>
              <w:top w:val="nil"/>
              <w:left w:val="nil"/>
              <w:bottom w:val="single" w:sz="8" w:space="0" w:color="auto"/>
              <w:right w:val="single" w:sz="8" w:space="0" w:color="auto"/>
            </w:tcBorders>
            <w:shd w:val="clear" w:color="auto" w:fill="auto"/>
            <w:noWrap/>
            <w:vAlign w:val="center"/>
            <w:hideMark/>
          </w:tcPr>
          <w:p w:rsidR="00935644" w:rsidRPr="00B24CCB" w:rsidRDefault="00935644" w:rsidP="004A066F">
            <w:pPr>
              <w:jc w:val="center"/>
              <w:rPr>
                <w:rFonts w:ascii="Calibri" w:hAnsi="Calibri" w:cs="Arial"/>
                <w:sz w:val="20"/>
                <w:lang w:val="es-ES" w:eastAsia="es-ES"/>
              </w:rPr>
            </w:pPr>
            <w:r w:rsidRPr="00B24CCB">
              <w:rPr>
                <w:rFonts w:ascii="Calibri" w:hAnsi="Calibri" w:cs="Arial"/>
                <w:sz w:val="20"/>
                <w:lang w:val="es-ES" w:eastAsia="es-ES"/>
              </w:rPr>
              <w:t>2.71%</w:t>
            </w:r>
          </w:p>
        </w:tc>
      </w:tr>
      <w:tr w:rsidR="00935644" w:rsidRPr="006767D0" w:rsidTr="004A066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935644" w:rsidRPr="00B24CCB" w:rsidRDefault="00935644" w:rsidP="004A066F">
            <w:pPr>
              <w:jc w:val="center"/>
              <w:rPr>
                <w:rFonts w:ascii="Calibri" w:hAnsi="Calibri" w:cs="Arial"/>
                <w:b/>
                <w:bCs/>
                <w:sz w:val="20"/>
                <w:lang w:val="es-ES" w:eastAsia="es-ES"/>
              </w:rPr>
            </w:pPr>
            <w:r w:rsidRPr="00B24CCB">
              <w:rPr>
                <w:rFonts w:ascii="Calibri" w:hAnsi="Calibri" w:cs="Arial"/>
                <w:b/>
                <w:bCs/>
                <w:sz w:val="20"/>
                <w:lang w:val="es-ES" w:eastAsia="es-ES"/>
              </w:rPr>
              <w:t>Total</w:t>
            </w:r>
          </w:p>
        </w:tc>
        <w:tc>
          <w:tcPr>
            <w:tcW w:w="2370"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ind w:left="720"/>
              <w:jc w:val="right"/>
              <w:rPr>
                <w:rFonts w:ascii="Calibri" w:hAnsi="Calibri" w:cs="Arial"/>
                <w:b/>
                <w:bCs/>
                <w:sz w:val="20"/>
                <w:lang w:val="es-ES" w:eastAsia="es-ES"/>
              </w:rPr>
            </w:pPr>
            <w:r w:rsidRPr="00B24CCB">
              <w:rPr>
                <w:rFonts w:ascii="Calibri" w:hAnsi="Calibri" w:cs="Arial"/>
                <w:b/>
                <w:bCs/>
                <w:sz w:val="20"/>
                <w:lang w:val="es-ES" w:eastAsia="es-ES"/>
              </w:rPr>
              <w:t>111,386,517</w:t>
            </w:r>
          </w:p>
        </w:tc>
        <w:tc>
          <w:tcPr>
            <w:tcW w:w="1246"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right"/>
              <w:rPr>
                <w:rFonts w:ascii="Calibri" w:hAnsi="Calibri" w:cs="Arial"/>
                <w:b/>
                <w:bCs/>
                <w:sz w:val="20"/>
                <w:lang w:val="es-ES" w:eastAsia="es-ES"/>
              </w:rPr>
            </w:pPr>
            <w:r w:rsidRPr="00B24CCB">
              <w:rPr>
                <w:rFonts w:ascii="Calibri" w:hAnsi="Calibri" w:cs="Arial"/>
                <w:b/>
                <w:bCs/>
                <w:sz w:val="20"/>
                <w:lang w:val="es-ES" w:eastAsia="es-ES"/>
              </w:rPr>
              <w:t>1,610,613</w:t>
            </w:r>
          </w:p>
        </w:tc>
        <w:tc>
          <w:tcPr>
            <w:tcW w:w="1160"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center"/>
              <w:rPr>
                <w:rFonts w:ascii="Calibri" w:hAnsi="Calibri" w:cs="Arial"/>
                <w:sz w:val="20"/>
                <w:lang w:val="es-ES" w:eastAsia="es-ES"/>
              </w:rPr>
            </w:pPr>
          </w:p>
        </w:tc>
        <w:tc>
          <w:tcPr>
            <w:tcW w:w="2170" w:type="dxa"/>
            <w:tcBorders>
              <w:top w:val="nil"/>
              <w:left w:val="nil"/>
              <w:bottom w:val="single" w:sz="8" w:space="0" w:color="auto"/>
              <w:right w:val="single" w:sz="8" w:space="0" w:color="auto"/>
            </w:tcBorders>
            <w:shd w:val="clear" w:color="000000" w:fill="FFFFFF"/>
            <w:noWrap/>
            <w:vAlign w:val="center"/>
            <w:hideMark/>
          </w:tcPr>
          <w:p w:rsidR="00935644" w:rsidRPr="00B24CCB" w:rsidRDefault="00935644" w:rsidP="004A066F">
            <w:pPr>
              <w:jc w:val="center"/>
              <w:rPr>
                <w:rFonts w:ascii="Calibri" w:hAnsi="Calibri" w:cs="Arial"/>
                <w:sz w:val="20"/>
                <w:lang w:val="es-ES" w:eastAsia="es-ES"/>
              </w:rPr>
            </w:pPr>
          </w:p>
        </w:tc>
      </w:tr>
    </w:tbl>
    <w:p w:rsidR="00935644" w:rsidRDefault="00935644" w:rsidP="00843DD9">
      <w:pPr>
        <w:pStyle w:val="BodyText2"/>
        <w:rPr>
          <w:rFonts w:ascii="Calibri" w:hAnsi="Calibri"/>
          <w:b/>
          <w:sz w:val="24"/>
          <w:lang w:val="es-H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F9616B" w:rsidTr="00935644">
        <w:tc>
          <w:tcPr>
            <w:tcW w:w="13950" w:type="dxa"/>
          </w:tcPr>
          <w:p w:rsidR="002547CF" w:rsidRPr="00097364" w:rsidRDefault="00097364" w:rsidP="00935644">
            <w:pPr>
              <w:pStyle w:val="BodyText2"/>
              <w:rPr>
                <w:rFonts w:ascii="Calibri" w:hAnsi="Calibri"/>
                <w:b/>
                <w:lang w:val="es-HN"/>
              </w:rPr>
            </w:pPr>
            <w:r w:rsidRPr="00097364">
              <w:rPr>
                <w:rFonts w:ascii="Calibri" w:hAnsi="Calibri"/>
                <w:b/>
                <w:lang w:val="es-HN"/>
              </w:rPr>
              <w:t>Fuente</w:t>
            </w:r>
            <w:r w:rsidR="002547CF" w:rsidRPr="00097364">
              <w:rPr>
                <w:rFonts w:ascii="Calibri" w:hAnsi="Calibri"/>
                <w:b/>
                <w:lang w:val="es-HN"/>
              </w:rPr>
              <w:t xml:space="preserve">:  </w:t>
            </w:r>
            <w:r w:rsidR="007022B5">
              <w:rPr>
                <w:rFonts w:ascii="Calibri" w:hAnsi="Calibri"/>
                <w:b/>
                <w:lang w:val="es-HN"/>
              </w:rPr>
              <w:t xml:space="preserve">ROAR </w:t>
            </w:r>
          </w:p>
        </w:tc>
      </w:tr>
      <w:tr w:rsidR="00B64ACA" w:rsidRPr="00F9616B" w:rsidTr="00935644">
        <w:tc>
          <w:tcPr>
            <w:tcW w:w="13950" w:type="dxa"/>
          </w:tcPr>
          <w:p w:rsidR="008D791F" w:rsidRPr="00097364" w:rsidRDefault="008D791F" w:rsidP="00D53789">
            <w:pPr>
              <w:pStyle w:val="BodyText2"/>
              <w:rPr>
                <w:rFonts w:ascii="Calibri" w:hAnsi="Calibri"/>
                <w:b/>
                <w:lang w:val="es-HN"/>
              </w:rPr>
            </w:pPr>
          </w:p>
        </w:tc>
      </w:tr>
    </w:tbl>
    <w:p w:rsidR="00635929" w:rsidRPr="00097364" w:rsidRDefault="00635929" w:rsidP="005E0C05">
      <w:pPr>
        <w:pStyle w:val="BodyText2"/>
        <w:rPr>
          <w:rFonts w:ascii="Times New Roman" w:hAnsi="Times New Roman"/>
          <w:sz w:val="24"/>
          <w:lang w:val="es-HN"/>
        </w:rPr>
      </w:pPr>
    </w:p>
    <w:sectPr w:rsidR="00635929" w:rsidRPr="00097364" w:rsidSect="0037523B">
      <w:endnotePr>
        <w:numFmt w:val="decimal"/>
      </w:endnotePr>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0B" w:rsidRDefault="008D030B">
      <w:r>
        <w:separator/>
      </w:r>
    </w:p>
  </w:endnote>
  <w:endnote w:type="continuationSeparator" w:id="0">
    <w:p w:rsidR="008D030B" w:rsidRDefault="008D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09" w:rsidRDefault="005D41C2">
    <w:pPr>
      <w:pStyle w:val="Footer"/>
      <w:jc w:val="center"/>
    </w:pPr>
    <w:r>
      <w:fldChar w:fldCharType="begin"/>
    </w:r>
    <w:r>
      <w:instrText xml:space="preserve"> PAGE   \* MERGEFORMAT </w:instrText>
    </w:r>
    <w:r>
      <w:fldChar w:fldCharType="separate"/>
    </w:r>
    <w:r w:rsidR="00580396">
      <w:rPr>
        <w:noProof/>
      </w:rPr>
      <w:t>3</w:t>
    </w:r>
    <w:r>
      <w:rPr>
        <w:noProof/>
      </w:rPr>
      <w:fldChar w:fldCharType="end"/>
    </w:r>
  </w:p>
  <w:p w:rsidR="00521A09" w:rsidRDefault="00521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0B" w:rsidRDefault="008D030B">
      <w:r>
        <w:separator/>
      </w:r>
    </w:p>
  </w:footnote>
  <w:footnote w:type="continuationSeparator" w:id="0">
    <w:p w:rsidR="008D030B" w:rsidRDefault="008D030B">
      <w:r>
        <w:continuationSeparator/>
      </w:r>
    </w:p>
  </w:footnote>
  <w:footnote w:id="1">
    <w:p w:rsidR="00F32AB1" w:rsidRPr="00032A1C" w:rsidRDefault="00F32AB1" w:rsidP="00F32AB1">
      <w:pPr>
        <w:pStyle w:val="FootnoteText"/>
        <w:rPr>
          <w:sz w:val="18"/>
          <w:szCs w:val="18"/>
        </w:rPr>
      </w:pPr>
      <w:r w:rsidRPr="00032A1C">
        <w:rPr>
          <w:rStyle w:val="FootnoteReference"/>
          <w:rFonts w:eastAsia="Calibri"/>
          <w:sz w:val="18"/>
          <w:szCs w:val="18"/>
        </w:rPr>
        <w:footnoteRef/>
      </w:r>
      <w:r w:rsidRPr="00032A1C">
        <w:rPr>
          <w:sz w:val="18"/>
          <w:szCs w:val="18"/>
        </w:rPr>
        <w:t xml:space="preserve"> IV MDG Report Panama (2014)  </w:t>
      </w:r>
    </w:p>
  </w:footnote>
  <w:footnote w:id="2">
    <w:p w:rsidR="00F32AB1" w:rsidRPr="00032A1C" w:rsidRDefault="00F32AB1" w:rsidP="00F32AB1">
      <w:pPr>
        <w:pStyle w:val="FootnoteText"/>
        <w:rPr>
          <w:sz w:val="18"/>
          <w:szCs w:val="18"/>
        </w:rPr>
      </w:pPr>
      <w:r w:rsidRPr="00032A1C">
        <w:rPr>
          <w:rStyle w:val="FootnoteReference"/>
          <w:rFonts w:eastAsia="Calibri"/>
          <w:sz w:val="18"/>
          <w:szCs w:val="18"/>
        </w:rPr>
        <w:footnoteRef/>
      </w:r>
      <w:r w:rsidRPr="00032A1C">
        <w:rPr>
          <w:sz w:val="18"/>
          <w:szCs w:val="18"/>
        </w:rPr>
        <w:t xml:space="preserve"> Government Strategic Plan (PEG) 2015-2019. December 2014   </w:t>
      </w:r>
    </w:p>
  </w:footnote>
  <w:footnote w:id="3">
    <w:p w:rsidR="00F32AB1" w:rsidRPr="00674E41" w:rsidRDefault="00F32AB1" w:rsidP="00F32AB1">
      <w:pPr>
        <w:pStyle w:val="FootnoteText"/>
      </w:pPr>
      <w:r w:rsidRPr="00032A1C">
        <w:rPr>
          <w:rStyle w:val="FootnoteReference"/>
          <w:rFonts w:eastAsia="Calibri"/>
          <w:sz w:val="18"/>
          <w:szCs w:val="18"/>
        </w:rPr>
        <w:footnoteRef/>
      </w:r>
      <w:r w:rsidRPr="00032A1C">
        <w:rPr>
          <w:sz w:val="18"/>
          <w:szCs w:val="18"/>
        </w:rPr>
        <w:t xml:space="preserve"> Final Evaluation Report-CPD Panama 2012-2015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215"/>
    <w:multiLevelType w:val="hybridMultilevel"/>
    <w:tmpl w:val="57D6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C7F9B"/>
    <w:multiLevelType w:val="hybridMultilevel"/>
    <w:tmpl w:val="7C727EF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36409F"/>
    <w:multiLevelType w:val="hybridMultilevel"/>
    <w:tmpl w:val="1B165DC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1646B37"/>
    <w:multiLevelType w:val="hybridMultilevel"/>
    <w:tmpl w:val="618EFBF6"/>
    <w:lvl w:ilvl="0" w:tplc="480A0019">
      <w:start w:val="1"/>
      <w:numFmt w:val="lowerLetter"/>
      <w:lvlText w:val="%1."/>
      <w:lvlJc w:val="left"/>
      <w:pPr>
        <w:ind w:left="720" w:hanging="360"/>
      </w:pPr>
      <w:rPr>
        <w:rFonts w:ascii="Times New Roman" w:hAnsi="Times New Roman" w:hint="default"/>
        <w:color w:val="auto"/>
        <w:sz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1F6409B"/>
    <w:multiLevelType w:val="hybridMultilevel"/>
    <w:tmpl w:val="B246B212"/>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62F01"/>
    <w:multiLevelType w:val="hybridMultilevel"/>
    <w:tmpl w:val="1AF6BADA"/>
    <w:lvl w:ilvl="0" w:tplc="D11A60E4">
      <w:start w:val="1"/>
      <w:numFmt w:val="lowerLetter"/>
      <w:lvlText w:val="%1."/>
      <w:lvlJc w:val="left"/>
      <w:pPr>
        <w:ind w:left="720" w:hanging="360"/>
      </w:pPr>
      <w:rPr>
        <w:rFonts w:ascii="Calibri" w:eastAsia="Times New Roman" w:hAnsi="Calibri"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FF231BB"/>
    <w:multiLevelType w:val="hybridMultilevel"/>
    <w:tmpl w:val="1EECB29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21917DA4"/>
    <w:multiLevelType w:val="hybridMultilevel"/>
    <w:tmpl w:val="8B5A7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2A6951"/>
    <w:multiLevelType w:val="multilevel"/>
    <w:tmpl w:val="2026DC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6311B4"/>
    <w:multiLevelType w:val="hybridMultilevel"/>
    <w:tmpl w:val="4DA064B0"/>
    <w:lvl w:ilvl="0" w:tplc="463AA104">
      <w:start w:val="1"/>
      <w:numFmt w:val="lowerLetter"/>
      <w:lvlText w:val="%1."/>
      <w:lvlJc w:val="left"/>
      <w:pPr>
        <w:ind w:left="720" w:hanging="360"/>
      </w:pPr>
      <w:rPr>
        <w:rFonts w:ascii="Calibri" w:eastAsia="Times New Roman" w:hAnsi="Calibri"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EF17DE7"/>
    <w:multiLevelType w:val="hybridMultilevel"/>
    <w:tmpl w:val="A27E2D42"/>
    <w:lvl w:ilvl="0" w:tplc="480A0019">
      <w:start w:val="1"/>
      <w:numFmt w:val="lowerLetter"/>
      <w:lvlText w:val="%1."/>
      <w:lvlJc w:val="left"/>
      <w:pPr>
        <w:ind w:left="720" w:hanging="360"/>
      </w:pPr>
      <w:rPr>
        <w:rFonts w:ascii="Times New Roman" w:hAnsi="Times New Roman" w:hint="default"/>
        <w:color w:val="auto"/>
        <w:sz w:val="2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2B34BEE"/>
    <w:multiLevelType w:val="hybridMultilevel"/>
    <w:tmpl w:val="543A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003837"/>
    <w:multiLevelType w:val="hybridMultilevel"/>
    <w:tmpl w:val="52C6FD9E"/>
    <w:lvl w:ilvl="0" w:tplc="67603CBC">
      <w:start w:val="1"/>
      <w:numFmt w:val="lowerLetter"/>
      <w:lvlText w:val="%1."/>
      <w:lvlJc w:val="left"/>
      <w:pPr>
        <w:ind w:left="720" w:hanging="360"/>
      </w:pPr>
      <w:rPr>
        <w:rFonts w:ascii="Verdana" w:hAnsi="Verdana" w:hint="default"/>
        <w:color w:val="333333"/>
        <w:sz w:val="17"/>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37073E9F"/>
    <w:multiLevelType w:val="hybridMultilevel"/>
    <w:tmpl w:val="57CC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3C3EF2"/>
    <w:multiLevelType w:val="hybridMultilevel"/>
    <w:tmpl w:val="FA007198"/>
    <w:lvl w:ilvl="0" w:tplc="9EA8186A">
      <w:start w:val="322"/>
      <w:numFmt w:val="bullet"/>
      <w:lvlText w:val="-"/>
      <w:lvlJc w:val="left"/>
      <w:pPr>
        <w:ind w:left="720" w:hanging="360"/>
      </w:pPr>
      <w:rPr>
        <w:rFonts w:ascii="Verdana" w:eastAsia="Times New Roman" w:hAnsi="Verdana" w:cs="Times New Roman" w:hint="default"/>
        <w:color w:val="333333"/>
        <w:sz w:val="13"/>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8B40FFE"/>
    <w:multiLevelType w:val="hybridMultilevel"/>
    <w:tmpl w:val="48BE2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6C25D3"/>
    <w:multiLevelType w:val="hybridMultilevel"/>
    <w:tmpl w:val="58C88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6"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2B575E"/>
    <w:multiLevelType w:val="hybridMultilevel"/>
    <w:tmpl w:val="F61C2F46"/>
    <w:lvl w:ilvl="0" w:tplc="9EA8186A">
      <w:start w:val="322"/>
      <w:numFmt w:val="bullet"/>
      <w:lvlText w:val="-"/>
      <w:lvlJc w:val="left"/>
      <w:pPr>
        <w:ind w:left="720" w:hanging="360"/>
      </w:pPr>
      <w:rPr>
        <w:rFonts w:ascii="Verdana" w:eastAsia="Times New Roman" w:hAnsi="Verdana" w:cs="Times New Roman" w:hint="default"/>
        <w:color w:val="333333"/>
        <w:sz w:val="13"/>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56537090"/>
    <w:multiLevelType w:val="hybridMultilevel"/>
    <w:tmpl w:val="5AB07A5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621247"/>
    <w:multiLevelType w:val="hybridMultilevel"/>
    <w:tmpl w:val="B81A5AC4"/>
    <w:lvl w:ilvl="0" w:tplc="480A0017">
      <w:start w:val="1"/>
      <w:numFmt w:val="lowerLetter"/>
      <w:lvlText w:val="%1)"/>
      <w:lvlJc w:val="left"/>
      <w:pPr>
        <w:ind w:left="360" w:hanging="360"/>
      </w:pPr>
      <w:rPr>
        <w:rFont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4"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1F2CE9"/>
    <w:multiLevelType w:val="hybridMultilevel"/>
    <w:tmpl w:val="B92A1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27050"/>
    <w:multiLevelType w:val="hybridMultilevel"/>
    <w:tmpl w:val="8D2EC95C"/>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68E31FEB"/>
    <w:multiLevelType w:val="hybridMultilevel"/>
    <w:tmpl w:val="C91EF762"/>
    <w:lvl w:ilvl="0" w:tplc="480A0019">
      <w:start w:val="1"/>
      <w:numFmt w:val="lowerLetter"/>
      <w:lvlText w:val="%1."/>
      <w:lvlJc w:val="left"/>
      <w:pPr>
        <w:ind w:left="360" w:hanging="360"/>
      </w:pPr>
      <w:rPr>
        <w:rFonts w:ascii="Times New Roman" w:hAnsi="Times New Roman" w:hint="default"/>
        <w:color w:val="auto"/>
        <w:sz w:val="2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15:restartNumberingAfterBreak="0">
    <w:nsid w:val="695C2FA5"/>
    <w:multiLevelType w:val="hybridMultilevel"/>
    <w:tmpl w:val="106414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561EDE"/>
    <w:multiLevelType w:val="hybridMultilevel"/>
    <w:tmpl w:val="C8FAD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45598D"/>
    <w:multiLevelType w:val="hybridMultilevel"/>
    <w:tmpl w:val="D6728D10"/>
    <w:lvl w:ilvl="0" w:tplc="480A0017">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2"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68F1B84"/>
    <w:multiLevelType w:val="multilevel"/>
    <w:tmpl w:val="85D6CE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231613"/>
    <w:multiLevelType w:val="hybridMultilevel"/>
    <w:tmpl w:val="4D94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8"/>
  </w:num>
  <w:num w:numId="5">
    <w:abstractNumId w:val="30"/>
  </w:num>
  <w:num w:numId="6">
    <w:abstractNumId w:val="32"/>
  </w:num>
  <w:num w:numId="7">
    <w:abstractNumId w:val="4"/>
  </w:num>
  <w:num w:numId="8">
    <w:abstractNumId w:val="31"/>
  </w:num>
  <w:num w:numId="9">
    <w:abstractNumId w:val="9"/>
  </w:num>
  <w:num w:numId="10">
    <w:abstractNumId w:val="22"/>
  </w:num>
  <w:num w:numId="11">
    <w:abstractNumId w:val="42"/>
  </w:num>
  <w:num w:numId="12">
    <w:abstractNumId w:val="26"/>
  </w:num>
  <w:num w:numId="13">
    <w:abstractNumId w:val="27"/>
  </w:num>
  <w:num w:numId="14">
    <w:abstractNumId w:val="15"/>
  </w:num>
  <w:num w:numId="15">
    <w:abstractNumId w:val="2"/>
  </w:num>
  <w:num w:numId="16">
    <w:abstractNumId w:val="35"/>
  </w:num>
  <w:num w:numId="17">
    <w:abstractNumId w:val="34"/>
  </w:num>
  <w:num w:numId="18">
    <w:abstractNumId w:val="43"/>
  </w:num>
  <w:num w:numId="19">
    <w:abstractNumId w:val="11"/>
  </w:num>
  <w:num w:numId="20">
    <w:abstractNumId w:val="28"/>
  </w:num>
  <w:num w:numId="21">
    <w:abstractNumId w:val="38"/>
  </w:num>
  <w:num w:numId="22">
    <w:abstractNumId w:val="17"/>
  </w:num>
  <w:num w:numId="23">
    <w:abstractNumId w:val="13"/>
  </w:num>
  <w:num w:numId="24">
    <w:abstractNumId w:val="21"/>
  </w:num>
  <w:num w:numId="25">
    <w:abstractNumId w:val="1"/>
  </w:num>
  <w:num w:numId="26">
    <w:abstractNumId w:val="33"/>
  </w:num>
  <w:num w:numId="27">
    <w:abstractNumId w:val="29"/>
  </w:num>
  <w:num w:numId="28">
    <w:abstractNumId w:val="6"/>
  </w:num>
  <w:num w:numId="29">
    <w:abstractNumId w:val="41"/>
  </w:num>
  <w:num w:numId="30">
    <w:abstractNumId w:val="16"/>
  </w:num>
  <w:num w:numId="31">
    <w:abstractNumId w:val="37"/>
  </w:num>
  <w:num w:numId="32">
    <w:abstractNumId w:val="7"/>
  </w:num>
  <w:num w:numId="33">
    <w:abstractNumId w:val="5"/>
  </w:num>
  <w:num w:numId="34">
    <w:abstractNumId w:val="10"/>
  </w:num>
  <w:num w:numId="35">
    <w:abstractNumId w:val="19"/>
  </w:num>
  <w:num w:numId="36">
    <w:abstractNumId w:val="20"/>
  </w:num>
  <w:num w:numId="37">
    <w:abstractNumId w:val="23"/>
  </w:num>
  <w:num w:numId="38">
    <w:abstractNumId w:val="44"/>
  </w:num>
  <w:num w:numId="39">
    <w:abstractNumId w:val="40"/>
  </w:num>
  <w:num w:numId="40">
    <w:abstractNumId w:val="36"/>
  </w:num>
  <w:num w:numId="41">
    <w:abstractNumId w:val="0"/>
  </w:num>
  <w:num w:numId="42">
    <w:abstractNumId w:val="24"/>
  </w:num>
  <w:num w:numId="43">
    <w:abstractNumId w:val="18"/>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20999"/>
    <w:rsid w:val="00034CC8"/>
    <w:rsid w:val="000502AD"/>
    <w:rsid w:val="00081719"/>
    <w:rsid w:val="000823AC"/>
    <w:rsid w:val="0009115D"/>
    <w:rsid w:val="00096C2A"/>
    <w:rsid w:val="00097364"/>
    <w:rsid w:val="000A049E"/>
    <w:rsid w:val="000B0F27"/>
    <w:rsid w:val="000B4D07"/>
    <w:rsid w:val="000C09B4"/>
    <w:rsid w:val="000C4457"/>
    <w:rsid w:val="000D6DE5"/>
    <w:rsid w:val="000E4B0B"/>
    <w:rsid w:val="000F77FD"/>
    <w:rsid w:val="00130051"/>
    <w:rsid w:val="0015409F"/>
    <w:rsid w:val="00157815"/>
    <w:rsid w:val="00165DCD"/>
    <w:rsid w:val="001663A4"/>
    <w:rsid w:val="00167DA9"/>
    <w:rsid w:val="00176076"/>
    <w:rsid w:val="00184DC8"/>
    <w:rsid w:val="001956C7"/>
    <w:rsid w:val="001A4D75"/>
    <w:rsid w:val="001B56DE"/>
    <w:rsid w:val="001B721D"/>
    <w:rsid w:val="001C3A4C"/>
    <w:rsid w:val="001D78EF"/>
    <w:rsid w:val="001E3261"/>
    <w:rsid w:val="001E3D2D"/>
    <w:rsid w:val="001F3524"/>
    <w:rsid w:val="00221D04"/>
    <w:rsid w:val="00230A0E"/>
    <w:rsid w:val="002315A5"/>
    <w:rsid w:val="00232597"/>
    <w:rsid w:val="002547CF"/>
    <w:rsid w:val="0026248C"/>
    <w:rsid w:val="0026321D"/>
    <w:rsid w:val="00271037"/>
    <w:rsid w:val="002942D1"/>
    <w:rsid w:val="002C4B80"/>
    <w:rsid w:val="002E58E7"/>
    <w:rsid w:val="002F7E65"/>
    <w:rsid w:val="00317B03"/>
    <w:rsid w:val="003207FC"/>
    <w:rsid w:val="0032175A"/>
    <w:rsid w:val="00322DEA"/>
    <w:rsid w:val="00323630"/>
    <w:rsid w:val="003251D4"/>
    <w:rsid w:val="00331F20"/>
    <w:rsid w:val="00346615"/>
    <w:rsid w:val="00352539"/>
    <w:rsid w:val="00354CB5"/>
    <w:rsid w:val="00357B0E"/>
    <w:rsid w:val="00363EC5"/>
    <w:rsid w:val="00366AD1"/>
    <w:rsid w:val="0036787E"/>
    <w:rsid w:val="0037523B"/>
    <w:rsid w:val="00394307"/>
    <w:rsid w:val="003A21EC"/>
    <w:rsid w:val="003B037A"/>
    <w:rsid w:val="003B422F"/>
    <w:rsid w:val="003D29F5"/>
    <w:rsid w:val="003D653B"/>
    <w:rsid w:val="004004FC"/>
    <w:rsid w:val="00417008"/>
    <w:rsid w:val="00422635"/>
    <w:rsid w:val="00424E4F"/>
    <w:rsid w:val="00460447"/>
    <w:rsid w:val="00461D62"/>
    <w:rsid w:val="00475D1C"/>
    <w:rsid w:val="00483868"/>
    <w:rsid w:val="004869AB"/>
    <w:rsid w:val="004A066F"/>
    <w:rsid w:val="004B3911"/>
    <w:rsid w:val="004B6267"/>
    <w:rsid w:val="004C595C"/>
    <w:rsid w:val="004D3DBE"/>
    <w:rsid w:val="004D4326"/>
    <w:rsid w:val="004D6781"/>
    <w:rsid w:val="004E2289"/>
    <w:rsid w:val="005121C8"/>
    <w:rsid w:val="00516AC8"/>
    <w:rsid w:val="00517955"/>
    <w:rsid w:val="00521A09"/>
    <w:rsid w:val="00530FDE"/>
    <w:rsid w:val="005474ED"/>
    <w:rsid w:val="00580396"/>
    <w:rsid w:val="005824B5"/>
    <w:rsid w:val="00592E9E"/>
    <w:rsid w:val="005A3AA5"/>
    <w:rsid w:val="005A7B65"/>
    <w:rsid w:val="005C6168"/>
    <w:rsid w:val="005D41C2"/>
    <w:rsid w:val="005D62BC"/>
    <w:rsid w:val="005E0C05"/>
    <w:rsid w:val="005F0AF9"/>
    <w:rsid w:val="005F2E08"/>
    <w:rsid w:val="005F6261"/>
    <w:rsid w:val="005F6421"/>
    <w:rsid w:val="005F79A2"/>
    <w:rsid w:val="00602A87"/>
    <w:rsid w:val="00612159"/>
    <w:rsid w:val="006263FF"/>
    <w:rsid w:val="00635929"/>
    <w:rsid w:val="0064746F"/>
    <w:rsid w:val="006509B8"/>
    <w:rsid w:val="00652A0D"/>
    <w:rsid w:val="00673710"/>
    <w:rsid w:val="00674B1A"/>
    <w:rsid w:val="006900FE"/>
    <w:rsid w:val="006A0B4C"/>
    <w:rsid w:val="006B4910"/>
    <w:rsid w:val="006D2050"/>
    <w:rsid w:val="00700521"/>
    <w:rsid w:val="007022B5"/>
    <w:rsid w:val="00703223"/>
    <w:rsid w:val="00704406"/>
    <w:rsid w:val="0071636F"/>
    <w:rsid w:val="007168EC"/>
    <w:rsid w:val="00730B5D"/>
    <w:rsid w:val="00760E32"/>
    <w:rsid w:val="00764E41"/>
    <w:rsid w:val="00771515"/>
    <w:rsid w:val="00776056"/>
    <w:rsid w:val="007842A7"/>
    <w:rsid w:val="00790C12"/>
    <w:rsid w:val="007966AC"/>
    <w:rsid w:val="007A1A91"/>
    <w:rsid w:val="007C1B15"/>
    <w:rsid w:val="007C591E"/>
    <w:rsid w:val="007D5BF1"/>
    <w:rsid w:val="007E1663"/>
    <w:rsid w:val="007F0757"/>
    <w:rsid w:val="008018C5"/>
    <w:rsid w:val="00813F1E"/>
    <w:rsid w:val="0081403B"/>
    <w:rsid w:val="00820EB5"/>
    <w:rsid w:val="00837C4B"/>
    <w:rsid w:val="00842737"/>
    <w:rsid w:val="00843006"/>
    <w:rsid w:val="00843DD9"/>
    <w:rsid w:val="008440D9"/>
    <w:rsid w:val="00845340"/>
    <w:rsid w:val="008460E3"/>
    <w:rsid w:val="00866FA4"/>
    <w:rsid w:val="00867AAC"/>
    <w:rsid w:val="00882ECA"/>
    <w:rsid w:val="00887250"/>
    <w:rsid w:val="008A1B52"/>
    <w:rsid w:val="008B06DD"/>
    <w:rsid w:val="008D030B"/>
    <w:rsid w:val="008D4556"/>
    <w:rsid w:val="008D69E8"/>
    <w:rsid w:val="008D791F"/>
    <w:rsid w:val="008D7F85"/>
    <w:rsid w:val="008F0A97"/>
    <w:rsid w:val="0090744A"/>
    <w:rsid w:val="00920DBC"/>
    <w:rsid w:val="00932B4A"/>
    <w:rsid w:val="0093519B"/>
    <w:rsid w:val="009353D7"/>
    <w:rsid w:val="00935644"/>
    <w:rsid w:val="00937C7C"/>
    <w:rsid w:val="00940C17"/>
    <w:rsid w:val="00942B3B"/>
    <w:rsid w:val="00951D3E"/>
    <w:rsid w:val="009534DA"/>
    <w:rsid w:val="0097197E"/>
    <w:rsid w:val="00975566"/>
    <w:rsid w:val="0097750B"/>
    <w:rsid w:val="00990CED"/>
    <w:rsid w:val="009B76A1"/>
    <w:rsid w:val="009D185F"/>
    <w:rsid w:val="009E7526"/>
    <w:rsid w:val="009F21FD"/>
    <w:rsid w:val="009F6475"/>
    <w:rsid w:val="00A0001A"/>
    <w:rsid w:val="00A16F22"/>
    <w:rsid w:val="00A1786A"/>
    <w:rsid w:val="00A210CD"/>
    <w:rsid w:val="00A30EBB"/>
    <w:rsid w:val="00A34718"/>
    <w:rsid w:val="00A34940"/>
    <w:rsid w:val="00A40130"/>
    <w:rsid w:val="00A44F24"/>
    <w:rsid w:val="00A45528"/>
    <w:rsid w:val="00A57912"/>
    <w:rsid w:val="00A74149"/>
    <w:rsid w:val="00A85E34"/>
    <w:rsid w:val="00A97DFE"/>
    <w:rsid w:val="00AB32EE"/>
    <w:rsid w:val="00B00E5C"/>
    <w:rsid w:val="00B024C7"/>
    <w:rsid w:val="00B0437E"/>
    <w:rsid w:val="00B053BE"/>
    <w:rsid w:val="00B2050D"/>
    <w:rsid w:val="00B243F5"/>
    <w:rsid w:val="00B25B8C"/>
    <w:rsid w:val="00B32ADA"/>
    <w:rsid w:val="00B64ACA"/>
    <w:rsid w:val="00B75283"/>
    <w:rsid w:val="00B83AAE"/>
    <w:rsid w:val="00BA49AA"/>
    <w:rsid w:val="00BB263A"/>
    <w:rsid w:val="00BC38E0"/>
    <w:rsid w:val="00BD06BE"/>
    <w:rsid w:val="00BE12AD"/>
    <w:rsid w:val="00BE2925"/>
    <w:rsid w:val="00BE60A1"/>
    <w:rsid w:val="00BF7053"/>
    <w:rsid w:val="00C168D0"/>
    <w:rsid w:val="00C247B5"/>
    <w:rsid w:val="00C437B0"/>
    <w:rsid w:val="00C45315"/>
    <w:rsid w:val="00C52309"/>
    <w:rsid w:val="00C576D1"/>
    <w:rsid w:val="00C66DE1"/>
    <w:rsid w:val="00C71A46"/>
    <w:rsid w:val="00C73D73"/>
    <w:rsid w:val="00C76D1D"/>
    <w:rsid w:val="00C8374B"/>
    <w:rsid w:val="00C8462C"/>
    <w:rsid w:val="00C97E31"/>
    <w:rsid w:val="00CB647D"/>
    <w:rsid w:val="00CF54C1"/>
    <w:rsid w:val="00CF71CD"/>
    <w:rsid w:val="00D1027A"/>
    <w:rsid w:val="00D25D54"/>
    <w:rsid w:val="00D30BE3"/>
    <w:rsid w:val="00D53789"/>
    <w:rsid w:val="00D5388B"/>
    <w:rsid w:val="00D62E7F"/>
    <w:rsid w:val="00D759A7"/>
    <w:rsid w:val="00D80A4F"/>
    <w:rsid w:val="00D9192E"/>
    <w:rsid w:val="00D961E7"/>
    <w:rsid w:val="00DA2FE1"/>
    <w:rsid w:val="00DC4D86"/>
    <w:rsid w:val="00DC7354"/>
    <w:rsid w:val="00DD4368"/>
    <w:rsid w:val="00DD597E"/>
    <w:rsid w:val="00DE754B"/>
    <w:rsid w:val="00DF0357"/>
    <w:rsid w:val="00DF7988"/>
    <w:rsid w:val="00E06A4E"/>
    <w:rsid w:val="00E1547F"/>
    <w:rsid w:val="00E24CDE"/>
    <w:rsid w:val="00E32ACA"/>
    <w:rsid w:val="00E37E7A"/>
    <w:rsid w:val="00E55799"/>
    <w:rsid w:val="00E770DC"/>
    <w:rsid w:val="00E90335"/>
    <w:rsid w:val="00EA44D6"/>
    <w:rsid w:val="00EA7740"/>
    <w:rsid w:val="00EC6DFE"/>
    <w:rsid w:val="00EC7BBC"/>
    <w:rsid w:val="00ED1381"/>
    <w:rsid w:val="00EE1D60"/>
    <w:rsid w:val="00F01FDE"/>
    <w:rsid w:val="00F16195"/>
    <w:rsid w:val="00F31949"/>
    <w:rsid w:val="00F32AB1"/>
    <w:rsid w:val="00F37FA7"/>
    <w:rsid w:val="00F60CA8"/>
    <w:rsid w:val="00F760C4"/>
    <w:rsid w:val="00F826EC"/>
    <w:rsid w:val="00F84FD4"/>
    <w:rsid w:val="00F9026A"/>
    <w:rsid w:val="00F9616B"/>
    <w:rsid w:val="00FA53EC"/>
    <w:rsid w:val="00FB2C4C"/>
    <w:rsid w:val="00FB3DB2"/>
    <w:rsid w:val="00FB5637"/>
    <w:rsid w:val="00FE30FB"/>
    <w:rsid w:val="00FE368C"/>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464709-8664-4BE1-A966-153EBA6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3E"/>
    <w:pPr>
      <w:widowControl w:val="0"/>
    </w:pPr>
    <w:rPr>
      <w:sz w:val="24"/>
      <w:lang w:val="en-US" w:eastAsia="en-US"/>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uiPriority w:val="59"/>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rsid w:val="001F3524"/>
    <w:rPr>
      <w:sz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1F3524"/>
  </w:style>
  <w:style w:type="character" w:styleId="FootnoteReference">
    <w:name w:val="footnote reference"/>
    <w:aliases w:val="Fußnotenzeichen DISS,ftref,BVI fnr,Char Char,Carattere Char1,Carattere Char Char Carattere Carattere Char Char,16 Point,Superscript 6 Point,Superscript 6 Point + 11 pt"/>
    <w:uiPriority w:val="99"/>
    <w:rsid w:val="001F3524"/>
    <w:rPr>
      <w:vertAlign w:val="superscript"/>
    </w:rPr>
  </w:style>
  <w:style w:type="paragraph" w:styleId="ListParagraph">
    <w:name w:val="List Paragraph"/>
    <w:basedOn w:val="Normal"/>
    <w:link w:val="ListParagraphChar"/>
    <w:uiPriority w:val="34"/>
    <w:qFormat/>
    <w:rsid w:val="005F0AF9"/>
    <w:pPr>
      <w:widowControl/>
      <w:spacing w:after="200" w:line="276" w:lineRule="auto"/>
      <w:ind w:left="720"/>
      <w:contextualSpacing/>
    </w:pPr>
    <w:rPr>
      <w:rFonts w:ascii="Calibri" w:eastAsia="Calibri" w:hAnsi="Calibri"/>
      <w:sz w:val="22"/>
      <w:szCs w:val="22"/>
      <w:lang w:val="es-NI"/>
    </w:rPr>
  </w:style>
  <w:style w:type="character" w:customStyle="1" w:styleId="ListParagraphChar">
    <w:name w:val="List Paragraph Char"/>
    <w:link w:val="ListParagraph"/>
    <w:uiPriority w:val="34"/>
    <w:locked/>
    <w:rsid w:val="00F32AB1"/>
    <w:rPr>
      <w:rFonts w:ascii="Calibri" w:eastAsia="Calibri" w:hAnsi="Calibri"/>
      <w:sz w:val="22"/>
      <w:szCs w:val="22"/>
      <w:lang w:val="es-NI" w:eastAsia="en-US"/>
    </w:rPr>
  </w:style>
  <w:style w:type="paragraph" w:styleId="NoSpacing">
    <w:name w:val="No Spacing"/>
    <w:uiPriority w:val="1"/>
    <w:qFormat/>
    <w:rsid w:val="004D432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987">
      <w:bodyDiv w:val="1"/>
      <w:marLeft w:val="0"/>
      <w:marRight w:val="0"/>
      <w:marTop w:val="0"/>
      <w:marBottom w:val="0"/>
      <w:divBdr>
        <w:top w:val="none" w:sz="0" w:space="0" w:color="auto"/>
        <w:left w:val="none" w:sz="0" w:space="0" w:color="auto"/>
        <w:bottom w:val="none" w:sz="0" w:space="0" w:color="auto"/>
        <w:right w:val="none" w:sz="0" w:space="0" w:color="auto"/>
      </w:divBdr>
      <w:divsChild>
        <w:div w:id="436173169">
          <w:marLeft w:val="0"/>
          <w:marRight w:val="0"/>
          <w:marTop w:val="0"/>
          <w:marBottom w:val="0"/>
          <w:divBdr>
            <w:top w:val="none" w:sz="0" w:space="0" w:color="auto"/>
            <w:left w:val="none" w:sz="0" w:space="0" w:color="auto"/>
            <w:bottom w:val="none" w:sz="0" w:space="0" w:color="auto"/>
            <w:right w:val="none" w:sz="0" w:space="0" w:color="auto"/>
          </w:divBdr>
          <w:divsChild>
            <w:div w:id="1093473425">
              <w:marLeft w:val="0"/>
              <w:marRight w:val="0"/>
              <w:marTop w:val="0"/>
              <w:marBottom w:val="0"/>
              <w:divBdr>
                <w:top w:val="none" w:sz="0" w:space="0" w:color="auto"/>
                <w:left w:val="none" w:sz="0" w:space="0" w:color="auto"/>
                <w:bottom w:val="none" w:sz="0" w:space="0" w:color="auto"/>
                <w:right w:val="none" w:sz="0" w:space="0" w:color="auto"/>
              </w:divBdr>
              <w:divsChild>
                <w:div w:id="1690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5584">
      <w:bodyDiv w:val="1"/>
      <w:marLeft w:val="0"/>
      <w:marRight w:val="0"/>
      <w:marTop w:val="0"/>
      <w:marBottom w:val="0"/>
      <w:divBdr>
        <w:top w:val="none" w:sz="0" w:space="0" w:color="auto"/>
        <w:left w:val="none" w:sz="0" w:space="0" w:color="auto"/>
        <w:bottom w:val="none" w:sz="0" w:space="0" w:color="auto"/>
        <w:right w:val="none" w:sz="0" w:space="0" w:color="auto"/>
      </w:divBdr>
    </w:div>
    <w:div w:id="282424918">
      <w:bodyDiv w:val="1"/>
      <w:marLeft w:val="0"/>
      <w:marRight w:val="0"/>
      <w:marTop w:val="0"/>
      <w:marBottom w:val="0"/>
      <w:divBdr>
        <w:top w:val="none" w:sz="0" w:space="0" w:color="auto"/>
        <w:left w:val="none" w:sz="0" w:space="0" w:color="auto"/>
        <w:bottom w:val="none" w:sz="0" w:space="0" w:color="auto"/>
        <w:right w:val="none" w:sz="0" w:space="0" w:color="auto"/>
      </w:divBdr>
    </w:div>
    <w:div w:id="330910338">
      <w:bodyDiv w:val="1"/>
      <w:marLeft w:val="0"/>
      <w:marRight w:val="0"/>
      <w:marTop w:val="0"/>
      <w:marBottom w:val="0"/>
      <w:divBdr>
        <w:top w:val="none" w:sz="0" w:space="0" w:color="auto"/>
        <w:left w:val="none" w:sz="0" w:space="0" w:color="auto"/>
        <w:bottom w:val="none" w:sz="0" w:space="0" w:color="auto"/>
        <w:right w:val="none" w:sz="0" w:space="0" w:color="auto"/>
      </w:divBdr>
      <w:divsChild>
        <w:div w:id="496263505">
          <w:marLeft w:val="0"/>
          <w:marRight w:val="0"/>
          <w:marTop w:val="0"/>
          <w:marBottom w:val="0"/>
          <w:divBdr>
            <w:top w:val="none" w:sz="0" w:space="0" w:color="auto"/>
            <w:left w:val="none" w:sz="0" w:space="0" w:color="auto"/>
            <w:bottom w:val="none" w:sz="0" w:space="0" w:color="auto"/>
            <w:right w:val="none" w:sz="0" w:space="0" w:color="auto"/>
          </w:divBdr>
          <w:divsChild>
            <w:div w:id="933711238">
              <w:marLeft w:val="0"/>
              <w:marRight w:val="0"/>
              <w:marTop w:val="0"/>
              <w:marBottom w:val="0"/>
              <w:divBdr>
                <w:top w:val="none" w:sz="0" w:space="0" w:color="auto"/>
                <w:left w:val="none" w:sz="0" w:space="0" w:color="auto"/>
                <w:bottom w:val="none" w:sz="0" w:space="0" w:color="auto"/>
                <w:right w:val="none" w:sz="0" w:space="0" w:color="auto"/>
              </w:divBdr>
              <w:divsChild>
                <w:div w:id="13203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1013">
      <w:bodyDiv w:val="1"/>
      <w:marLeft w:val="0"/>
      <w:marRight w:val="0"/>
      <w:marTop w:val="0"/>
      <w:marBottom w:val="0"/>
      <w:divBdr>
        <w:top w:val="none" w:sz="0" w:space="0" w:color="auto"/>
        <w:left w:val="none" w:sz="0" w:space="0" w:color="auto"/>
        <w:bottom w:val="none" w:sz="0" w:space="0" w:color="auto"/>
        <w:right w:val="none" w:sz="0" w:space="0" w:color="auto"/>
      </w:divBdr>
      <w:divsChild>
        <w:div w:id="2132743197">
          <w:marLeft w:val="0"/>
          <w:marRight w:val="0"/>
          <w:marTop w:val="0"/>
          <w:marBottom w:val="0"/>
          <w:divBdr>
            <w:top w:val="none" w:sz="0" w:space="0" w:color="auto"/>
            <w:left w:val="none" w:sz="0" w:space="0" w:color="auto"/>
            <w:bottom w:val="none" w:sz="0" w:space="0" w:color="auto"/>
            <w:right w:val="none" w:sz="0" w:space="0" w:color="auto"/>
          </w:divBdr>
          <w:divsChild>
            <w:div w:id="1307970591">
              <w:marLeft w:val="0"/>
              <w:marRight w:val="0"/>
              <w:marTop w:val="0"/>
              <w:marBottom w:val="0"/>
              <w:divBdr>
                <w:top w:val="none" w:sz="0" w:space="0" w:color="auto"/>
                <w:left w:val="none" w:sz="0" w:space="0" w:color="auto"/>
                <w:bottom w:val="none" w:sz="0" w:space="0" w:color="auto"/>
                <w:right w:val="none" w:sz="0" w:space="0" w:color="auto"/>
              </w:divBdr>
              <w:divsChild>
                <w:div w:id="2240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6110">
      <w:bodyDiv w:val="1"/>
      <w:marLeft w:val="0"/>
      <w:marRight w:val="0"/>
      <w:marTop w:val="0"/>
      <w:marBottom w:val="0"/>
      <w:divBdr>
        <w:top w:val="none" w:sz="0" w:space="0" w:color="auto"/>
        <w:left w:val="none" w:sz="0" w:space="0" w:color="auto"/>
        <w:bottom w:val="none" w:sz="0" w:space="0" w:color="auto"/>
        <w:right w:val="none" w:sz="0" w:space="0" w:color="auto"/>
      </w:divBdr>
    </w:div>
    <w:div w:id="1066883127">
      <w:bodyDiv w:val="1"/>
      <w:marLeft w:val="0"/>
      <w:marRight w:val="0"/>
      <w:marTop w:val="0"/>
      <w:marBottom w:val="0"/>
      <w:divBdr>
        <w:top w:val="none" w:sz="0" w:space="0" w:color="auto"/>
        <w:left w:val="none" w:sz="0" w:space="0" w:color="auto"/>
        <w:bottom w:val="none" w:sz="0" w:space="0" w:color="auto"/>
        <w:right w:val="none" w:sz="0" w:space="0" w:color="auto"/>
      </w:divBdr>
      <w:divsChild>
        <w:div w:id="1257251187">
          <w:marLeft w:val="0"/>
          <w:marRight w:val="0"/>
          <w:marTop w:val="0"/>
          <w:marBottom w:val="0"/>
          <w:divBdr>
            <w:top w:val="none" w:sz="0" w:space="0" w:color="auto"/>
            <w:left w:val="none" w:sz="0" w:space="0" w:color="auto"/>
            <w:bottom w:val="none" w:sz="0" w:space="0" w:color="auto"/>
            <w:right w:val="none" w:sz="0" w:space="0" w:color="auto"/>
          </w:divBdr>
          <w:divsChild>
            <w:div w:id="50662356">
              <w:marLeft w:val="0"/>
              <w:marRight w:val="0"/>
              <w:marTop w:val="0"/>
              <w:marBottom w:val="0"/>
              <w:divBdr>
                <w:top w:val="none" w:sz="0" w:space="0" w:color="auto"/>
                <w:left w:val="none" w:sz="0" w:space="0" w:color="auto"/>
                <w:bottom w:val="none" w:sz="0" w:space="0" w:color="auto"/>
                <w:right w:val="none" w:sz="0" w:space="0" w:color="auto"/>
              </w:divBdr>
              <w:divsChild>
                <w:div w:id="1654531114">
                  <w:marLeft w:val="0"/>
                  <w:marRight w:val="0"/>
                  <w:marTop w:val="0"/>
                  <w:marBottom w:val="0"/>
                  <w:divBdr>
                    <w:top w:val="none" w:sz="0" w:space="0" w:color="auto"/>
                    <w:left w:val="none" w:sz="0" w:space="0" w:color="auto"/>
                    <w:bottom w:val="none" w:sz="0" w:space="0" w:color="auto"/>
                    <w:right w:val="none" w:sz="0" w:space="0" w:color="auto"/>
                  </w:divBdr>
                  <w:divsChild>
                    <w:div w:id="1684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4451">
      <w:bodyDiv w:val="1"/>
      <w:marLeft w:val="0"/>
      <w:marRight w:val="0"/>
      <w:marTop w:val="0"/>
      <w:marBottom w:val="0"/>
      <w:divBdr>
        <w:top w:val="none" w:sz="0" w:space="0" w:color="auto"/>
        <w:left w:val="none" w:sz="0" w:space="0" w:color="auto"/>
        <w:bottom w:val="none" w:sz="0" w:space="0" w:color="auto"/>
        <w:right w:val="none" w:sz="0" w:space="0" w:color="auto"/>
      </w:divBdr>
    </w:div>
    <w:div w:id="1213081315">
      <w:bodyDiv w:val="1"/>
      <w:marLeft w:val="0"/>
      <w:marRight w:val="0"/>
      <w:marTop w:val="0"/>
      <w:marBottom w:val="0"/>
      <w:divBdr>
        <w:top w:val="none" w:sz="0" w:space="0" w:color="auto"/>
        <w:left w:val="none" w:sz="0" w:space="0" w:color="auto"/>
        <w:bottom w:val="none" w:sz="0" w:space="0" w:color="auto"/>
        <w:right w:val="none" w:sz="0" w:space="0" w:color="auto"/>
      </w:divBdr>
    </w:div>
    <w:div w:id="1350521658">
      <w:bodyDiv w:val="1"/>
      <w:marLeft w:val="0"/>
      <w:marRight w:val="0"/>
      <w:marTop w:val="0"/>
      <w:marBottom w:val="0"/>
      <w:divBdr>
        <w:top w:val="none" w:sz="0" w:space="0" w:color="auto"/>
        <w:left w:val="none" w:sz="0" w:space="0" w:color="auto"/>
        <w:bottom w:val="none" w:sz="0" w:space="0" w:color="auto"/>
        <w:right w:val="none" w:sz="0" w:space="0" w:color="auto"/>
      </w:divBdr>
    </w:div>
    <w:div w:id="1523395957">
      <w:bodyDiv w:val="1"/>
      <w:marLeft w:val="0"/>
      <w:marRight w:val="0"/>
      <w:marTop w:val="0"/>
      <w:marBottom w:val="0"/>
      <w:divBdr>
        <w:top w:val="none" w:sz="0" w:space="0" w:color="auto"/>
        <w:left w:val="none" w:sz="0" w:space="0" w:color="auto"/>
        <w:bottom w:val="none" w:sz="0" w:space="0" w:color="auto"/>
        <w:right w:val="none" w:sz="0" w:space="0" w:color="auto"/>
      </w:divBdr>
      <w:divsChild>
        <w:div w:id="2142645387">
          <w:marLeft w:val="0"/>
          <w:marRight w:val="0"/>
          <w:marTop w:val="0"/>
          <w:marBottom w:val="0"/>
          <w:divBdr>
            <w:top w:val="none" w:sz="0" w:space="0" w:color="auto"/>
            <w:left w:val="none" w:sz="0" w:space="0" w:color="auto"/>
            <w:bottom w:val="none" w:sz="0" w:space="0" w:color="auto"/>
            <w:right w:val="none" w:sz="0" w:space="0" w:color="auto"/>
          </w:divBdr>
          <w:divsChild>
            <w:div w:id="486481118">
              <w:marLeft w:val="0"/>
              <w:marRight w:val="0"/>
              <w:marTop w:val="0"/>
              <w:marBottom w:val="0"/>
              <w:divBdr>
                <w:top w:val="none" w:sz="0" w:space="0" w:color="auto"/>
                <w:left w:val="none" w:sz="0" w:space="0" w:color="auto"/>
                <w:bottom w:val="none" w:sz="0" w:space="0" w:color="auto"/>
                <w:right w:val="none" w:sz="0" w:space="0" w:color="auto"/>
              </w:divBdr>
              <w:divsChild>
                <w:div w:id="18553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19888">
      <w:bodyDiv w:val="1"/>
      <w:marLeft w:val="0"/>
      <w:marRight w:val="0"/>
      <w:marTop w:val="0"/>
      <w:marBottom w:val="0"/>
      <w:divBdr>
        <w:top w:val="none" w:sz="0" w:space="0" w:color="auto"/>
        <w:left w:val="none" w:sz="0" w:space="0" w:color="auto"/>
        <w:bottom w:val="none" w:sz="0" w:space="0" w:color="auto"/>
        <w:right w:val="none" w:sz="0" w:space="0" w:color="auto"/>
      </w:divBdr>
      <w:divsChild>
        <w:div w:id="2083940065">
          <w:marLeft w:val="0"/>
          <w:marRight w:val="0"/>
          <w:marTop w:val="0"/>
          <w:marBottom w:val="0"/>
          <w:divBdr>
            <w:top w:val="none" w:sz="0" w:space="0" w:color="auto"/>
            <w:left w:val="none" w:sz="0" w:space="0" w:color="auto"/>
            <w:bottom w:val="none" w:sz="0" w:space="0" w:color="auto"/>
            <w:right w:val="none" w:sz="0" w:space="0" w:color="auto"/>
          </w:divBdr>
          <w:divsChild>
            <w:div w:id="1806922610">
              <w:marLeft w:val="0"/>
              <w:marRight w:val="0"/>
              <w:marTop w:val="0"/>
              <w:marBottom w:val="0"/>
              <w:divBdr>
                <w:top w:val="none" w:sz="0" w:space="0" w:color="auto"/>
                <w:left w:val="none" w:sz="0" w:space="0" w:color="auto"/>
                <w:bottom w:val="none" w:sz="0" w:space="0" w:color="auto"/>
                <w:right w:val="none" w:sz="0" w:space="0" w:color="auto"/>
              </w:divBdr>
              <w:divsChild>
                <w:div w:id="17737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920">
      <w:bodyDiv w:val="1"/>
      <w:marLeft w:val="0"/>
      <w:marRight w:val="0"/>
      <w:marTop w:val="0"/>
      <w:marBottom w:val="0"/>
      <w:divBdr>
        <w:top w:val="none" w:sz="0" w:space="0" w:color="auto"/>
        <w:left w:val="none" w:sz="0" w:space="0" w:color="auto"/>
        <w:bottom w:val="none" w:sz="0" w:space="0" w:color="auto"/>
        <w:right w:val="none" w:sz="0" w:space="0" w:color="auto"/>
      </w:divBdr>
      <w:divsChild>
        <w:div w:id="635644948">
          <w:marLeft w:val="0"/>
          <w:marRight w:val="0"/>
          <w:marTop w:val="0"/>
          <w:marBottom w:val="0"/>
          <w:divBdr>
            <w:top w:val="none" w:sz="0" w:space="0" w:color="auto"/>
            <w:left w:val="none" w:sz="0" w:space="0" w:color="auto"/>
            <w:bottom w:val="none" w:sz="0" w:space="0" w:color="auto"/>
            <w:right w:val="none" w:sz="0" w:space="0" w:color="auto"/>
          </w:divBdr>
          <w:divsChild>
            <w:div w:id="332992704">
              <w:marLeft w:val="0"/>
              <w:marRight w:val="0"/>
              <w:marTop w:val="0"/>
              <w:marBottom w:val="0"/>
              <w:divBdr>
                <w:top w:val="none" w:sz="0" w:space="0" w:color="auto"/>
                <w:left w:val="none" w:sz="0" w:space="0" w:color="auto"/>
                <w:bottom w:val="none" w:sz="0" w:space="0" w:color="auto"/>
                <w:right w:val="none" w:sz="0" w:space="0" w:color="auto"/>
              </w:divBdr>
              <w:divsChild>
                <w:div w:id="284506770">
                  <w:marLeft w:val="0"/>
                  <w:marRight w:val="0"/>
                  <w:marTop w:val="0"/>
                  <w:marBottom w:val="0"/>
                  <w:divBdr>
                    <w:top w:val="none" w:sz="0" w:space="0" w:color="auto"/>
                    <w:left w:val="none" w:sz="0" w:space="0" w:color="auto"/>
                    <w:bottom w:val="none" w:sz="0" w:space="0" w:color="auto"/>
                    <w:right w:val="none" w:sz="0" w:space="0" w:color="auto"/>
                  </w:divBdr>
                  <w:divsChild>
                    <w:div w:id="894392784">
                      <w:marLeft w:val="0"/>
                      <w:marRight w:val="0"/>
                      <w:marTop w:val="0"/>
                      <w:marBottom w:val="0"/>
                      <w:divBdr>
                        <w:top w:val="none" w:sz="0" w:space="0" w:color="auto"/>
                        <w:left w:val="none" w:sz="0" w:space="0" w:color="auto"/>
                        <w:bottom w:val="none" w:sz="0" w:space="0" w:color="auto"/>
                        <w:right w:val="none" w:sz="0" w:space="0" w:color="auto"/>
                      </w:divBdr>
                      <w:divsChild>
                        <w:div w:id="194277662">
                          <w:marLeft w:val="0"/>
                          <w:marRight w:val="0"/>
                          <w:marTop w:val="0"/>
                          <w:marBottom w:val="0"/>
                          <w:divBdr>
                            <w:top w:val="none" w:sz="0" w:space="0" w:color="auto"/>
                            <w:left w:val="none" w:sz="0" w:space="0" w:color="auto"/>
                            <w:bottom w:val="none" w:sz="0" w:space="0" w:color="auto"/>
                            <w:right w:val="none" w:sz="0" w:space="0" w:color="auto"/>
                          </w:divBdr>
                          <w:divsChild>
                            <w:div w:id="10589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4186-240B-4B66-9E48-3AB92453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10658</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Country:</vt:lpstr>
      <vt:lpstr>Country:</vt:lpstr>
    </vt:vector>
  </TitlesOfParts>
  <Company>UNDP</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Svetlana Iazykova</cp:lastModifiedBy>
  <cp:revision>3</cp:revision>
  <cp:lastPrinted>2015-05-12T20:33:00Z</cp:lastPrinted>
  <dcterms:created xsi:type="dcterms:W3CDTF">2015-05-21T19:42:00Z</dcterms:created>
  <dcterms:modified xsi:type="dcterms:W3CDTF">2015-05-21T19:43:00Z</dcterms:modified>
</cp:coreProperties>
</file>