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A7" w:rsidRDefault="009D31B5" w:rsidP="00A64968">
      <w:pPr>
        <w:spacing w:line="240" w:lineRule="auto"/>
      </w:pPr>
      <w:r>
        <w:rPr>
          <w:noProof/>
        </w:rPr>
        <w:drawing>
          <wp:anchor distT="0" distB="0" distL="114300" distR="114300" simplePos="0" relativeHeight="251657728" behindDoc="0" locked="0" layoutInCell="1" allowOverlap="1" wp14:anchorId="2E788AA5" wp14:editId="44DDEB83">
            <wp:simplePos x="0" y="0"/>
            <wp:positionH relativeFrom="column">
              <wp:posOffset>5060315</wp:posOffset>
            </wp:positionH>
            <wp:positionV relativeFrom="paragraph">
              <wp:posOffset>-56515</wp:posOffset>
            </wp:positionV>
            <wp:extent cx="571500" cy="1143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143000"/>
                    </a:xfrm>
                    <a:prstGeom prst="rect">
                      <a:avLst/>
                    </a:prstGeom>
                    <a:noFill/>
                  </pic:spPr>
                </pic:pic>
              </a:graphicData>
            </a:graphic>
            <wp14:sizeRelH relativeFrom="page">
              <wp14:pctWidth>0</wp14:pctWidth>
            </wp14:sizeRelH>
            <wp14:sizeRelV relativeFrom="page">
              <wp14:pctHeight>0</wp14:pctHeight>
            </wp14:sizeRelV>
          </wp:anchor>
        </w:drawing>
      </w:r>
    </w:p>
    <w:p w:rsidR="00F156BA" w:rsidRDefault="00F156BA" w:rsidP="00A64968">
      <w:pPr>
        <w:spacing w:line="240" w:lineRule="auto"/>
      </w:pPr>
    </w:p>
    <w:p w:rsidR="00F46AA7" w:rsidRDefault="00F46AA7" w:rsidP="00A64968">
      <w:pPr>
        <w:spacing w:line="240" w:lineRule="auto"/>
      </w:pPr>
    </w:p>
    <w:p w:rsidR="00F46AA7" w:rsidRDefault="00F46AA7" w:rsidP="00A64968">
      <w:pPr>
        <w:spacing w:line="240" w:lineRule="auto"/>
      </w:pPr>
    </w:p>
    <w:p w:rsidR="00F46AA7" w:rsidRDefault="00F46AA7" w:rsidP="00A64968">
      <w:pPr>
        <w:spacing w:line="240" w:lineRule="auto"/>
      </w:pPr>
    </w:p>
    <w:p w:rsidR="00F46AA7" w:rsidRDefault="00F46AA7" w:rsidP="00A64968">
      <w:pPr>
        <w:spacing w:line="240" w:lineRule="auto"/>
        <w:rPr>
          <w:rFonts w:ascii="Times New Roman" w:hAnsi="Times New Roman"/>
        </w:rPr>
      </w:pPr>
    </w:p>
    <w:p w:rsidR="00B0304A" w:rsidRDefault="00B0304A" w:rsidP="00A64968">
      <w:pPr>
        <w:spacing w:line="240" w:lineRule="auto"/>
        <w:rPr>
          <w:rFonts w:ascii="Times New Roman" w:hAnsi="Times New Roman"/>
        </w:rPr>
      </w:pPr>
    </w:p>
    <w:p w:rsidR="00B0304A" w:rsidRPr="00C12861" w:rsidRDefault="00B0304A" w:rsidP="00A64968">
      <w:pPr>
        <w:spacing w:line="240" w:lineRule="auto"/>
        <w:rPr>
          <w:rFonts w:ascii="Times New Roman" w:hAnsi="Times New Roman"/>
        </w:rPr>
      </w:pPr>
    </w:p>
    <w:p w:rsidR="008921F8" w:rsidRDefault="00625131" w:rsidP="00625131">
      <w:pPr>
        <w:spacing w:after="0" w:line="240" w:lineRule="auto"/>
        <w:jc w:val="center"/>
        <w:rPr>
          <w:rFonts w:ascii="Times New Roman" w:hAnsi="Times New Roman"/>
          <w:b/>
          <w:sz w:val="28"/>
          <w:szCs w:val="28"/>
        </w:rPr>
      </w:pPr>
      <w:r>
        <w:rPr>
          <w:rFonts w:ascii="Times New Roman" w:hAnsi="Times New Roman"/>
          <w:b/>
          <w:sz w:val="28"/>
          <w:szCs w:val="28"/>
        </w:rPr>
        <w:t>UNDP M</w:t>
      </w:r>
      <w:r w:rsidR="006666D3" w:rsidRPr="008921F8">
        <w:rPr>
          <w:rFonts w:ascii="Times New Roman" w:hAnsi="Times New Roman"/>
          <w:b/>
          <w:sz w:val="28"/>
          <w:szCs w:val="28"/>
        </w:rPr>
        <w:t xml:space="preserve">anagement </w:t>
      </w:r>
      <w:r>
        <w:rPr>
          <w:rFonts w:ascii="Times New Roman" w:hAnsi="Times New Roman"/>
          <w:b/>
          <w:sz w:val="28"/>
          <w:szCs w:val="28"/>
        </w:rPr>
        <w:t>C</w:t>
      </w:r>
      <w:r w:rsidR="00E47681">
        <w:rPr>
          <w:rFonts w:ascii="Times New Roman" w:hAnsi="Times New Roman"/>
          <w:b/>
          <w:sz w:val="28"/>
          <w:szCs w:val="28"/>
        </w:rPr>
        <w:t>ommentaries</w:t>
      </w:r>
      <w:r w:rsidR="006666D3" w:rsidRPr="008921F8">
        <w:rPr>
          <w:rFonts w:ascii="Times New Roman" w:hAnsi="Times New Roman"/>
          <w:b/>
          <w:sz w:val="28"/>
          <w:szCs w:val="28"/>
        </w:rPr>
        <w:t xml:space="preserve"> </w:t>
      </w:r>
      <w:r w:rsidR="003B52DC">
        <w:rPr>
          <w:rFonts w:ascii="Times New Roman" w:hAnsi="Times New Roman"/>
          <w:b/>
          <w:sz w:val="28"/>
          <w:szCs w:val="28"/>
        </w:rPr>
        <w:t>on the</w:t>
      </w:r>
    </w:p>
    <w:p w:rsidR="00F46AA7" w:rsidRPr="008921F8" w:rsidRDefault="00625131" w:rsidP="00625131">
      <w:pPr>
        <w:spacing w:after="0" w:line="240" w:lineRule="auto"/>
        <w:jc w:val="center"/>
        <w:rPr>
          <w:rFonts w:ascii="Times New Roman" w:hAnsi="Times New Roman"/>
          <w:b/>
          <w:sz w:val="28"/>
          <w:szCs w:val="28"/>
        </w:rPr>
      </w:pPr>
      <w:r>
        <w:rPr>
          <w:rFonts w:ascii="Times New Roman" w:hAnsi="Times New Roman"/>
          <w:b/>
          <w:sz w:val="28"/>
          <w:szCs w:val="28"/>
        </w:rPr>
        <w:t>Annual Report on Ev</w:t>
      </w:r>
      <w:r w:rsidR="00C12861" w:rsidRPr="008921F8">
        <w:rPr>
          <w:rFonts w:ascii="Times New Roman" w:hAnsi="Times New Roman"/>
          <w:b/>
          <w:sz w:val="28"/>
          <w:szCs w:val="28"/>
        </w:rPr>
        <w:t>aluation</w:t>
      </w:r>
      <w:r w:rsidR="003B52DC">
        <w:rPr>
          <w:rFonts w:ascii="Times New Roman" w:hAnsi="Times New Roman"/>
          <w:b/>
          <w:sz w:val="28"/>
          <w:szCs w:val="28"/>
        </w:rPr>
        <w:t>,</w:t>
      </w:r>
      <w:r w:rsidR="00C12861" w:rsidRPr="008921F8">
        <w:rPr>
          <w:rFonts w:ascii="Times New Roman" w:hAnsi="Times New Roman"/>
          <w:b/>
          <w:sz w:val="28"/>
          <w:szCs w:val="28"/>
        </w:rPr>
        <w:t xml:space="preserve"> 201</w:t>
      </w:r>
      <w:r w:rsidR="00E47681">
        <w:rPr>
          <w:rFonts w:ascii="Times New Roman" w:hAnsi="Times New Roman"/>
          <w:b/>
          <w:sz w:val="28"/>
          <w:szCs w:val="28"/>
        </w:rPr>
        <w:t>4</w:t>
      </w:r>
      <w:r w:rsidR="00C12861" w:rsidRPr="008921F8">
        <w:rPr>
          <w:rFonts w:ascii="Times New Roman" w:hAnsi="Times New Roman"/>
          <w:sz w:val="28"/>
          <w:szCs w:val="28"/>
        </w:rPr>
        <w:t xml:space="preserve"> </w:t>
      </w:r>
    </w:p>
    <w:p w:rsidR="00625131" w:rsidRDefault="00625131" w:rsidP="00625131">
      <w:pPr>
        <w:spacing w:after="0" w:line="240" w:lineRule="auto"/>
        <w:jc w:val="center"/>
        <w:rPr>
          <w:rFonts w:ascii="Times New Roman" w:eastAsia="Batang" w:hAnsi="Times New Roman"/>
          <w:b/>
          <w:sz w:val="28"/>
          <w:szCs w:val="28"/>
          <w:lang w:eastAsia="ko-KR"/>
        </w:rPr>
      </w:pPr>
    </w:p>
    <w:p w:rsidR="003B52DC" w:rsidRDefault="003B52DC" w:rsidP="00625131">
      <w:pPr>
        <w:spacing w:after="0" w:line="240" w:lineRule="auto"/>
        <w:jc w:val="center"/>
        <w:rPr>
          <w:rFonts w:ascii="Times New Roman" w:eastAsia="Batang" w:hAnsi="Times New Roman"/>
          <w:b/>
          <w:sz w:val="28"/>
          <w:szCs w:val="28"/>
          <w:lang w:eastAsia="ko-KR"/>
        </w:rPr>
      </w:pPr>
    </w:p>
    <w:p w:rsidR="00C12861" w:rsidRPr="008921F8" w:rsidRDefault="00C12861" w:rsidP="00625131">
      <w:pPr>
        <w:spacing w:after="0" w:line="240" w:lineRule="auto"/>
        <w:jc w:val="center"/>
        <w:rPr>
          <w:rFonts w:ascii="Times New Roman" w:eastAsia="Batang" w:hAnsi="Times New Roman"/>
          <w:b/>
          <w:sz w:val="28"/>
          <w:szCs w:val="28"/>
          <w:lang w:eastAsia="ko-KR"/>
        </w:rPr>
      </w:pPr>
      <w:r w:rsidRPr="008921F8">
        <w:rPr>
          <w:rFonts w:ascii="Times New Roman" w:eastAsia="Batang" w:hAnsi="Times New Roman"/>
          <w:b/>
          <w:sz w:val="28"/>
          <w:szCs w:val="28"/>
          <w:lang w:eastAsia="ko-KR"/>
        </w:rPr>
        <w:t>Executive Board of UNDP/UNFPA</w:t>
      </w:r>
      <w:r w:rsidR="00A27840">
        <w:rPr>
          <w:rFonts w:ascii="Times New Roman" w:eastAsia="Batang" w:hAnsi="Times New Roman"/>
          <w:b/>
          <w:sz w:val="28"/>
          <w:szCs w:val="28"/>
          <w:lang w:eastAsia="ko-KR"/>
        </w:rPr>
        <w:t>/UNOPS</w:t>
      </w:r>
    </w:p>
    <w:p w:rsidR="00C12861" w:rsidRPr="008921F8" w:rsidRDefault="00665781" w:rsidP="00625131">
      <w:pPr>
        <w:spacing w:after="0" w:line="240" w:lineRule="auto"/>
        <w:jc w:val="center"/>
        <w:rPr>
          <w:rFonts w:ascii="Times New Roman" w:eastAsia="Batang" w:hAnsi="Times New Roman"/>
          <w:b/>
          <w:sz w:val="28"/>
          <w:szCs w:val="28"/>
          <w:lang w:eastAsia="ko-KR"/>
        </w:rPr>
      </w:pPr>
      <w:r>
        <w:rPr>
          <w:rFonts w:ascii="Times New Roman" w:eastAsia="Batang" w:hAnsi="Times New Roman"/>
          <w:b/>
          <w:sz w:val="28"/>
          <w:szCs w:val="28"/>
          <w:lang w:eastAsia="ko-KR"/>
        </w:rPr>
        <w:t>Annual</w:t>
      </w:r>
      <w:r w:rsidR="00625131">
        <w:rPr>
          <w:rFonts w:ascii="Times New Roman" w:eastAsia="Batang" w:hAnsi="Times New Roman"/>
          <w:b/>
          <w:sz w:val="28"/>
          <w:szCs w:val="28"/>
          <w:lang w:eastAsia="ko-KR"/>
        </w:rPr>
        <w:t xml:space="preserve"> S</w:t>
      </w:r>
      <w:r w:rsidR="00C12861" w:rsidRPr="008921F8">
        <w:rPr>
          <w:rFonts w:ascii="Times New Roman" w:eastAsia="Batang" w:hAnsi="Times New Roman"/>
          <w:b/>
          <w:sz w:val="28"/>
          <w:szCs w:val="28"/>
          <w:lang w:eastAsia="ko-KR"/>
        </w:rPr>
        <w:t xml:space="preserve">ession, </w:t>
      </w:r>
      <w:r>
        <w:rPr>
          <w:rFonts w:ascii="Times New Roman" w:eastAsia="Batang" w:hAnsi="Times New Roman"/>
          <w:b/>
          <w:sz w:val="28"/>
          <w:szCs w:val="28"/>
          <w:lang w:eastAsia="ko-KR"/>
        </w:rPr>
        <w:t>June</w:t>
      </w:r>
      <w:r w:rsidR="00C12861" w:rsidRPr="008921F8">
        <w:rPr>
          <w:rFonts w:ascii="Times New Roman" w:eastAsia="Batang" w:hAnsi="Times New Roman"/>
          <w:b/>
          <w:sz w:val="28"/>
          <w:szCs w:val="28"/>
          <w:lang w:eastAsia="ko-KR"/>
        </w:rPr>
        <w:t xml:space="preserve"> 201</w:t>
      </w:r>
      <w:r w:rsidR="00E47681">
        <w:rPr>
          <w:rFonts w:ascii="Times New Roman" w:eastAsia="Batang" w:hAnsi="Times New Roman"/>
          <w:b/>
          <w:sz w:val="28"/>
          <w:szCs w:val="28"/>
          <w:lang w:eastAsia="ko-KR"/>
        </w:rPr>
        <w:t>5</w:t>
      </w:r>
      <w:r w:rsidR="00C12861" w:rsidRPr="008921F8">
        <w:rPr>
          <w:rFonts w:ascii="Times New Roman" w:eastAsia="Batang" w:hAnsi="Times New Roman"/>
          <w:b/>
          <w:sz w:val="28"/>
          <w:szCs w:val="28"/>
          <w:lang w:eastAsia="ko-KR"/>
        </w:rPr>
        <w:t>, New York</w:t>
      </w:r>
    </w:p>
    <w:p w:rsidR="00D23B83" w:rsidRDefault="000870B5" w:rsidP="00625131">
      <w:pPr>
        <w:tabs>
          <w:tab w:val="left" w:pos="3874"/>
        </w:tabs>
        <w:spacing w:after="0" w:line="240" w:lineRule="auto"/>
        <w:rPr>
          <w:rFonts w:ascii="Times New Roman" w:eastAsia="Batang" w:hAnsi="Times New Roman"/>
          <w:lang w:eastAsia="ko-KR"/>
        </w:rPr>
      </w:pPr>
      <w:r>
        <w:rPr>
          <w:rFonts w:ascii="Times New Roman" w:eastAsia="Batang" w:hAnsi="Times New Roman"/>
          <w:lang w:eastAsia="ko-KR"/>
        </w:rPr>
        <w:tab/>
      </w:r>
    </w:p>
    <w:p w:rsidR="00D23B83" w:rsidRDefault="00D23B83" w:rsidP="00625131">
      <w:pPr>
        <w:spacing w:after="0" w:line="240" w:lineRule="auto"/>
        <w:jc w:val="center"/>
        <w:rPr>
          <w:rFonts w:ascii="Times New Roman" w:eastAsia="Batang" w:hAnsi="Times New Roman"/>
          <w:lang w:eastAsia="ko-KR"/>
        </w:rPr>
      </w:pPr>
    </w:p>
    <w:p w:rsidR="00D23B83" w:rsidRDefault="00D23B83" w:rsidP="00625131">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D23B83" w:rsidRDefault="00D23B83" w:rsidP="00A64968">
      <w:pPr>
        <w:spacing w:after="0" w:line="240" w:lineRule="auto"/>
        <w:jc w:val="center"/>
        <w:rPr>
          <w:rFonts w:ascii="Times New Roman" w:eastAsia="Batang" w:hAnsi="Times New Roman"/>
          <w:lang w:eastAsia="ko-KR"/>
        </w:rPr>
      </w:pPr>
    </w:p>
    <w:p w:rsidR="004A42B7" w:rsidRDefault="004A42B7" w:rsidP="00A64968">
      <w:pPr>
        <w:pStyle w:val="ColorfulShading-Accent31"/>
        <w:spacing w:after="0" w:line="240" w:lineRule="auto"/>
        <w:ind w:left="360"/>
        <w:rPr>
          <w:rFonts w:ascii="Times New Roman" w:eastAsia="Batang" w:hAnsi="Times New Roman"/>
          <w:lang w:eastAsia="ko-KR"/>
        </w:rPr>
      </w:pPr>
    </w:p>
    <w:p w:rsidR="004A42B7" w:rsidRPr="009007DC" w:rsidRDefault="004A42B7" w:rsidP="00A64968">
      <w:pPr>
        <w:pStyle w:val="ColorfulShading-Accent31"/>
        <w:spacing w:after="0" w:line="240" w:lineRule="auto"/>
        <w:ind w:left="360" w:hanging="360"/>
        <w:rPr>
          <w:rFonts w:ascii="Times New Roman" w:eastAsia="Batang" w:hAnsi="Times New Roman"/>
          <w:b/>
          <w:lang w:eastAsia="ko-KR"/>
        </w:rPr>
      </w:pPr>
      <w:r w:rsidRPr="009007DC">
        <w:rPr>
          <w:rFonts w:ascii="Times New Roman" w:eastAsia="Batang" w:hAnsi="Times New Roman"/>
          <w:b/>
          <w:lang w:eastAsia="ko-KR"/>
        </w:rPr>
        <w:t>Content</w:t>
      </w:r>
    </w:p>
    <w:p w:rsidR="004A42B7" w:rsidRPr="00B54B98" w:rsidRDefault="004A42B7" w:rsidP="00A64968">
      <w:pPr>
        <w:spacing w:after="0" w:line="240" w:lineRule="auto"/>
        <w:jc w:val="both"/>
        <w:rPr>
          <w:rFonts w:ascii="Times New Roman" w:eastAsia="Batang" w:hAnsi="Times New Roman"/>
          <w:b/>
          <w:lang w:eastAsia="ko-KR"/>
        </w:rPr>
      </w:pPr>
    </w:p>
    <w:p w:rsidR="004A42B7" w:rsidRPr="00377F15" w:rsidRDefault="004A42B7" w:rsidP="00A64968">
      <w:pPr>
        <w:spacing w:after="0" w:line="240" w:lineRule="auto"/>
        <w:jc w:val="both"/>
        <w:rPr>
          <w:rFonts w:ascii="Times New Roman" w:eastAsia="Batang" w:hAnsi="Times New Roman"/>
          <w:b/>
          <w:lang w:eastAsia="ko-KR"/>
        </w:rPr>
      </w:pPr>
      <w:r w:rsidRPr="00B54B98">
        <w:rPr>
          <w:rFonts w:ascii="Times New Roman" w:eastAsia="Batang" w:hAnsi="Times New Roman"/>
          <w:lang w:eastAsia="ko-KR"/>
        </w:rPr>
        <w:tab/>
      </w:r>
      <w:r w:rsidR="00665781" w:rsidRPr="00377F15">
        <w:rPr>
          <w:rFonts w:ascii="Times New Roman" w:eastAsia="Batang" w:hAnsi="Times New Roman"/>
          <w:b/>
          <w:lang w:eastAsia="ko-KR"/>
        </w:rPr>
        <w:t>Background</w:t>
      </w:r>
    </w:p>
    <w:p w:rsidR="004A42B7" w:rsidRPr="004A42B7" w:rsidRDefault="004A42B7" w:rsidP="00A64968">
      <w:pPr>
        <w:pStyle w:val="ColorfulShading-Accent31"/>
        <w:spacing w:after="0" w:line="240" w:lineRule="auto"/>
        <w:ind w:left="360" w:hanging="360"/>
        <w:rPr>
          <w:rFonts w:ascii="Times New Roman" w:eastAsia="Batang" w:hAnsi="Times New Roman"/>
          <w:sz w:val="18"/>
          <w:szCs w:val="18"/>
          <w:lang w:eastAsia="ko-KR"/>
        </w:rPr>
      </w:pPr>
    </w:p>
    <w:p w:rsidR="00E927D1" w:rsidRDefault="00E927D1" w:rsidP="00A64968">
      <w:pPr>
        <w:pStyle w:val="ColorfulShading-Accent31"/>
        <w:spacing w:after="0" w:line="240" w:lineRule="auto"/>
        <w:ind w:left="1080"/>
        <w:rPr>
          <w:rFonts w:ascii="Times New Roman" w:eastAsia="Batang" w:hAnsi="Times New Roman"/>
          <w:lang w:eastAsia="ko-KR"/>
        </w:rPr>
      </w:pPr>
    </w:p>
    <w:p w:rsidR="00B54B98" w:rsidRDefault="00B54B98" w:rsidP="00A64968">
      <w:pPr>
        <w:pStyle w:val="ColorfulShading-Accent31"/>
        <w:numPr>
          <w:ilvl w:val="0"/>
          <w:numId w:val="1"/>
        </w:numPr>
        <w:tabs>
          <w:tab w:val="left" w:pos="360"/>
        </w:tabs>
        <w:spacing w:line="240" w:lineRule="auto"/>
        <w:rPr>
          <w:rFonts w:ascii="Times New Roman" w:eastAsia="Batang" w:hAnsi="Times New Roman"/>
          <w:b/>
          <w:bCs/>
          <w:lang w:eastAsia="ko-KR"/>
        </w:rPr>
      </w:pPr>
      <w:r w:rsidRPr="00377F15">
        <w:rPr>
          <w:rFonts w:ascii="Times New Roman" w:eastAsia="Batang" w:hAnsi="Times New Roman"/>
          <w:b/>
          <w:bCs/>
          <w:lang w:eastAsia="ko-KR"/>
        </w:rPr>
        <w:t xml:space="preserve">Evaluation coverage and quality - UNDP comments on IEO activities in 2014 </w:t>
      </w:r>
    </w:p>
    <w:p w:rsidR="00C457E7" w:rsidRPr="00377F15" w:rsidRDefault="00C457E7" w:rsidP="00C457E7">
      <w:pPr>
        <w:pStyle w:val="ColorfulShading-Accent31"/>
        <w:tabs>
          <w:tab w:val="left" w:pos="360"/>
        </w:tabs>
        <w:spacing w:line="240" w:lineRule="auto"/>
        <w:ind w:left="1080"/>
        <w:rPr>
          <w:rFonts w:ascii="Times New Roman" w:eastAsia="Batang" w:hAnsi="Times New Roman"/>
          <w:b/>
          <w:bCs/>
          <w:lang w:eastAsia="ko-KR"/>
        </w:rPr>
      </w:pPr>
    </w:p>
    <w:p w:rsidR="00713E5B" w:rsidRDefault="00B54B98" w:rsidP="00A64968">
      <w:pPr>
        <w:pStyle w:val="ColorfulShading-Accent31"/>
        <w:numPr>
          <w:ilvl w:val="0"/>
          <w:numId w:val="36"/>
        </w:numPr>
        <w:spacing w:line="240" w:lineRule="auto"/>
        <w:rPr>
          <w:rFonts w:ascii="Times New Roman" w:eastAsia="Batang" w:hAnsi="Times New Roman"/>
          <w:lang w:eastAsia="ko-KR"/>
        </w:rPr>
      </w:pPr>
      <w:r w:rsidRPr="00713E5B">
        <w:rPr>
          <w:rFonts w:ascii="Times New Roman" w:eastAsia="Batang" w:hAnsi="Times New Roman"/>
          <w:lang w:eastAsia="ko-KR"/>
        </w:rPr>
        <w:t>Progress on the A</w:t>
      </w:r>
      <w:r w:rsidR="00C457E7">
        <w:rPr>
          <w:rFonts w:ascii="Times New Roman" w:eastAsia="Batang" w:hAnsi="Times New Roman"/>
          <w:lang w:eastAsia="ko-KR"/>
        </w:rPr>
        <w:t xml:space="preserve">ssessment of </w:t>
      </w:r>
      <w:r w:rsidRPr="00713E5B">
        <w:rPr>
          <w:rFonts w:ascii="Times New Roman" w:eastAsia="Batang" w:hAnsi="Times New Roman"/>
          <w:lang w:eastAsia="ko-KR"/>
        </w:rPr>
        <w:t>D</w:t>
      </w:r>
      <w:r w:rsidR="00C457E7">
        <w:rPr>
          <w:rFonts w:ascii="Times New Roman" w:eastAsia="Batang" w:hAnsi="Times New Roman"/>
          <w:lang w:eastAsia="ko-KR"/>
        </w:rPr>
        <w:t xml:space="preserve">evelopment </w:t>
      </w:r>
      <w:r w:rsidRPr="00713E5B">
        <w:rPr>
          <w:rFonts w:ascii="Times New Roman" w:eastAsia="Batang" w:hAnsi="Times New Roman"/>
          <w:lang w:eastAsia="ko-KR"/>
        </w:rPr>
        <w:t>R</w:t>
      </w:r>
      <w:r w:rsidR="00C457E7">
        <w:rPr>
          <w:rFonts w:ascii="Times New Roman" w:eastAsia="Batang" w:hAnsi="Times New Roman"/>
          <w:lang w:eastAsia="ko-KR"/>
        </w:rPr>
        <w:t>esults (ADR)</w:t>
      </w:r>
      <w:r w:rsidRPr="00713E5B">
        <w:rPr>
          <w:rFonts w:ascii="Times New Roman" w:eastAsia="Batang" w:hAnsi="Times New Roman"/>
          <w:lang w:eastAsia="ko-KR"/>
        </w:rPr>
        <w:t xml:space="preserve"> reform</w:t>
      </w:r>
    </w:p>
    <w:p w:rsidR="00C457E7" w:rsidRPr="00C457E7" w:rsidRDefault="00C457E7" w:rsidP="00C457E7">
      <w:pPr>
        <w:pStyle w:val="ColorfulShading-Accent31"/>
        <w:numPr>
          <w:ilvl w:val="0"/>
          <w:numId w:val="36"/>
        </w:numPr>
        <w:tabs>
          <w:tab w:val="left" w:pos="360"/>
        </w:tabs>
        <w:spacing w:after="0" w:line="240" w:lineRule="auto"/>
        <w:jc w:val="both"/>
        <w:rPr>
          <w:rFonts w:ascii="Times New Roman" w:eastAsia="Batang" w:hAnsi="Times New Roman"/>
          <w:lang w:eastAsia="ko-KR"/>
        </w:rPr>
      </w:pPr>
      <w:r w:rsidRPr="00B54B98">
        <w:rPr>
          <w:rFonts w:ascii="Times New Roman" w:eastAsia="Batang" w:hAnsi="Times New Roman"/>
          <w:lang w:eastAsia="ko-KR"/>
        </w:rPr>
        <w:t xml:space="preserve">Joint evaluations </w:t>
      </w:r>
    </w:p>
    <w:p w:rsidR="00B54B98" w:rsidRPr="00713E5B" w:rsidRDefault="00B54B98" w:rsidP="00A64968">
      <w:pPr>
        <w:pStyle w:val="ColorfulShading-Accent31"/>
        <w:numPr>
          <w:ilvl w:val="0"/>
          <w:numId w:val="36"/>
        </w:numPr>
        <w:spacing w:line="240" w:lineRule="auto"/>
        <w:rPr>
          <w:rFonts w:ascii="Times New Roman" w:eastAsia="Batang" w:hAnsi="Times New Roman"/>
          <w:lang w:eastAsia="ko-KR"/>
        </w:rPr>
      </w:pPr>
      <w:r w:rsidRPr="00713E5B">
        <w:rPr>
          <w:rFonts w:ascii="Times New Roman" w:eastAsia="Batang" w:hAnsi="Times New Roman"/>
          <w:lang w:eastAsia="ko-KR"/>
        </w:rPr>
        <w:t>Evaluation Advisory Panel</w:t>
      </w:r>
    </w:p>
    <w:p w:rsidR="00B54B98" w:rsidRPr="00071A9A" w:rsidRDefault="00B54B98" w:rsidP="00A64968">
      <w:pPr>
        <w:pStyle w:val="ColorfulShading-Accent31"/>
        <w:numPr>
          <w:ilvl w:val="0"/>
          <w:numId w:val="36"/>
        </w:numPr>
        <w:spacing w:line="240" w:lineRule="auto"/>
        <w:rPr>
          <w:rFonts w:ascii="Times New Roman" w:eastAsia="Batang" w:hAnsi="Times New Roman"/>
          <w:lang w:eastAsia="ko-KR"/>
        </w:rPr>
      </w:pPr>
      <w:r w:rsidRPr="00071A9A">
        <w:rPr>
          <w:rFonts w:ascii="Times New Roman" w:eastAsia="Batang" w:hAnsi="Times New Roman"/>
          <w:lang w:eastAsia="ko-KR"/>
        </w:rPr>
        <w:t xml:space="preserve">Support to regional and national evaluation capacity </w:t>
      </w:r>
    </w:p>
    <w:p w:rsidR="00B54B98" w:rsidRPr="00D754E4" w:rsidRDefault="00B54B98" w:rsidP="00A64968">
      <w:pPr>
        <w:pStyle w:val="ColorfulShading-Accent31"/>
        <w:tabs>
          <w:tab w:val="left" w:pos="360"/>
        </w:tabs>
        <w:spacing w:line="240" w:lineRule="auto"/>
        <w:ind w:left="1080"/>
        <w:rPr>
          <w:rFonts w:ascii="Times New Roman" w:eastAsia="Batang" w:hAnsi="Times New Roman"/>
          <w:b/>
          <w:bCs/>
          <w:lang w:eastAsia="ko-KR"/>
        </w:rPr>
      </w:pPr>
    </w:p>
    <w:p w:rsidR="00071A9A" w:rsidRPr="00377F15" w:rsidRDefault="00071A9A" w:rsidP="00C53726">
      <w:pPr>
        <w:pStyle w:val="ColorfulShading-Accent31"/>
        <w:numPr>
          <w:ilvl w:val="0"/>
          <w:numId w:val="1"/>
        </w:numPr>
        <w:spacing w:after="0" w:line="240" w:lineRule="auto"/>
        <w:rPr>
          <w:rFonts w:ascii="Times New Roman" w:eastAsia="Batang" w:hAnsi="Times New Roman"/>
          <w:b/>
          <w:lang w:eastAsia="ko-KR"/>
        </w:rPr>
      </w:pPr>
      <w:r w:rsidRPr="00377F15">
        <w:rPr>
          <w:rFonts w:ascii="Times New Roman" w:eastAsia="Batang" w:hAnsi="Times New Roman"/>
          <w:b/>
          <w:lang w:eastAsia="ko-KR"/>
        </w:rPr>
        <w:t xml:space="preserve">Decentralized evaluations </w:t>
      </w:r>
    </w:p>
    <w:p w:rsidR="00071A9A" w:rsidRPr="00071A9A" w:rsidRDefault="00071A9A" w:rsidP="00A64968">
      <w:pPr>
        <w:pStyle w:val="ColorfulShading-Accent31"/>
        <w:spacing w:after="0" w:line="240" w:lineRule="auto"/>
        <w:ind w:left="360"/>
        <w:rPr>
          <w:rFonts w:ascii="Times New Roman" w:eastAsia="Batang" w:hAnsi="Times New Roman"/>
          <w:lang w:eastAsia="ko-KR"/>
        </w:rPr>
      </w:pPr>
    </w:p>
    <w:p w:rsidR="00F068C3" w:rsidRPr="00C457E7" w:rsidRDefault="00C457E7" w:rsidP="00A64968">
      <w:pPr>
        <w:pStyle w:val="ColorfulShading-Accent31"/>
        <w:numPr>
          <w:ilvl w:val="0"/>
          <w:numId w:val="36"/>
        </w:numPr>
        <w:spacing w:after="0" w:line="240" w:lineRule="auto"/>
        <w:rPr>
          <w:rFonts w:ascii="Times New Roman" w:eastAsia="Batang" w:hAnsi="Times New Roman"/>
          <w:lang w:val="en-GB" w:eastAsia="ko-KR"/>
        </w:rPr>
      </w:pPr>
      <w:r>
        <w:rPr>
          <w:rFonts w:ascii="Times New Roman" w:eastAsia="Batang" w:hAnsi="Times New Roman"/>
          <w:lang w:eastAsia="ko-KR"/>
        </w:rPr>
        <w:t xml:space="preserve">Evaluation capacities of </w:t>
      </w:r>
      <w:r w:rsidR="00071A9A" w:rsidRPr="00071A9A">
        <w:rPr>
          <w:rFonts w:ascii="Times New Roman" w:eastAsia="Batang" w:hAnsi="Times New Roman"/>
          <w:lang w:eastAsia="ko-KR"/>
        </w:rPr>
        <w:t xml:space="preserve">Country </w:t>
      </w:r>
      <w:r>
        <w:rPr>
          <w:rFonts w:ascii="Times New Roman" w:eastAsia="Batang" w:hAnsi="Times New Roman"/>
          <w:lang w:eastAsia="ko-KR"/>
        </w:rPr>
        <w:t>O</w:t>
      </w:r>
      <w:r w:rsidR="00071A9A" w:rsidRPr="00071A9A">
        <w:rPr>
          <w:rFonts w:ascii="Times New Roman" w:eastAsia="Batang" w:hAnsi="Times New Roman"/>
          <w:lang w:eastAsia="ko-KR"/>
        </w:rPr>
        <w:t>ffice</w:t>
      </w:r>
      <w:r>
        <w:rPr>
          <w:rFonts w:ascii="Times New Roman" w:eastAsia="Batang" w:hAnsi="Times New Roman"/>
          <w:lang w:eastAsia="ko-KR"/>
        </w:rPr>
        <w:t>s</w:t>
      </w:r>
      <w:r w:rsidR="00071A9A" w:rsidRPr="00071A9A">
        <w:rPr>
          <w:rFonts w:ascii="Times New Roman" w:eastAsia="Batang" w:hAnsi="Times New Roman"/>
          <w:lang w:eastAsia="ko-KR"/>
        </w:rPr>
        <w:t xml:space="preserve"> and </w:t>
      </w:r>
      <w:r>
        <w:rPr>
          <w:rFonts w:ascii="Times New Roman" w:eastAsia="Batang" w:hAnsi="Times New Roman"/>
          <w:lang w:eastAsia="ko-KR"/>
        </w:rPr>
        <w:t>Headquarters Units</w:t>
      </w:r>
    </w:p>
    <w:p w:rsidR="00C457E7" w:rsidRPr="00071A9A" w:rsidRDefault="00C457E7" w:rsidP="00A64968">
      <w:pPr>
        <w:pStyle w:val="ColorfulShading-Accent31"/>
        <w:numPr>
          <w:ilvl w:val="0"/>
          <w:numId w:val="36"/>
        </w:numPr>
        <w:spacing w:after="0" w:line="240" w:lineRule="auto"/>
        <w:rPr>
          <w:rFonts w:ascii="Times New Roman" w:eastAsia="Batang" w:hAnsi="Times New Roman"/>
          <w:lang w:val="en-GB" w:eastAsia="ko-KR"/>
        </w:rPr>
      </w:pPr>
      <w:r>
        <w:rPr>
          <w:rFonts w:ascii="Times New Roman" w:eastAsia="Batang" w:hAnsi="Times New Roman"/>
          <w:lang w:eastAsia="ko-KR"/>
        </w:rPr>
        <w:t xml:space="preserve">IEO Assessment of the Quality of Decentralized Evaluations </w:t>
      </w:r>
    </w:p>
    <w:p w:rsidR="001243D6" w:rsidRDefault="001243D6" w:rsidP="00A64968">
      <w:pPr>
        <w:pStyle w:val="ColorfulShading-Accent31"/>
        <w:spacing w:after="0" w:line="240" w:lineRule="auto"/>
        <w:ind w:left="360"/>
        <w:rPr>
          <w:rFonts w:ascii="Times New Roman" w:eastAsia="Batang" w:hAnsi="Times New Roman"/>
          <w:lang w:eastAsia="ko-KR"/>
        </w:rPr>
      </w:pPr>
      <w:bookmarkStart w:id="0" w:name="_GoBack"/>
      <w:bookmarkEnd w:id="0"/>
    </w:p>
    <w:p w:rsidR="00C457E7" w:rsidRDefault="00C854A7" w:rsidP="00A64968">
      <w:pPr>
        <w:numPr>
          <w:ilvl w:val="0"/>
          <w:numId w:val="37"/>
        </w:numPr>
        <w:spacing w:line="240" w:lineRule="auto"/>
        <w:rPr>
          <w:rFonts w:ascii="Times New Roman" w:eastAsia="Batang" w:hAnsi="Times New Roman"/>
          <w:b/>
          <w:lang w:eastAsia="ko-KR"/>
        </w:rPr>
      </w:pPr>
      <w:r w:rsidRPr="00377F15">
        <w:rPr>
          <w:rFonts w:ascii="Times New Roman" w:eastAsia="Batang" w:hAnsi="Times New Roman"/>
          <w:b/>
          <w:lang w:eastAsia="ko-KR"/>
        </w:rPr>
        <w:t>Follow up on evaluation recommendations and management response</w:t>
      </w:r>
      <w:r w:rsidR="00C457E7">
        <w:rPr>
          <w:rFonts w:ascii="Times New Roman" w:eastAsia="Batang" w:hAnsi="Times New Roman"/>
          <w:b/>
          <w:lang w:eastAsia="ko-KR"/>
        </w:rPr>
        <w:t>s</w:t>
      </w:r>
    </w:p>
    <w:p w:rsidR="00C457E7" w:rsidRPr="00C457E7" w:rsidRDefault="00C457E7" w:rsidP="00C457E7">
      <w:pPr>
        <w:pStyle w:val="ListParagraph"/>
        <w:numPr>
          <w:ilvl w:val="0"/>
          <w:numId w:val="36"/>
        </w:numPr>
        <w:spacing w:after="0" w:line="240" w:lineRule="auto"/>
        <w:rPr>
          <w:rFonts w:ascii="Times New Roman" w:eastAsia="Batang" w:hAnsi="Times New Roman"/>
          <w:lang w:eastAsia="ko-KR"/>
        </w:rPr>
      </w:pPr>
      <w:r w:rsidRPr="00C457E7">
        <w:rPr>
          <w:rFonts w:ascii="Times New Roman" w:eastAsia="Batang" w:hAnsi="Times New Roman"/>
          <w:lang w:eastAsia="ko-KR"/>
        </w:rPr>
        <w:t>Thematic evaluations</w:t>
      </w:r>
    </w:p>
    <w:p w:rsidR="00C457E7" w:rsidRPr="00C457E7" w:rsidRDefault="00C457E7" w:rsidP="00C457E7">
      <w:pPr>
        <w:pStyle w:val="ListParagraph"/>
        <w:numPr>
          <w:ilvl w:val="0"/>
          <w:numId w:val="36"/>
        </w:numPr>
        <w:spacing w:after="0" w:line="240" w:lineRule="auto"/>
        <w:rPr>
          <w:rFonts w:ascii="Times New Roman" w:eastAsia="Batang" w:hAnsi="Times New Roman"/>
          <w:lang w:eastAsia="ko-KR"/>
        </w:rPr>
      </w:pPr>
      <w:r w:rsidRPr="00C457E7">
        <w:rPr>
          <w:rFonts w:ascii="Times New Roman" w:eastAsia="Batang" w:hAnsi="Times New Roman"/>
          <w:lang w:eastAsia="ko-KR"/>
        </w:rPr>
        <w:t>Evaluation of Global Programme</w:t>
      </w:r>
    </w:p>
    <w:p w:rsidR="00C457E7" w:rsidRPr="00C457E7" w:rsidRDefault="00C457E7" w:rsidP="00C457E7">
      <w:pPr>
        <w:pStyle w:val="ListParagraph"/>
        <w:numPr>
          <w:ilvl w:val="0"/>
          <w:numId w:val="36"/>
        </w:numPr>
        <w:spacing w:after="0" w:line="240" w:lineRule="auto"/>
        <w:rPr>
          <w:rFonts w:ascii="Times New Roman" w:eastAsia="Batang" w:hAnsi="Times New Roman"/>
          <w:lang w:eastAsia="ko-KR"/>
        </w:rPr>
      </w:pPr>
      <w:r w:rsidRPr="00C457E7">
        <w:rPr>
          <w:rFonts w:ascii="Times New Roman" w:eastAsia="Batang" w:hAnsi="Times New Roman"/>
          <w:lang w:eastAsia="ko-KR"/>
        </w:rPr>
        <w:t>Evaluation of Regional Programmes</w:t>
      </w:r>
    </w:p>
    <w:p w:rsidR="00C854A7" w:rsidRDefault="00C457E7" w:rsidP="00C457E7">
      <w:pPr>
        <w:pStyle w:val="ListParagraph"/>
        <w:numPr>
          <w:ilvl w:val="0"/>
          <w:numId w:val="36"/>
        </w:numPr>
        <w:spacing w:after="0" w:line="240" w:lineRule="auto"/>
        <w:rPr>
          <w:rFonts w:ascii="Times New Roman" w:eastAsia="Batang" w:hAnsi="Times New Roman"/>
          <w:lang w:eastAsia="ko-KR"/>
        </w:rPr>
      </w:pPr>
      <w:r w:rsidRPr="00C457E7">
        <w:rPr>
          <w:rFonts w:ascii="Times New Roman" w:eastAsia="Batang" w:hAnsi="Times New Roman"/>
          <w:lang w:eastAsia="ko-KR"/>
        </w:rPr>
        <w:t>Assessments of Development Results (ADRs)</w:t>
      </w:r>
      <w:r w:rsidR="00C854A7" w:rsidRPr="00C457E7">
        <w:rPr>
          <w:rFonts w:ascii="Times New Roman" w:eastAsia="Batang" w:hAnsi="Times New Roman"/>
          <w:lang w:eastAsia="ko-KR"/>
        </w:rPr>
        <w:t xml:space="preserve"> </w:t>
      </w:r>
    </w:p>
    <w:p w:rsidR="00C457E7" w:rsidRPr="00C457E7" w:rsidRDefault="00C457E7" w:rsidP="00C457E7">
      <w:pPr>
        <w:pStyle w:val="ListParagraph"/>
        <w:spacing w:after="0" w:line="240" w:lineRule="auto"/>
        <w:ind w:left="1080"/>
        <w:rPr>
          <w:rFonts w:ascii="Times New Roman" w:eastAsia="Batang" w:hAnsi="Times New Roman"/>
          <w:lang w:eastAsia="ko-KR"/>
        </w:rPr>
      </w:pPr>
    </w:p>
    <w:p w:rsidR="00C854A7" w:rsidRPr="00377F15" w:rsidRDefault="00C854A7" w:rsidP="00A64968">
      <w:pPr>
        <w:numPr>
          <w:ilvl w:val="0"/>
          <w:numId w:val="37"/>
        </w:numPr>
        <w:spacing w:line="240" w:lineRule="auto"/>
        <w:rPr>
          <w:rFonts w:ascii="Times New Roman" w:eastAsia="Batang" w:hAnsi="Times New Roman"/>
          <w:b/>
          <w:lang w:eastAsia="ko-KR"/>
        </w:rPr>
      </w:pPr>
      <w:r w:rsidRPr="00377F15">
        <w:rPr>
          <w:rFonts w:ascii="Times New Roman" w:eastAsia="Batang" w:hAnsi="Times New Roman"/>
          <w:b/>
          <w:lang w:eastAsia="ko-KR"/>
        </w:rPr>
        <w:t>Evaluation activities of the United Nations Capital Development Fund</w:t>
      </w:r>
    </w:p>
    <w:p w:rsidR="00C854A7" w:rsidRPr="00377F15" w:rsidRDefault="00C854A7" w:rsidP="00A64968">
      <w:pPr>
        <w:numPr>
          <w:ilvl w:val="0"/>
          <w:numId w:val="37"/>
        </w:numPr>
        <w:spacing w:line="240" w:lineRule="auto"/>
        <w:rPr>
          <w:rFonts w:ascii="Times New Roman" w:eastAsia="Batang" w:hAnsi="Times New Roman"/>
          <w:b/>
          <w:lang w:eastAsia="ko-KR"/>
        </w:rPr>
      </w:pPr>
      <w:r w:rsidRPr="00377F15">
        <w:rPr>
          <w:rFonts w:ascii="Times New Roman" w:eastAsia="Batang" w:hAnsi="Times New Roman"/>
          <w:b/>
          <w:lang w:eastAsia="ko-KR"/>
        </w:rPr>
        <w:t>Evaluation activities of the United Nations Volunteers</w:t>
      </w:r>
    </w:p>
    <w:p w:rsidR="00713E5B" w:rsidRDefault="00713E5B" w:rsidP="00A64968">
      <w:pPr>
        <w:pStyle w:val="ColorfulShading-Accent31"/>
        <w:spacing w:after="0" w:line="240" w:lineRule="auto"/>
        <w:ind w:left="360"/>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1F4857" w:rsidRDefault="001F4857" w:rsidP="00A64968">
      <w:pPr>
        <w:spacing w:after="0" w:line="240" w:lineRule="auto"/>
        <w:rPr>
          <w:rFonts w:ascii="Times New Roman" w:eastAsia="Batang" w:hAnsi="Times New Roman"/>
          <w:lang w:eastAsia="ko-KR"/>
        </w:rPr>
      </w:pPr>
    </w:p>
    <w:p w:rsidR="00AC5CFA" w:rsidRPr="00BD28B3" w:rsidRDefault="001162AA" w:rsidP="00C457E7">
      <w:pPr>
        <w:spacing w:after="0" w:line="240" w:lineRule="auto"/>
        <w:rPr>
          <w:rFonts w:ascii="Times New Roman" w:eastAsia="Batang" w:hAnsi="Times New Roman"/>
          <w:b/>
          <w:lang w:eastAsia="ko-KR"/>
        </w:rPr>
      </w:pPr>
      <w:r>
        <w:rPr>
          <w:rFonts w:ascii="Times New Roman" w:eastAsia="Batang" w:hAnsi="Times New Roman"/>
          <w:b/>
          <w:lang w:eastAsia="ko-KR"/>
        </w:rPr>
        <w:t>Background</w:t>
      </w:r>
    </w:p>
    <w:p w:rsidR="00334882" w:rsidRDefault="00625131" w:rsidP="00914D75">
      <w:pPr>
        <w:pStyle w:val="ColorfulShading-Accent31"/>
        <w:numPr>
          <w:ilvl w:val="0"/>
          <w:numId w:val="9"/>
        </w:numPr>
        <w:tabs>
          <w:tab w:val="left" w:pos="360"/>
        </w:tabs>
        <w:spacing w:before="160" w:after="160" w:line="240" w:lineRule="auto"/>
        <w:ind w:left="0" w:firstLine="0"/>
        <w:contextualSpacing w:val="0"/>
        <w:jc w:val="both"/>
        <w:rPr>
          <w:rFonts w:ascii="Times New Roman" w:eastAsia="Batang" w:hAnsi="Times New Roman"/>
          <w:i/>
          <w:lang w:eastAsia="ko-KR"/>
        </w:rPr>
      </w:pPr>
      <w:r>
        <w:rPr>
          <w:rFonts w:ascii="Times New Roman" w:eastAsia="Batang" w:hAnsi="Times New Roman"/>
          <w:lang w:eastAsia="ko-KR"/>
        </w:rPr>
        <w:lastRenderedPageBreak/>
        <w:t>The</w:t>
      </w:r>
      <w:r w:rsidR="00334882">
        <w:rPr>
          <w:rFonts w:ascii="Times New Roman" w:eastAsia="Batang" w:hAnsi="Times New Roman"/>
          <w:lang w:eastAsia="ko-KR"/>
        </w:rPr>
        <w:t xml:space="preserve"> Independent Evaluation Office </w:t>
      </w:r>
      <w:r w:rsidR="00334882" w:rsidRPr="00622554">
        <w:rPr>
          <w:rFonts w:ascii="Times New Roman" w:eastAsia="Batang" w:hAnsi="Times New Roman"/>
          <w:lang w:eastAsia="ko-KR"/>
        </w:rPr>
        <w:t xml:space="preserve">is the custodian of the evaluation function </w:t>
      </w:r>
      <w:r>
        <w:rPr>
          <w:rFonts w:ascii="Times New Roman" w:eastAsia="Batang" w:hAnsi="Times New Roman"/>
          <w:lang w:eastAsia="ko-KR"/>
        </w:rPr>
        <w:t>[</w:t>
      </w:r>
      <w:r w:rsidRPr="00622554">
        <w:rPr>
          <w:rFonts w:ascii="Times New Roman" w:eastAsia="Batang" w:hAnsi="Times New Roman"/>
          <w:lang w:eastAsia="ko-KR"/>
        </w:rPr>
        <w:t>UNDP Evaluation Policy</w:t>
      </w:r>
      <w:r>
        <w:rPr>
          <w:rFonts w:ascii="Times New Roman" w:eastAsia="Batang" w:hAnsi="Times New Roman"/>
          <w:lang w:eastAsia="ko-KR"/>
        </w:rPr>
        <w:t xml:space="preserve">, Section A, paragraph 19] </w:t>
      </w:r>
      <w:r w:rsidR="00334882">
        <w:rPr>
          <w:rFonts w:ascii="Times New Roman" w:eastAsia="Batang" w:hAnsi="Times New Roman"/>
          <w:lang w:eastAsia="ko-KR"/>
        </w:rPr>
        <w:t xml:space="preserve">and reports annually to the Executive Board on the function, compliance, coverage, quality, findings and follow-up to evaluations conducted by UNDP and its associated funds and programmes. </w:t>
      </w:r>
    </w:p>
    <w:p w:rsidR="00914D75" w:rsidRPr="00914D75" w:rsidRDefault="00914D75" w:rsidP="00914D75">
      <w:pPr>
        <w:pStyle w:val="ColorfulShading-Accent31"/>
        <w:numPr>
          <w:ilvl w:val="0"/>
          <w:numId w:val="9"/>
        </w:numPr>
        <w:tabs>
          <w:tab w:val="left" w:pos="360"/>
        </w:tabs>
        <w:spacing w:before="160" w:after="160" w:line="240" w:lineRule="auto"/>
        <w:ind w:left="0" w:firstLine="0"/>
        <w:contextualSpacing w:val="0"/>
        <w:jc w:val="both"/>
        <w:rPr>
          <w:rFonts w:ascii="Times New Roman" w:eastAsia="Batang" w:hAnsi="Times New Roman"/>
          <w:i/>
          <w:lang w:eastAsia="ko-KR"/>
        </w:rPr>
      </w:pPr>
      <w:r>
        <w:rPr>
          <w:rFonts w:ascii="Times New Roman" w:eastAsia="Batang" w:hAnsi="Times New Roman"/>
          <w:lang w:eastAsia="ko-KR"/>
        </w:rPr>
        <w:t xml:space="preserve">The Annual Report on Evaluation assesses the progress made by UNDP and its associated funds and programmes in fulfilling the evaluation function objectives outlined in the UNDP Evaluation Policy. It presents an assessment of UNDP’s evaluation capacity, provides key findings and lessons emerging from independent evaluations conducted in 2014, and sets out the programme of work of the Evaluation Office for 2015 and 2016.  </w:t>
      </w:r>
    </w:p>
    <w:p w:rsidR="00914D75" w:rsidRPr="00AC1365" w:rsidRDefault="00914D75" w:rsidP="00914D75">
      <w:pPr>
        <w:numPr>
          <w:ilvl w:val="0"/>
          <w:numId w:val="9"/>
        </w:numPr>
        <w:tabs>
          <w:tab w:val="left" w:pos="360"/>
        </w:tabs>
        <w:spacing w:before="160" w:after="160" w:line="240" w:lineRule="auto"/>
        <w:ind w:left="0" w:firstLine="0"/>
        <w:jc w:val="both"/>
        <w:rPr>
          <w:rFonts w:ascii="Times New Roman" w:eastAsia="Batang" w:hAnsi="Times New Roman"/>
          <w:lang w:eastAsia="ko-KR"/>
        </w:rPr>
      </w:pPr>
      <w:r w:rsidRPr="008A42FB">
        <w:rPr>
          <w:rFonts w:ascii="Times New Roman" w:eastAsia="Batang" w:hAnsi="Times New Roman"/>
          <w:lang w:eastAsia="ko-KR"/>
        </w:rPr>
        <w:t>Th</w:t>
      </w:r>
      <w:r>
        <w:rPr>
          <w:rFonts w:ascii="Times New Roman" w:eastAsia="Batang" w:hAnsi="Times New Roman"/>
          <w:lang w:eastAsia="ko-KR"/>
        </w:rPr>
        <w:t>e commentaries submitted herewith provid</w:t>
      </w:r>
      <w:r w:rsidRPr="008A42FB">
        <w:rPr>
          <w:rFonts w:ascii="Times New Roman" w:eastAsia="Batang" w:hAnsi="Times New Roman"/>
          <w:lang w:eastAsia="ko-KR"/>
        </w:rPr>
        <w:t xml:space="preserve">e </w:t>
      </w:r>
      <w:r>
        <w:rPr>
          <w:rFonts w:ascii="Times New Roman" w:eastAsia="Batang" w:hAnsi="Times New Roman"/>
          <w:lang w:eastAsia="ko-KR"/>
        </w:rPr>
        <w:t>a</w:t>
      </w:r>
      <w:r w:rsidRPr="008A42FB">
        <w:rPr>
          <w:rFonts w:ascii="Times New Roman" w:eastAsia="Batang" w:hAnsi="Times New Roman"/>
          <w:lang w:eastAsia="ko-KR"/>
        </w:rPr>
        <w:t xml:space="preserve"> UNDP management </w:t>
      </w:r>
      <w:r>
        <w:rPr>
          <w:rFonts w:ascii="Times New Roman" w:eastAsia="Batang" w:hAnsi="Times New Roman"/>
          <w:lang w:eastAsia="ko-KR"/>
        </w:rPr>
        <w:t xml:space="preserve">perspective </w:t>
      </w:r>
      <w:r w:rsidRPr="008A42FB">
        <w:rPr>
          <w:rFonts w:ascii="Times New Roman" w:eastAsia="Batang" w:hAnsi="Times New Roman"/>
          <w:lang w:eastAsia="ko-KR"/>
        </w:rPr>
        <w:t>o</w:t>
      </w:r>
      <w:r>
        <w:rPr>
          <w:rFonts w:ascii="Times New Roman" w:eastAsia="Batang" w:hAnsi="Times New Roman"/>
          <w:lang w:eastAsia="ko-KR"/>
        </w:rPr>
        <w:t>n the</w:t>
      </w:r>
      <w:r w:rsidRPr="008A42FB">
        <w:rPr>
          <w:rFonts w:ascii="Times New Roman" w:eastAsia="Batang" w:hAnsi="Times New Roman"/>
          <w:lang w:eastAsia="ko-KR"/>
        </w:rPr>
        <w:t xml:space="preserve"> </w:t>
      </w:r>
      <w:r w:rsidR="000A27A6">
        <w:rPr>
          <w:rFonts w:ascii="Times New Roman" w:eastAsia="Batang" w:hAnsi="Times New Roman"/>
          <w:lang w:eastAsia="ko-KR"/>
        </w:rPr>
        <w:t>results presented</w:t>
      </w:r>
      <w:r w:rsidRPr="008A42FB">
        <w:rPr>
          <w:rFonts w:ascii="Times New Roman" w:eastAsia="Batang" w:hAnsi="Times New Roman"/>
          <w:lang w:eastAsia="ko-KR"/>
        </w:rPr>
        <w:t xml:space="preserve"> in the 201</w:t>
      </w:r>
      <w:r>
        <w:rPr>
          <w:rFonts w:ascii="Times New Roman" w:eastAsia="Batang" w:hAnsi="Times New Roman"/>
          <w:lang w:eastAsia="ko-KR"/>
        </w:rPr>
        <w:t>4</w:t>
      </w:r>
      <w:r w:rsidRPr="008A42FB">
        <w:rPr>
          <w:rFonts w:ascii="Times New Roman" w:eastAsia="Batang" w:hAnsi="Times New Roman"/>
          <w:lang w:eastAsia="ko-KR"/>
        </w:rPr>
        <w:t xml:space="preserve"> </w:t>
      </w:r>
      <w:r>
        <w:rPr>
          <w:rFonts w:ascii="Times New Roman" w:eastAsia="Batang" w:hAnsi="Times New Roman"/>
          <w:lang w:eastAsia="ko-KR"/>
        </w:rPr>
        <w:t>Annual R</w:t>
      </w:r>
      <w:r w:rsidRPr="008A42FB">
        <w:rPr>
          <w:rFonts w:ascii="Times New Roman" w:eastAsia="Batang" w:hAnsi="Times New Roman"/>
          <w:lang w:eastAsia="ko-KR"/>
        </w:rPr>
        <w:t xml:space="preserve">eport on </w:t>
      </w:r>
      <w:r w:rsidR="000A27A6">
        <w:rPr>
          <w:rFonts w:ascii="Times New Roman" w:eastAsia="Batang" w:hAnsi="Times New Roman"/>
          <w:lang w:eastAsia="ko-KR"/>
        </w:rPr>
        <w:t xml:space="preserve">independent </w:t>
      </w:r>
      <w:r w:rsidRPr="008A42FB">
        <w:rPr>
          <w:rFonts w:ascii="Times New Roman" w:eastAsia="Batang" w:hAnsi="Times New Roman"/>
          <w:lang w:eastAsia="ko-KR"/>
        </w:rPr>
        <w:t>evaluation in UNDP (DP/201</w:t>
      </w:r>
      <w:r>
        <w:rPr>
          <w:rFonts w:ascii="Times New Roman" w:eastAsia="Batang" w:hAnsi="Times New Roman"/>
          <w:lang w:eastAsia="ko-KR"/>
        </w:rPr>
        <w:t>5</w:t>
      </w:r>
      <w:r w:rsidRPr="008A42FB">
        <w:rPr>
          <w:rFonts w:ascii="Times New Roman" w:eastAsia="Batang" w:hAnsi="Times New Roman"/>
          <w:lang w:eastAsia="ko-KR"/>
        </w:rPr>
        <w:t>/</w:t>
      </w:r>
      <w:r>
        <w:rPr>
          <w:rFonts w:ascii="Times New Roman" w:eastAsia="Batang" w:hAnsi="Times New Roman"/>
          <w:lang w:eastAsia="ko-KR"/>
        </w:rPr>
        <w:t>XX</w:t>
      </w:r>
      <w:r w:rsidRPr="008A42FB">
        <w:rPr>
          <w:rFonts w:ascii="Times New Roman" w:eastAsia="Batang" w:hAnsi="Times New Roman"/>
          <w:lang w:eastAsia="ko-KR"/>
        </w:rPr>
        <w:t>)</w:t>
      </w:r>
      <w:r>
        <w:rPr>
          <w:rFonts w:ascii="Times New Roman" w:eastAsia="Batang" w:hAnsi="Times New Roman"/>
          <w:lang w:eastAsia="ko-KR"/>
        </w:rPr>
        <w:t xml:space="preserve">. </w:t>
      </w:r>
      <w:r w:rsidR="000A27A6">
        <w:rPr>
          <w:rFonts w:ascii="Times New Roman" w:eastAsia="Batang" w:hAnsi="Times New Roman"/>
          <w:lang w:eastAsia="ko-KR"/>
        </w:rPr>
        <w:t>Additionally</w:t>
      </w:r>
      <w:r>
        <w:rPr>
          <w:rFonts w:ascii="Times New Roman" w:eastAsia="Batang" w:hAnsi="Times New Roman"/>
          <w:lang w:eastAsia="ko-KR"/>
        </w:rPr>
        <w:t>, these commentaries also present a summary of the activity of decentralized evaluation and an update on the implementation status of related management responses.</w:t>
      </w:r>
    </w:p>
    <w:p w:rsidR="00C46CC3" w:rsidRDefault="00914D75" w:rsidP="00C46CC3">
      <w:pPr>
        <w:pStyle w:val="ColorfulShading-Accent31"/>
        <w:numPr>
          <w:ilvl w:val="0"/>
          <w:numId w:val="9"/>
        </w:numPr>
        <w:tabs>
          <w:tab w:val="left" w:pos="360"/>
        </w:tabs>
        <w:spacing w:after="0" w:line="240" w:lineRule="auto"/>
        <w:ind w:left="0" w:firstLine="0"/>
        <w:contextualSpacing w:val="0"/>
        <w:jc w:val="both"/>
        <w:rPr>
          <w:rFonts w:ascii="Times New Roman" w:eastAsia="Batang" w:hAnsi="Times New Roman"/>
          <w:i/>
          <w:lang w:eastAsia="ko-KR"/>
        </w:rPr>
      </w:pPr>
      <w:r>
        <w:rPr>
          <w:rFonts w:ascii="Times New Roman" w:eastAsia="Batang" w:hAnsi="Times New Roman"/>
          <w:lang w:eastAsia="ko-KR"/>
        </w:rPr>
        <w:t xml:space="preserve">The evaluations conducted by the Evaluation Office and by UNDP programme units in 2014, and </w:t>
      </w:r>
      <w:r w:rsidR="000A27A6">
        <w:rPr>
          <w:rFonts w:ascii="Times New Roman" w:eastAsia="Batang" w:hAnsi="Times New Roman"/>
          <w:lang w:eastAsia="ko-KR"/>
        </w:rPr>
        <w:t xml:space="preserve">the </w:t>
      </w:r>
      <w:r>
        <w:rPr>
          <w:rFonts w:ascii="Times New Roman" w:eastAsia="Batang" w:hAnsi="Times New Roman"/>
          <w:lang w:eastAsia="ko-KR"/>
        </w:rPr>
        <w:t xml:space="preserve">related management responses, as well as </w:t>
      </w:r>
      <w:r w:rsidR="000A27A6">
        <w:rPr>
          <w:rFonts w:ascii="Times New Roman" w:eastAsia="Batang" w:hAnsi="Times New Roman"/>
          <w:lang w:eastAsia="ko-KR"/>
        </w:rPr>
        <w:t xml:space="preserve">the </w:t>
      </w:r>
      <w:r>
        <w:rPr>
          <w:rFonts w:ascii="Times New Roman" w:eastAsia="Batang" w:hAnsi="Times New Roman"/>
          <w:lang w:eastAsia="ko-KR"/>
        </w:rPr>
        <w:t xml:space="preserve">status updates on implementation of commitments made in those responses are available through the </w:t>
      </w:r>
      <w:hyperlink r:id="rId10" w:history="1">
        <w:r w:rsidRPr="00D3001E">
          <w:rPr>
            <w:rStyle w:val="Hyperlink"/>
            <w:rFonts w:ascii="Times New Roman" w:eastAsia="Batang" w:hAnsi="Times New Roman"/>
            <w:lang w:eastAsia="ko-KR"/>
          </w:rPr>
          <w:t>Evaluation Resource Centre</w:t>
        </w:r>
      </w:hyperlink>
      <w:r>
        <w:rPr>
          <w:rFonts w:ascii="Times New Roman" w:eastAsia="Batang" w:hAnsi="Times New Roman"/>
          <w:lang w:eastAsia="ko-KR"/>
        </w:rPr>
        <w:t xml:space="preserve"> database (ERC).  </w:t>
      </w:r>
    </w:p>
    <w:p w:rsidR="00C46CC3" w:rsidRPr="00C46CC3" w:rsidRDefault="00C46CC3" w:rsidP="00C46CC3">
      <w:pPr>
        <w:pStyle w:val="ColorfulShading-Accent31"/>
        <w:tabs>
          <w:tab w:val="left" w:pos="360"/>
        </w:tabs>
        <w:spacing w:after="0" w:line="240" w:lineRule="auto"/>
        <w:ind w:left="0"/>
        <w:contextualSpacing w:val="0"/>
        <w:jc w:val="both"/>
        <w:rPr>
          <w:rFonts w:ascii="Times New Roman" w:eastAsia="Batang" w:hAnsi="Times New Roman"/>
          <w:i/>
          <w:lang w:eastAsia="ko-KR"/>
        </w:rPr>
      </w:pPr>
    </w:p>
    <w:p w:rsidR="00720EBA" w:rsidRPr="00B86F2A" w:rsidRDefault="006F01C7" w:rsidP="00B0304A">
      <w:pPr>
        <w:pStyle w:val="ColorfulShading-Accent31"/>
        <w:numPr>
          <w:ilvl w:val="0"/>
          <w:numId w:val="25"/>
        </w:numPr>
        <w:tabs>
          <w:tab w:val="left" w:pos="0"/>
        </w:tabs>
        <w:spacing w:line="240" w:lineRule="auto"/>
        <w:ind w:hanging="1440"/>
        <w:rPr>
          <w:rFonts w:ascii="Times New Roman" w:eastAsia="Batang" w:hAnsi="Times New Roman"/>
          <w:lang w:eastAsia="ko-KR"/>
        </w:rPr>
      </w:pPr>
      <w:bookmarkStart w:id="1" w:name="_Toc386203473"/>
      <w:bookmarkStart w:id="2" w:name="_Toc387158169"/>
      <w:r w:rsidRPr="00DC55A7">
        <w:rPr>
          <w:rFonts w:ascii="Times New Roman" w:eastAsia="Batang" w:hAnsi="Times New Roman"/>
          <w:b/>
          <w:bCs/>
          <w:sz w:val="24"/>
          <w:szCs w:val="24"/>
          <w:lang w:eastAsia="ko-KR"/>
        </w:rPr>
        <w:t xml:space="preserve">Evaluation coverage and quality - </w:t>
      </w:r>
      <w:r w:rsidR="00D754E4" w:rsidRPr="00DC55A7">
        <w:rPr>
          <w:rFonts w:ascii="Times New Roman" w:eastAsia="Batang" w:hAnsi="Times New Roman"/>
          <w:b/>
          <w:bCs/>
          <w:sz w:val="24"/>
          <w:szCs w:val="24"/>
          <w:lang w:eastAsia="ko-KR"/>
        </w:rPr>
        <w:t>UNDP comments on IEO activities</w:t>
      </w:r>
      <w:bookmarkEnd w:id="1"/>
      <w:bookmarkEnd w:id="2"/>
      <w:r w:rsidR="00D754E4" w:rsidRPr="00DC55A7">
        <w:rPr>
          <w:rFonts w:ascii="Times New Roman" w:eastAsia="Batang" w:hAnsi="Times New Roman"/>
          <w:b/>
          <w:bCs/>
          <w:sz w:val="24"/>
          <w:szCs w:val="24"/>
          <w:lang w:eastAsia="ko-KR"/>
        </w:rPr>
        <w:t xml:space="preserve"> in 2014 </w:t>
      </w:r>
    </w:p>
    <w:p w:rsidR="00720EBA" w:rsidRPr="00401993" w:rsidRDefault="00720EBA" w:rsidP="00B86F2A">
      <w:pPr>
        <w:pStyle w:val="LightGrid-Accent31"/>
        <w:tabs>
          <w:tab w:val="left" w:pos="360"/>
        </w:tabs>
        <w:spacing w:after="0" w:line="240" w:lineRule="auto"/>
        <w:ind w:left="0"/>
        <w:rPr>
          <w:rFonts w:ascii="Times New Roman" w:eastAsia="Batang" w:hAnsi="Times New Roman"/>
          <w:i/>
          <w:lang w:eastAsia="ko-KR"/>
        </w:rPr>
      </w:pPr>
      <w:r>
        <w:rPr>
          <w:rFonts w:ascii="Times New Roman" w:eastAsia="Batang" w:hAnsi="Times New Roman"/>
          <w:i/>
          <w:lang w:eastAsia="ko-KR"/>
        </w:rPr>
        <w:t xml:space="preserve">IEO Support </w:t>
      </w:r>
      <w:r w:rsidRPr="00401993">
        <w:rPr>
          <w:rFonts w:ascii="Times New Roman" w:eastAsia="Batang" w:hAnsi="Times New Roman"/>
          <w:i/>
          <w:lang w:eastAsia="ko-KR"/>
        </w:rPr>
        <w:t>to decentralized evaluations</w:t>
      </w:r>
    </w:p>
    <w:p w:rsidR="00BD7BD4" w:rsidRDefault="00BD7BD4" w:rsidP="00A64968">
      <w:pPr>
        <w:pStyle w:val="LightGrid-Accent31"/>
        <w:tabs>
          <w:tab w:val="left" w:pos="360"/>
        </w:tabs>
        <w:spacing w:after="0" w:line="240" w:lineRule="auto"/>
        <w:ind w:left="0"/>
        <w:jc w:val="both"/>
        <w:rPr>
          <w:rFonts w:ascii="Times New Roman" w:eastAsia="Batang" w:hAnsi="Times New Roman"/>
          <w:lang w:eastAsia="ko-KR"/>
        </w:rPr>
      </w:pPr>
    </w:p>
    <w:p w:rsidR="00253411" w:rsidRPr="00B86F2A" w:rsidRDefault="00720EBA" w:rsidP="00914D75">
      <w:pPr>
        <w:pStyle w:val="LightGrid-Accent31"/>
        <w:numPr>
          <w:ilvl w:val="0"/>
          <w:numId w:val="9"/>
        </w:numPr>
        <w:tabs>
          <w:tab w:val="left" w:pos="360"/>
        </w:tabs>
        <w:spacing w:after="120" w:line="240" w:lineRule="auto"/>
        <w:ind w:left="0" w:firstLine="0"/>
        <w:contextualSpacing w:val="0"/>
        <w:jc w:val="both"/>
        <w:rPr>
          <w:rFonts w:ascii="Times New Roman" w:eastAsia="Batang" w:hAnsi="Times New Roman"/>
          <w:lang w:eastAsia="ko-KR"/>
        </w:rPr>
      </w:pPr>
      <w:r>
        <w:rPr>
          <w:rFonts w:ascii="Times New Roman" w:eastAsia="Batang" w:hAnsi="Times New Roman"/>
          <w:lang w:eastAsia="ko-KR"/>
        </w:rPr>
        <w:t xml:space="preserve">  As reiterated in the </w:t>
      </w:r>
      <w:r w:rsidRPr="0094197A">
        <w:rPr>
          <w:rFonts w:ascii="Times New Roman" w:eastAsia="Batang" w:hAnsi="Times New Roman"/>
          <w:lang w:eastAsia="ko-KR"/>
        </w:rPr>
        <w:t>findings of the recently completed Review of the UNDP Evaluation Policy, the quality assessment of decentralized evaluations is a critical deliverable that provides relevant inf</w:t>
      </w:r>
      <w:r>
        <w:rPr>
          <w:rFonts w:ascii="Times New Roman" w:eastAsia="Batang" w:hAnsi="Times New Roman"/>
          <w:lang w:eastAsia="ko-KR"/>
        </w:rPr>
        <w:t>ormation to UNDP management</w:t>
      </w:r>
      <w:r w:rsidR="000A27A6">
        <w:rPr>
          <w:rFonts w:ascii="Times New Roman" w:eastAsia="Batang" w:hAnsi="Times New Roman"/>
          <w:lang w:eastAsia="ko-KR"/>
        </w:rPr>
        <w:t>,</w:t>
      </w:r>
      <w:r>
        <w:rPr>
          <w:rFonts w:ascii="Times New Roman" w:eastAsia="Batang" w:hAnsi="Times New Roman"/>
          <w:lang w:eastAsia="ko-KR"/>
        </w:rPr>
        <w:t xml:space="preserve"> </w:t>
      </w:r>
      <w:r w:rsidR="000A27A6">
        <w:rPr>
          <w:rFonts w:ascii="Times New Roman" w:eastAsia="Batang" w:hAnsi="Times New Roman"/>
          <w:lang w:eastAsia="ko-KR"/>
        </w:rPr>
        <w:t xml:space="preserve">documenting </w:t>
      </w:r>
      <w:r>
        <w:rPr>
          <w:rFonts w:ascii="Times New Roman" w:eastAsia="Batang" w:hAnsi="Times New Roman"/>
          <w:lang w:eastAsia="ko-KR"/>
        </w:rPr>
        <w:t>the corrective measures required to improve organizational performance</w:t>
      </w:r>
      <w:r w:rsidR="000A27A6">
        <w:rPr>
          <w:rFonts w:ascii="Times New Roman" w:eastAsia="Batang" w:hAnsi="Times New Roman"/>
          <w:lang w:eastAsia="ko-KR"/>
        </w:rPr>
        <w:t>,</w:t>
      </w:r>
      <w:r>
        <w:rPr>
          <w:rFonts w:ascii="Times New Roman" w:eastAsia="Batang" w:hAnsi="Times New Roman"/>
          <w:lang w:eastAsia="ko-KR"/>
        </w:rPr>
        <w:t xml:space="preserve"> and to the Executive Board </w:t>
      </w:r>
      <w:r w:rsidR="000A27A6">
        <w:rPr>
          <w:rFonts w:ascii="Times New Roman" w:eastAsia="Batang" w:hAnsi="Times New Roman"/>
          <w:lang w:eastAsia="ko-KR"/>
        </w:rPr>
        <w:t>in supporting</w:t>
      </w:r>
      <w:r>
        <w:rPr>
          <w:rFonts w:ascii="Times New Roman" w:eastAsia="Batang" w:hAnsi="Times New Roman"/>
          <w:lang w:eastAsia="ko-KR"/>
        </w:rPr>
        <w:t xml:space="preserve"> its role </w:t>
      </w:r>
      <w:r w:rsidR="00625131">
        <w:rPr>
          <w:rFonts w:ascii="Times New Roman" w:eastAsia="Batang" w:hAnsi="Times New Roman"/>
          <w:lang w:eastAsia="ko-KR"/>
        </w:rPr>
        <w:t>on e</w:t>
      </w:r>
      <w:r>
        <w:rPr>
          <w:rFonts w:ascii="Times New Roman" w:eastAsia="Batang" w:hAnsi="Times New Roman"/>
          <w:lang w:eastAsia="ko-KR"/>
        </w:rPr>
        <w:t xml:space="preserve">valuation. </w:t>
      </w:r>
      <w:r w:rsidR="00B86F2A">
        <w:rPr>
          <w:rFonts w:ascii="Times New Roman" w:eastAsia="Batang" w:hAnsi="Times New Roman"/>
          <w:lang w:eastAsia="ko-KR"/>
        </w:rPr>
        <w:t>I</w:t>
      </w:r>
      <w:r w:rsidR="00516C91">
        <w:rPr>
          <w:rFonts w:ascii="Times New Roman" w:eastAsia="Batang" w:hAnsi="Times New Roman"/>
          <w:lang w:eastAsia="ko-KR"/>
        </w:rPr>
        <w:t xml:space="preserve">n </w:t>
      </w:r>
      <w:r w:rsidR="00B86F2A">
        <w:rPr>
          <w:rFonts w:ascii="Times New Roman" w:eastAsia="Batang" w:hAnsi="Times New Roman"/>
          <w:lang w:eastAsia="ko-KR"/>
        </w:rPr>
        <w:t>accordance with</w:t>
      </w:r>
      <w:r w:rsidR="00BD7BD4">
        <w:rPr>
          <w:rFonts w:ascii="Times New Roman" w:eastAsia="Batang" w:hAnsi="Times New Roman"/>
          <w:lang w:val="en-GB" w:eastAsia="ko-KR"/>
        </w:rPr>
        <w:t xml:space="preserve"> the UNDP Evaluation Policy</w:t>
      </w:r>
      <w:r w:rsidR="00B86F2A">
        <w:rPr>
          <w:rFonts w:ascii="Times New Roman" w:eastAsia="Batang" w:hAnsi="Times New Roman"/>
          <w:lang w:val="en-GB" w:eastAsia="ko-KR"/>
        </w:rPr>
        <w:t>, the IEO:</w:t>
      </w:r>
    </w:p>
    <w:p w:rsidR="0049778A" w:rsidRPr="0049778A" w:rsidRDefault="0094197A" w:rsidP="00914D75">
      <w:pPr>
        <w:pStyle w:val="LightGrid-Accent31"/>
        <w:numPr>
          <w:ilvl w:val="1"/>
          <w:numId w:val="9"/>
        </w:numPr>
        <w:tabs>
          <w:tab w:val="left" w:pos="360"/>
        </w:tabs>
        <w:spacing w:after="120" w:line="240" w:lineRule="auto"/>
        <w:ind w:left="360"/>
        <w:contextualSpacing w:val="0"/>
        <w:jc w:val="both"/>
        <w:rPr>
          <w:rFonts w:ascii="Times New Roman" w:eastAsia="Batang" w:hAnsi="Times New Roman"/>
          <w:lang w:val="en-GB" w:eastAsia="ko-KR"/>
        </w:rPr>
      </w:pPr>
      <w:r>
        <w:rPr>
          <w:rFonts w:ascii="Times New Roman" w:eastAsia="Batang" w:hAnsi="Times New Roman"/>
          <w:lang w:val="en-GB" w:eastAsia="ko-KR"/>
        </w:rPr>
        <w:t>Provide</w:t>
      </w:r>
      <w:r w:rsidR="000A27A6">
        <w:rPr>
          <w:rFonts w:ascii="Times New Roman" w:eastAsia="Batang" w:hAnsi="Times New Roman"/>
          <w:lang w:val="en-GB" w:eastAsia="ko-KR"/>
        </w:rPr>
        <w:t>s</w:t>
      </w:r>
      <w:r w:rsidR="0049778A" w:rsidRPr="0049778A">
        <w:rPr>
          <w:rFonts w:ascii="Times New Roman" w:eastAsia="Batang" w:hAnsi="Times New Roman"/>
          <w:lang w:val="en-GB" w:eastAsia="ko-KR"/>
        </w:rPr>
        <w:t xml:space="preserve"> support to country offices in conducting decentralized evaluations </w:t>
      </w:r>
      <w:r w:rsidR="00D67FCA">
        <w:rPr>
          <w:rFonts w:ascii="Times New Roman" w:eastAsia="Batang" w:hAnsi="Times New Roman"/>
          <w:lang w:val="en-GB" w:eastAsia="ko-KR"/>
        </w:rPr>
        <w:t xml:space="preserve">in addition to </w:t>
      </w:r>
      <w:r w:rsidR="0049778A" w:rsidRPr="0049778A">
        <w:rPr>
          <w:rFonts w:ascii="Times New Roman" w:eastAsia="Batang" w:hAnsi="Times New Roman"/>
          <w:lang w:val="en-GB" w:eastAsia="ko-KR"/>
        </w:rPr>
        <w:t>maintaining the online Evaluation Resource Centre, an</w:t>
      </w:r>
      <w:r w:rsidR="00D67FCA">
        <w:rPr>
          <w:rFonts w:ascii="Times New Roman" w:eastAsia="Batang" w:hAnsi="Times New Roman"/>
          <w:lang w:val="en-GB" w:eastAsia="ko-KR"/>
        </w:rPr>
        <w:t>d</w:t>
      </w:r>
      <w:r w:rsidR="00516C91">
        <w:rPr>
          <w:rFonts w:ascii="Times New Roman" w:eastAsia="Batang" w:hAnsi="Times New Roman"/>
          <w:lang w:val="en-GB" w:eastAsia="ko-KR"/>
        </w:rPr>
        <w:t xml:space="preserve"> a</w:t>
      </w:r>
      <w:r w:rsidR="002F64AA">
        <w:rPr>
          <w:rFonts w:ascii="Times New Roman" w:eastAsia="Batang" w:hAnsi="Times New Roman"/>
          <w:lang w:val="en-GB" w:eastAsia="ko-KR"/>
        </w:rPr>
        <w:t xml:space="preserve"> </w:t>
      </w:r>
      <w:r w:rsidR="00D67FCA">
        <w:rPr>
          <w:rFonts w:ascii="Times New Roman" w:eastAsia="Batang" w:hAnsi="Times New Roman"/>
          <w:lang w:val="en-GB" w:eastAsia="ko-KR"/>
        </w:rPr>
        <w:t xml:space="preserve">roster of </w:t>
      </w:r>
      <w:r w:rsidR="00516C91">
        <w:rPr>
          <w:rFonts w:ascii="Times New Roman" w:eastAsia="Batang" w:hAnsi="Times New Roman"/>
          <w:lang w:val="en-GB" w:eastAsia="ko-KR"/>
        </w:rPr>
        <w:t xml:space="preserve">evaluation </w:t>
      </w:r>
      <w:r w:rsidR="00D67FCA">
        <w:rPr>
          <w:rFonts w:ascii="Times New Roman" w:eastAsia="Batang" w:hAnsi="Times New Roman"/>
          <w:lang w:val="en-GB" w:eastAsia="ko-KR"/>
        </w:rPr>
        <w:t>consultants</w:t>
      </w:r>
      <w:r w:rsidR="00516C91">
        <w:rPr>
          <w:rFonts w:ascii="Times New Roman" w:eastAsia="Batang" w:hAnsi="Times New Roman"/>
          <w:lang w:val="en-GB" w:eastAsia="ko-KR"/>
        </w:rPr>
        <w:t>;</w:t>
      </w:r>
      <w:r w:rsidR="0049778A" w:rsidRPr="0049778A">
        <w:rPr>
          <w:rFonts w:ascii="Times New Roman" w:eastAsia="Batang" w:hAnsi="Times New Roman"/>
          <w:lang w:val="en-GB" w:eastAsia="ko-KR"/>
        </w:rPr>
        <w:t xml:space="preserve"> </w:t>
      </w:r>
    </w:p>
    <w:p w:rsidR="002F64AA" w:rsidRDefault="0094197A" w:rsidP="00914D75">
      <w:pPr>
        <w:pStyle w:val="LightGrid-Accent31"/>
        <w:numPr>
          <w:ilvl w:val="1"/>
          <w:numId w:val="9"/>
        </w:numPr>
        <w:tabs>
          <w:tab w:val="left" w:pos="360"/>
        </w:tabs>
        <w:spacing w:after="120" w:line="240" w:lineRule="auto"/>
        <w:ind w:left="360"/>
        <w:contextualSpacing w:val="0"/>
        <w:jc w:val="both"/>
        <w:rPr>
          <w:rFonts w:ascii="Times New Roman" w:eastAsia="Batang" w:hAnsi="Times New Roman"/>
          <w:lang w:val="en-GB" w:eastAsia="ko-KR"/>
        </w:rPr>
      </w:pPr>
      <w:r>
        <w:rPr>
          <w:rFonts w:ascii="Times New Roman" w:eastAsia="Batang" w:hAnsi="Times New Roman"/>
          <w:lang w:val="en-GB" w:eastAsia="ko-KR"/>
        </w:rPr>
        <w:t>Strengthen</w:t>
      </w:r>
      <w:r w:rsidR="000A27A6">
        <w:rPr>
          <w:rFonts w:ascii="Times New Roman" w:eastAsia="Batang" w:hAnsi="Times New Roman"/>
          <w:lang w:val="en-GB" w:eastAsia="ko-KR"/>
        </w:rPr>
        <w:t>s</w:t>
      </w:r>
      <w:r w:rsidR="00253411">
        <w:rPr>
          <w:rFonts w:ascii="Times New Roman" w:eastAsia="Batang" w:hAnsi="Times New Roman"/>
          <w:lang w:val="en-GB" w:eastAsia="ko-KR"/>
        </w:rPr>
        <w:t xml:space="preserve"> the </w:t>
      </w:r>
      <w:r w:rsidR="00253411" w:rsidRPr="00774A96">
        <w:rPr>
          <w:rFonts w:ascii="Times New Roman" w:eastAsia="Batang" w:hAnsi="Times New Roman"/>
          <w:lang w:val="en-GB" w:eastAsia="ko-KR"/>
        </w:rPr>
        <w:t xml:space="preserve">quality assessment </w:t>
      </w:r>
      <w:r w:rsidR="00D67FCA">
        <w:rPr>
          <w:rFonts w:ascii="Times New Roman" w:eastAsia="Batang" w:hAnsi="Times New Roman"/>
          <w:lang w:val="en-GB" w:eastAsia="ko-KR"/>
        </w:rPr>
        <w:t xml:space="preserve">system for </w:t>
      </w:r>
      <w:r w:rsidR="00253411">
        <w:rPr>
          <w:rFonts w:ascii="Times New Roman" w:eastAsia="Batang" w:hAnsi="Times New Roman"/>
          <w:lang w:val="en-GB" w:eastAsia="ko-KR"/>
        </w:rPr>
        <w:t>decentral</w:t>
      </w:r>
      <w:r w:rsidR="00D67FCA">
        <w:rPr>
          <w:rFonts w:ascii="Times New Roman" w:eastAsia="Batang" w:hAnsi="Times New Roman"/>
          <w:lang w:val="en-GB" w:eastAsia="ko-KR"/>
        </w:rPr>
        <w:t>ized evaluations</w:t>
      </w:r>
      <w:r w:rsidR="00516C91">
        <w:rPr>
          <w:rFonts w:ascii="Times New Roman" w:eastAsia="Batang" w:hAnsi="Times New Roman"/>
          <w:lang w:val="en-GB" w:eastAsia="ko-KR"/>
        </w:rPr>
        <w:t xml:space="preserve">; </w:t>
      </w:r>
    </w:p>
    <w:p w:rsidR="0094197A" w:rsidRPr="002F64AA" w:rsidRDefault="0094197A" w:rsidP="00914D75">
      <w:pPr>
        <w:pStyle w:val="LightGrid-Accent31"/>
        <w:numPr>
          <w:ilvl w:val="1"/>
          <w:numId w:val="9"/>
        </w:numPr>
        <w:tabs>
          <w:tab w:val="left" w:pos="360"/>
        </w:tabs>
        <w:spacing w:after="120" w:line="240" w:lineRule="auto"/>
        <w:ind w:left="360"/>
        <w:contextualSpacing w:val="0"/>
        <w:jc w:val="both"/>
        <w:rPr>
          <w:rFonts w:ascii="Times New Roman" w:eastAsia="Batang" w:hAnsi="Times New Roman"/>
          <w:lang w:val="en-GB" w:eastAsia="ko-KR"/>
        </w:rPr>
      </w:pPr>
      <w:r w:rsidRPr="002F64AA">
        <w:rPr>
          <w:rFonts w:ascii="Times New Roman" w:eastAsia="Batang" w:hAnsi="Times New Roman"/>
          <w:lang w:val="en-GB" w:eastAsia="ko-KR"/>
        </w:rPr>
        <w:t>Assess</w:t>
      </w:r>
      <w:r w:rsidR="000A27A6">
        <w:rPr>
          <w:rFonts w:ascii="Times New Roman" w:eastAsia="Batang" w:hAnsi="Times New Roman"/>
          <w:lang w:val="en-GB" w:eastAsia="ko-KR"/>
        </w:rPr>
        <w:t>es</w:t>
      </w:r>
      <w:r w:rsidR="00D67FCA" w:rsidRPr="002F64AA">
        <w:rPr>
          <w:rFonts w:ascii="Times New Roman" w:eastAsia="Batang" w:hAnsi="Times New Roman"/>
          <w:lang w:val="en-GB" w:eastAsia="ko-KR"/>
        </w:rPr>
        <w:t xml:space="preserve"> </w:t>
      </w:r>
      <w:r w:rsidR="00516C91" w:rsidRPr="002F64AA">
        <w:rPr>
          <w:rFonts w:ascii="Times New Roman" w:eastAsia="Batang" w:hAnsi="Times New Roman"/>
          <w:lang w:val="en-GB" w:eastAsia="ko-KR"/>
        </w:rPr>
        <w:t xml:space="preserve">the </w:t>
      </w:r>
      <w:r w:rsidR="00D67FCA" w:rsidRPr="002F64AA">
        <w:rPr>
          <w:rFonts w:ascii="Times New Roman" w:eastAsia="Batang" w:hAnsi="Times New Roman"/>
          <w:lang w:val="en-GB" w:eastAsia="ko-KR"/>
        </w:rPr>
        <w:t>quality</w:t>
      </w:r>
      <w:r w:rsidR="00401993" w:rsidRPr="002F64AA">
        <w:rPr>
          <w:rFonts w:ascii="Times New Roman" w:eastAsia="Batang" w:hAnsi="Times New Roman"/>
          <w:lang w:val="en-GB" w:eastAsia="ko-KR"/>
        </w:rPr>
        <w:t xml:space="preserve"> of decentralized evaluations</w:t>
      </w:r>
      <w:r w:rsidRPr="002F64AA">
        <w:rPr>
          <w:rFonts w:ascii="Times New Roman" w:eastAsia="Batang" w:hAnsi="Times New Roman"/>
          <w:lang w:val="en-GB" w:eastAsia="ko-KR"/>
        </w:rPr>
        <w:t xml:space="preserve"> </w:t>
      </w:r>
      <w:r w:rsidR="002F64AA">
        <w:rPr>
          <w:rFonts w:ascii="Times New Roman" w:eastAsia="Batang" w:hAnsi="Times New Roman"/>
          <w:lang w:val="en-GB" w:eastAsia="ko-KR"/>
        </w:rPr>
        <w:t xml:space="preserve">conducted during the year </w:t>
      </w:r>
      <w:r w:rsidRPr="002F64AA">
        <w:rPr>
          <w:rFonts w:ascii="Times New Roman" w:eastAsia="Batang" w:hAnsi="Times New Roman"/>
          <w:lang w:val="en-GB" w:eastAsia="ko-KR"/>
        </w:rPr>
        <w:t>and include</w:t>
      </w:r>
      <w:r w:rsidR="00D67FCA" w:rsidRPr="002F64AA">
        <w:rPr>
          <w:rFonts w:ascii="Times New Roman" w:eastAsia="Batang" w:hAnsi="Times New Roman"/>
          <w:lang w:val="en-GB" w:eastAsia="ko-KR"/>
        </w:rPr>
        <w:t xml:space="preserve"> findings and conclusions </w:t>
      </w:r>
      <w:r w:rsidR="00401993" w:rsidRPr="002F64AA">
        <w:rPr>
          <w:rFonts w:ascii="Times New Roman" w:eastAsia="Batang" w:hAnsi="Times New Roman"/>
          <w:lang w:val="en-GB" w:eastAsia="ko-KR"/>
        </w:rPr>
        <w:t xml:space="preserve">in the </w:t>
      </w:r>
      <w:r w:rsidR="002F64AA">
        <w:rPr>
          <w:rFonts w:ascii="Times New Roman" w:eastAsia="Batang" w:hAnsi="Times New Roman"/>
          <w:lang w:val="en-GB" w:eastAsia="ko-KR"/>
        </w:rPr>
        <w:t xml:space="preserve">respective </w:t>
      </w:r>
      <w:r w:rsidR="00D67FCA" w:rsidRPr="002F64AA">
        <w:rPr>
          <w:rFonts w:ascii="Times New Roman" w:eastAsia="Batang" w:hAnsi="Times New Roman"/>
          <w:lang w:val="en-GB" w:eastAsia="ko-KR"/>
        </w:rPr>
        <w:t>A</w:t>
      </w:r>
      <w:r w:rsidR="00401993" w:rsidRPr="002F64AA">
        <w:rPr>
          <w:rFonts w:ascii="Times New Roman" w:eastAsia="Batang" w:hAnsi="Times New Roman"/>
          <w:lang w:val="en-GB" w:eastAsia="ko-KR"/>
        </w:rPr>
        <w:t xml:space="preserve">nnual </w:t>
      </w:r>
      <w:r w:rsidR="00D67FCA" w:rsidRPr="002F64AA">
        <w:rPr>
          <w:rFonts w:ascii="Times New Roman" w:eastAsia="Batang" w:hAnsi="Times New Roman"/>
          <w:lang w:val="en-GB" w:eastAsia="ko-KR"/>
        </w:rPr>
        <w:t>R</w:t>
      </w:r>
      <w:r w:rsidR="00401993" w:rsidRPr="002F64AA">
        <w:rPr>
          <w:rFonts w:ascii="Times New Roman" w:eastAsia="Batang" w:hAnsi="Times New Roman"/>
          <w:lang w:val="en-GB" w:eastAsia="ko-KR"/>
        </w:rPr>
        <w:t xml:space="preserve">eport on </w:t>
      </w:r>
      <w:r w:rsidR="00D67FCA" w:rsidRPr="002F64AA">
        <w:rPr>
          <w:rFonts w:ascii="Times New Roman" w:eastAsia="Batang" w:hAnsi="Times New Roman"/>
          <w:lang w:val="en-GB" w:eastAsia="ko-KR"/>
        </w:rPr>
        <w:t>E</w:t>
      </w:r>
      <w:r w:rsidR="002F64AA">
        <w:rPr>
          <w:rFonts w:ascii="Times New Roman" w:eastAsia="Batang" w:hAnsi="Times New Roman"/>
          <w:lang w:val="en-GB" w:eastAsia="ko-KR"/>
        </w:rPr>
        <w:t>valuation.</w:t>
      </w:r>
    </w:p>
    <w:p w:rsidR="00B86F2A" w:rsidRDefault="00625131" w:rsidP="00A64968">
      <w:pPr>
        <w:pStyle w:val="LightGrid-Accent31"/>
        <w:tabs>
          <w:tab w:val="left" w:pos="360"/>
        </w:tabs>
        <w:spacing w:after="0" w:line="240" w:lineRule="auto"/>
        <w:ind w:left="0"/>
        <w:jc w:val="both"/>
        <w:rPr>
          <w:rFonts w:ascii="Times New Roman" w:eastAsia="Batang" w:hAnsi="Times New Roman"/>
          <w:lang w:val="en-GB" w:eastAsia="ko-KR"/>
        </w:rPr>
      </w:pPr>
      <w:r>
        <w:rPr>
          <w:rFonts w:ascii="Times New Roman" w:eastAsia="Batang" w:hAnsi="Times New Roman"/>
          <w:lang w:val="en-GB" w:eastAsia="ko-KR"/>
        </w:rPr>
        <w:t xml:space="preserve">Management notes that </w:t>
      </w:r>
      <w:r w:rsidR="000A27A6">
        <w:rPr>
          <w:rFonts w:ascii="Times New Roman" w:eastAsia="Batang" w:hAnsi="Times New Roman"/>
          <w:lang w:val="en-GB" w:eastAsia="ko-KR"/>
        </w:rPr>
        <w:t>the IEO did not conduct the regular quality assessment in 2014</w:t>
      </w:r>
      <w:r>
        <w:rPr>
          <w:rFonts w:ascii="Times New Roman" w:eastAsia="Batang" w:hAnsi="Times New Roman"/>
          <w:lang w:val="en-GB" w:eastAsia="ko-KR"/>
        </w:rPr>
        <w:t xml:space="preserve">. Therefore </w:t>
      </w:r>
      <w:r w:rsidR="000A27A6">
        <w:rPr>
          <w:rFonts w:ascii="Times New Roman" w:eastAsia="Batang" w:hAnsi="Times New Roman"/>
          <w:lang w:val="en-GB" w:eastAsia="ko-KR"/>
        </w:rPr>
        <w:t xml:space="preserve">the </w:t>
      </w:r>
      <w:r w:rsidR="00A41A92">
        <w:rPr>
          <w:rFonts w:ascii="Times New Roman" w:eastAsia="Batang" w:hAnsi="Times New Roman"/>
          <w:lang w:val="en-GB" w:eastAsia="ko-KR"/>
        </w:rPr>
        <w:t xml:space="preserve">Annual Report on Evaluation does not include the quality rating for the UNDP decentralized evaluations </w:t>
      </w:r>
      <w:r w:rsidR="000A27A6">
        <w:rPr>
          <w:rFonts w:ascii="Times New Roman" w:eastAsia="Batang" w:hAnsi="Times New Roman"/>
          <w:lang w:val="en-GB" w:eastAsia="ko-KR"/>
        </w:rPr>
        <w:t xml:space="preserve">completed </w:t>
      </w:r>
      <w:r w:rsidR="00A41A92">
        <w:rPr>
          <w:rFonts w:ascii="Times New Roman" w:eastAsia="Batang" w:hAnsi="Times New Roman"/>
          <w:lang w:val="en-GB" w:eastAsia="ko-KR"/>
        </w:rPr>
        <w:t>during the reporting period.</w:t>
      </w:r>
    </w:p>
    <w:p w:rsidR="00A41A92" w:rsidRPr="0094197A" w:rsidRDefault="00A41A92" w:rsidP="00A64968">
      <w:pPr>
        <w:pStyle w:val="LightGrid-Accent31"/>
        <w:tabs>
          <w:tab w:val="left" w:pos="360"/>
        </w:tabs>
        <w:spacing w:after="0" w:line="240" w:lineRule="auto"/>
        <w:ind w:left="0"/>
        <w:jc w:val="both"/>
        <w:rPr>
          <w:rFonts w:ascii="Times New Roman" w:eastAsia="Batang" w:hAnsi="Times New Roman"/>
          <w:lang w:val="en-GB" w:eastAsia="ko-KR"/>
        </w:rPr>
      </w:pPr>
    </w:p>
    <w:p w:rsidR="00401993" w:rsidRDefault="00D67FCA" w:rsidP="00A64968">
      <w:pPr>
        <w:pStyle w:val="LightGrid-Accent31"/>
        <w:tabs>
          <w:tab w:val="left" w:pos="360"/>
        </w:tabs>
        <w:spacing w:line="240" w:lineRule="auto"/>
        <w:ind w:left="0"/>
        <w:jc w:val="both"/>
        <w:rPr>
          <w:rFonts w:ascii="Times New Roman" w:eastAsia="Batang" w:hAnsi="Times New Roman"/>
          <w:i/>
          <w:lang w:eastAsia="ko-KR"/>
        </w:rPr>
      </w:pPr>
      <w:r>
        <w:rPr>
          <w:rFonts w:ascii="Times New Roman" w:eastAsia="Batang" w:hAnsi="Times New Roman"/>
          <w:i/>
          <w:lang w:eastAsia="ko-KR"/>
        </w:rPr>
        <w:t>Status of planned</w:t>
      </w:r>
      <w:r w:rsidR="00401993" w:rsidRPr="00401993">
        <w:rPr>
          <w:rFonts w:ascii="Times New Roman" w:eastAsia="Batang" w:hAnsi="Times New Roman"/>
          <w:i/>
          <w:lang w:eastAsia="ko-KR"/>
        </w:rPr>
        <w:t xml:space="preserve"> </w:t>
      </w:r>
      <w:r w:rsidR="00B2331B">
        <w:rPr>
          <w:rFonts w:ascii="Times New Roman" w:eastAsia="Batang" w:hAnsi="Times New Roman"/>
          <w:i/>
          <w:lang w:eastAsia="ko-KR"/>
        </w:rPr>
        <w:t>independent evaluations</w:t>
      </w:r>
      <w:r>
        <w:rPr>
          <w:rFonts w:ascii="Times New Roman" w:eastAsia="Batang" w:hAnsi="Times New Roman"/>
          <w:i/>
          <w:lang w:eastAsia="ko-KR"/>
        </w:rPr>
        <w:t xml:space="preserve"> for 2014</w:t>
      </w:r>
    </w:p>
    <w:p w:rsidR="000A27A6" w:rsidRDefault="000A27A6" w:rsidP="006D61E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Pr>
          <w:rFonts w:ascii="Times New Roman" w:eastAsia="Batang" w:hAnsi="Times New Roman"/>
          <w:lang w:eastAsia="ko-KR"/>
        </w:rPr>
        <w:t xml:space="preserve">A series of </w:t>
      </w:r>
      <w:r w:rsidR="00A4598E">
        <w:rPr>
          <w:rFonts w:ascii="Times New Roman" w:eastAsia="Batang" w:hAnsi="Times New Roman"/>
          <w:lang w:eastAsia="ko-KR"/>
        </w:rPr>
        <w:t xml:space="preserve">slight </w:t>
      </w:r>
      <w:r w:rsidR="00396F8A">
        <w:rPr>
          <w:rFonts w:ascii="Times New Roman" w:eastAsia="Batang" w:hAnsi="Times New Roman"/>
          <w:lang w:eastAsia="ko-KR"/>
        </w:rPr>
        <w:t xml:space="preserve">delays were recorded in the completion of planned </w:t>
      </w:r>
      <w:r>
        <w:rPr>
          <w:rFonts w:ascii="Times New Roman" w:eastAsia="Batang" w:hAnsi="Times New Roman"/>
          <w:lang w:eastAsia="ko-KR"/>
        </w:rPr>
        <w:t xml:space="preserve">independent </w:t>
      </w:r>
      <w:r w:rsidR="00396F8A">
        <w:rPr>
          <w:rFonts w:ascii="Times New Roman" w:eastAsia="Batang" w:hAnsi="Times New Roman"/>
          <w:lang w:eastAsia="ko-KR"/>
        </w:rPr>
        <w:t xml:space="preserve">evaluations for 2014 as outlined in the </w:t>
      </w:r>
      <w:r w:rsidR="00AC1365">
        <w:rPr>
          <w:rFonts w:ascii="Times New Roman" w:eastAsia="Batang" w:hAnsi="Times New Roman"/>
          <w:lang w:eastAsia="ko-KR"/>
        </w:rPr>
        <w:t>M</w:t>
      </w:r>
      <w:r w:rsidR="00B47CCA" w:rsidRPr="00AC1365">
        <w:rPr>
          <w:rFonts w:ascii="Times New Roman" w:eastAsia="Batang" w:hAnsi="Times New Roman"/>
          <w:lang w:eastAsia="ko-KR"/>
        </w:rPr>
        <w:t>edium-</w:t>
      </w:r>
      <w:r w:rsidR="00AC1365">
        <w:rPr>
          <w:rFonts w:ascii="Times New Roman" w:eastAsia="Batang" w:hAnsi="Times New Roman"/>
          <w:lang w:eastAsia="ko-KR"/>
        </w:rPr>
        <w:t>T</w:t>
      </w:r>
      <w:r w:rsidR="00B47CCA" w:rsidRPr="00AC1365">
        <w:rPr>
          <w:rFonts w:ascii="Times New Roman" w:eastAsia="Batang" w:hAnsi="Times New Roman"/>
          <w:lang w:eastAsia="ko-KR"/>
        </w:rPr>
        <w:t xml:space="preserve">erm </w:t>
      </w:r>
      <w:r w:rsidR="00AC1365">
        <w:rPr>
          <w:rFonts w:ascii="Times New Roman" w:eastAsia="Batang" w:hAnsi="Times New Roman"/>
          <w:lang w:eastAsia="ko-KR"/>
        </w:rPr>
        <w:t>Evaluation P</w:t>
      </w:r>
      <w:r w:rsidR="00B47CCA" w:rsidRPr="00AC1365">
        <w:rPr>
          <w:rFonts w:ascii="Times New Roman" w:eastAsia="Batang" w:hAnsi="Times New Roman"/>
          <w:lang w:eastAsia="ko-KR"/>
        </w:rPr>
        <w:t>lan</w:t>
      </w:r>
      <w:r w:rsidR="00396F8A">
        <w:rPr>
          <w:rFonts w:ascii="Times New Roman" w:eastAsia="Batang" w:hAnsi="Times New Roman"/>
          <w:lang w:eastAsia="ko-KR"/>
        </w:rPr>
        <w:t>.</w:t>
      </w:r>
      <w:r w:rsidR="00AC1365">
        <w:rPr>
          <w:rFonts w:ascii="Times New Roman" w:eastAsia="Batang" w:hAnsi="Times New Roman"/>
          <w:lang w:eastAsia="ko-KR"/>
        </w:rPr>
        <w:t xml:space="preserve"> </w:t>
      </w:r>
      <w:r>
        <w:rPr>
          <w:rFonts w:ascii="Times New Roman" w:eastAsia="Batang" w:hAnsi="Times New Roman"/>
          <w:lang w:eastAsia="ko-KR"/>
        </w:rPr>
        <w:t>More specifically, 6 thematic evaluations deadlines could not be met</w:t>
      </w:r>
      <w:r w:rsidR="00A4598E">
        <w:rPr>
          <w:rFonts w:ascii="Times New Roman" w:eastAsia="Batang" w:hAnsi="Times New Roman"/>
          <w:lang w:eastAsia="ko-KR"/>
        </w:rPr>
        <w:t xml:space="preserve"> and have been rescheduled</w:t>
      </w:r>
      <w:r>
        <w:rPr>
          <w:rFonts w:ascii="Times New Roman" w:eastAsia="Batang" w:hAnsi="Times New Roman"/>
          <w:lang w:eastAsia="ko-KR"/>
        </w:rPr>
        <w:t>:</w:t>
      </w:r>
    </w:p>
    <w:p w:rsidR="00396F8A" w:rsidRPr="00DC55A7" w:rsidRDefault="00396F8A" w:rsidP="006D61ED">
      <w:pPr>
        <w:tabs>
          <w:tab w:val="left" w:pos="360"/>
        </w:tabs>
        <w:spacing w:after="0" w:line="240" w:lineRule="auto"/>
        <w:contextualSpacing/>
        <w:jc w:val="both"/>
        <w:rPr>
          <w:rFonts w:ascii="Times New Roman" w:eastAsia="Batang" w:hAnsi="Times New Roman"/>
          <w:lang w:eastAsia="ko-KR"/>
        </w:rPr>
      </w:pPr>
    </w:p>
    <w:p w:rsidR="007D33C5" w:rsidRDefault="008A2C9E" w:rsidP="000448CF">
      <w:pPr>
        <w:pStyle w:val="LightGrid-Accent31"/>
        <w:numPr>
          <w:ilvl w:val="2"/>
          <w:numId w:val="39"/>
        </w:numPr>
        <w:tabs>
          <w:tab w:val="left" w:pos="360"/>
        </w:tabs>
        <w:spacing w:after="120" w:line="240" w:lineRule="auto"/>
        <w:ind w:left="360"/>
        <w:contextualSpacing w:val="0"/>
        <w:jc w:val="both"/>
        <w:rPr>
          <w:rFonts w:ascii="Times New Roman" w:eastAsia="Batang" w:hAnsi="Times New Roman"/>
          <w:lang w:val="en-GB" w:eastAsia="ko-KR"/>
        </w:rPr>
      </w:pPr>
      <w:r w:rsidRPr="00B30B6B">
        <w:rPr>
          <w:rFonts w:ascii="Times New Roman" w:eastAsia="Batang" w:hAnsi="Times New Roman"/>
          <w:lang w:val="en-GB" w:eastAsia="ko-KR"/>
        </w:rPr>
        <w:t xml:space="preserve">The independent </w:t>
      </w:r>
      <w:r w:rsidRPr="00B30B6B">
        <w:rPr>
          <w:rFonts w:ascii="Times New Roman" w:eastAsia="Batang" w:hAnsi="Times New Roman"/>
          <w:i/>
          <w:lang w:val="en-GB" w:eastAsia="ko-KR"/>
        </w:rPr>
        <w:t>review of the UNDP evaluation policy</w:t>
      </w:r>
      <w:r w:rsidR="00651F8F" w:rsidRPr="00B30B6B">
        <w:rPr>
          <w:rFonts w:ascii="Times New Roman" w:eastAsia="Batang" w:hAnsi="Times New Roman"/>
          <w:lang w:val="en-GB" w:eastAsia="ko-KR"/>
        </w:rPr>
        <w:t xml:space="preserve">, which </w:t>
      </w:r>
      <w:r w:rsidRPr="00B30B6B">
        <w:rPr>
          <w:rFonts w:ascii="Times New Roman" w:eastAsia="Batang" w:hAnsi="Times New Roman"/>
          <w:lang w:val="en-GB" w:eastAsia="ko-KR"/>
        </w:rPr>
        <w:t>was expected to be presented to the Board at its second regular session of 2014</w:t>
      </w:r>
      <w:r w:rsidR="00651F8F" w:rsidRPr="00B30B6B">
        <w:rPr>
          <w:rFonts w:ascii="Times New Roman" w:eastAsia="Batang" w:hAnsi="Times New Roman"/>
          <w:lang w:val="en-GB" w:eastAsia="ko-KR"/>
        </w:rPr>
        <w:t xml:space="preserve">, was presented </w:t>
      </w:r>
      <w:r w:rsidR="00321026">
        <w:rPr>
          <w:rFonts w:ascii="Times New Roman" w:eastAsia="Batang" w:hAnsi="Times New Roman"/>
          <w:lang w:val="en-GB" w:eastAsia="ko-KR"/>
        </w:rPr>
        <w:t xml:space="preserve">instead at the </w:t>
      </w:r>
      <w:r w:rsidR="00651F8F" w:rsidRPr="00B30B6B">
        <w:rPr>
          <w:rFonts w:ascii="Times New Roman" w:eastAsia="Batang" w:hAnsi="Times New Roman"/>
          <w:lang w:val="en-GB" w:eastAsia="ko-KR"/>
        </w:rPr>
        <w:t>first regular session of 2015</w:t>
      </w:r>
      <w:r w:rsidRPr="00B30B6B">
        <w:rPr>
          <w:rFonts w:ascii="Times New Roman" w:eastAsia="Batang" w:hAnsi="Times New Roman"/>
          <w:lang w:val="en-GB" w:eastAsia="ko-KR"/>
        </w:rPr>
        <w:t xml:space="preserve">; </w:t>
      </w:r>
    </w:p>
    <w:p w:rsidR="007D33C5" w:rsidRDefault="008A2C9E" w:rsidP="000448CF">
      <w:pPr>
        <w:pStyle w:val="LightGrid-Accent31"/>
        <w:numPr>
          <w:ilvl w:val="2"/>
          <w:numId w:val="39"/>
        </w:numPr>
        <w:tabs>
          <w:tab w:val="left" w:pos="360"/>
        </w:tabs>
        <w:spacing w:after="120" w:line="240" w:lineRule="auto"/>
        <w:ind w:left="360"/>
        <w:contextualSpacing w:val="0"/>
        <w:jc w:val="both"/>
        <w:rPr>
          <w:rFonts w:ascii="Times New Roman" w:eastAsia="Batang" w:hAnsi="Times New Roman"/>
          <w:lang w:val="en-GB" w:eastAsia="ko-KR"/>
        </w:rPr>
      </w:pPr>
      <w:r w:rsidRPr="007D33C5">
        <w:rPr>
          <w:rFonts w:ascii="Times New Roman" w:eastAsia="Batang" w:hAnsi="Times New Roman"/>
          <w:lang w:val="en-GB" w:eastAsia="ko-KR"/>
        </w:rPr>
        <w:t>T</w:t>
      </w:r>
      <w:r w:rsidR="00D90F19" w:rsidRPr="007D33C5">
        <w:rPr>
          <w:rFonts w:ascii="Times New Roman" w:eastAsia="Batang" w:hAnsi="Times New Roman"/>
          <w:lang w:val="en-GB" w:eastAsia="ko-KR"/>
        </w:rPr>
        <w:t xml:space="preserve">he </w:t>
      </w:r>
      <w:r w:rsidR="00EF1A08" w:rsidRPr="007D33C5">
        <w:rPr>
          <w:rFonts w:ascii="Times New Roman" w:eastAsia="Batang" w:hAnsi="Times New Roman"/>
          <w:i/>
          <w:lang w:val="en-GB" w:eastAsia="ko-KR"/>
        </w:rPr>
        <w:t>Evaluation of the GEF/UNDP Small Grants Programme</w:t>
      </w:r>
      <w:r w:rsidR="00EF1A08" w:rsidRPr="007D33C5">
        <w:rPr>
          <w:rFonts w:ascii="Times New Roman" w:eastAsia="Batang" w:hAnsi="Times New Roman"/>
          <w:lang w:val="en-GB" w:eastAsia="ko-KR"/>
        </w:rPr>
        <w:t xml:space="preserve">, which was </w:t>
      </w:r>
      <w:r w:rsidR="00A4598E">
        <w:rPr>
          <w:rFonts w:ascii="Times New Roman" w:eastAsia="Batang" w:hAnsi="Times New Roman"/>
          <w:lang w:val="en-GB" w:eastAsia="ko-KR"/>
        </w:rPr>
        <w:t>planned for the</w:t>
      </w:r>
      <w:r w:rsidR="00EF1A08" w:rsidRPr="007D33C5">
        <w:rPr>
          <w:rFonts w:ascii="Times New Roman" w:eastAsia="Batang" w:hAnsi="Times New Roman"/>
          <w:lang w:val="en-GB" w:eastAsia="ko-KR"/>
        </w:rPr>
        <w:t xml:space="preserve"> second regular session </w:t>
      </w:r>
      <w:r w:rsidR="00967B10" w:rsidRPr="007D33C5">
        <w:rPr>
          <w:rFonts w:ascii="Times New Roman" w:eastAsia="Batang" w:hAnsi="Times New Roman"/>
          <w:lang w:val="en-GB" w:eastAsia="ko-KR"/>
        </w:rPr>
        <w:t xml:space="preserve">of </w:t>
      </w:r>
      <w:r w:rsidR="00651F8F" w:rsidRPr="007D33C5">
        <w:rPr>
          <w:rFonts w:ascii="Times New Roman" w:eastAsia="Batang" w:hAnsi="Times New Roman"/>
          <w:lang w:val="en-GB" w:eastAsia="ko-KR"/>
        </w:rPr>
        <w:t>2014, is now scheduled to b</w:t>
      </w:r>
      <w:r w:rsidR="00967B10" w:rsidRPr="007D33C5">
        <w:rPr>
          <w:rFonts w:ascii="Times New Roman" w:eastAsia="Batang" w:hAnsi="Times New Roman"/>
          <w:lang w:val="en-GB" w:eastAsia="ko-KR"/>
        </w:rPr>
        <w:t>e</w:t>
      </w:r>
      <w:r w:rsidR="00651F8F" w:rsidRPr="007D33C5">
        <w:rPr>
          <w:rFonts w:ascii="Times New Roman" w:eastAsia="Batang" w:hAnsi="Times New Roman"/>
          <w:lang w:val="en-GB" w:eastAsia="ko-KR"/>
        </w:rPr>
        <w:t xml:space="preserve"> presented </w:t>
      </w:r>
      <w:r w:rsidR="00967B10" w:rsidRPr="007D33C5">
        <w:rPr>
          <w:rFonts w:ascii="Times New Roman" w:eastAsia="Batang" w:hAnsi="Times New Roman"/>
          <w:lang w:val="en-GB" w:eastAsia="ko-KR"/>
        </w:rPr>
        <w:t xml:space="preserve">at the second regular session </w:t>
      </w:r>
      <w:r w:rsidR="00651F8F" w:rsidRPr="007D33C5">
        <w:rPr>
          <w:rFonts w:ascii="Times New Roman" w:eastAsia="Batang" w:hAnsi="Times New Roman"/>
          <w:lang w:val="en-GB" w:eastAsia="ko-KR"/>
        </w:rPr>
        <w:t>of 2015</w:t>
      </w:r>
      <w:r w:rsidR="00967B10" w:rsidRPr="007D33C5">
        <w:rPr>
          <w:rFonts w:ascii="Times New Roman" w:eastAsia="Batang" w:hAnsi="Times New Roman"/>
          <w:lang w:val="en-GB" w:eastAsia="ko-KR"/>
        </w:rPr>
        <w:t>;</w:t>
      </w:r>
    </w:p>
    <w:p w:rsidR="007D33C5" w:rsidRDefault="008A2C9E" w:rsidP="000448CF">
      <w:pPr>
        <w:pStyle w:val="LightGrid-Accent31"/>
        <w:numPr>
          <w:ilvl w:val="2"/>
          <w:numId w:val="39"/>
        </w:numPr>
        <w:tabs>
          <w:tab w:val="left" w:pos="360"/>
        </w:tabs>
        <w:spacing w:after="120" w:line="240" w:lineRule="auto"/>
        <w:ind w:left="360"/>
        <w:contextualSpacing w:val="0"/>
        <w:jc w:val="both"/>
        <w:rPr>
          <w:rFonts w:ascii="Times New Roman" w:eastAsia="Batang" w:hAnsi="Times New Roman"/>
          <w:lang w:val="en-GB" w:eastAsia="ko-KR"/>
        </w:rPr>
      </w:pPr>
      <w:r w:rsidRPr="007D33C5">
        <w:rPr>
          <w:rFonts w:ascii="Times New Roman" w:eastAsia="Batang" w:hAnsi="Times New Roman"/>
          <w:lang w:val="en-GB" w:eastAsia="ko-KR"/>
        </w:rPr>
        <w:lastRenderedPageBreak/>
        <w:t>T</w:t>
      </w:r>
      <w:r w:rsidR="00D90F19" w:rsidRPr="007D33C5">
        <w:rPr>
          <w:rFonts w:ascii="Times New Roman" w:eastAsia="Batang" w:hAnsi="Times New Roman"/>
          <w:lang w:val="en-GB" w:eastAsia="ko-KR"/>
        </w:rPr>
        <w:t>he</w:t>
      </w:r>
      <w:r w:rsidR="00D50AA7" w:rsidRPr="007D33C5">
        <w:rPr>
          <w:rFonts w:ascii="Times New Roman" w:eastAsia="Batang" w:hAnsi="Times New Roman"/>
          <w:lang w:val="en-GB" w:eastAsia="ko-KR"/>
        </w:rPr>
        <w:t xml:space="preserve"> </w:t>
      </w:r>
      <w:r w:rsidR="00D50AA7" w:rsidRPr="007D33C5">
        <w:rPr>
          <w:rFonts w:ascii="Times New Roman" w:eastAsia="Batang" w:hAnsi="Times New Roman"/>
          <w:i/>
          <w:lang w:val="en-GB" w:eastAsia="ko-KR"/>
        </w:rPr>
        <w:t>Evaluation of the impact of UNDP support to protected areas management</w:t>
      </w:r>
      <w:r w:rsidRPr="007D33C5">
        <w:rPr>
          <w:rFonts w:ascii="Times New Roman" w:eastAsia="Batang" w:hAnsi="Times New Roman"/>
          <w:lang w:val="en-GB" w:eastAsia="ko-KR"/>
        </w:rPr>
        <w:t xml:space="preserve"> that</w:t>
      </w:r>
      <w:r w:rsidR="00D50AA7" w:rsidRPr="007D33C5">
        <w:rPr>
          <w:rFonts w:ascii="Times New Roman" w:eastAsia="Batang" w:hAnsi="Times New Roman"/>
          <w:lang w:val="en-GB" w:eastAsia="ko-KR"/>
        </w:rPr>
        <w:t xml:space="preserve"> </w:t>
      </w:r>
      <w:r w:rsidR="00A4598E">
        <w:rPr>
          <w:rFonts w:ascii="Times New Roman" w:eastAsia="Batang" w:hAnsi="Times New Roman"/>
          <w:lang w:val="en-GB" w:eastAsia="ko-KR"/>
        </w:rPr>
        <w:t>was intended to be</w:t>
      </w:r>
      <w:r w:rsidR="00D50AA7" w:rsidRPr="007D33C5">
        <w:rPr>
          <w:rFonts w:ascii="Times New Roman" w:eastAsia="Batang" w:hAnsi="Times New Roman"/>
          <w:lang w:val="en-GB" w:eastAsia="ko-KR"/>
        </w:rPr>
        <w:t xml:space="preserve"> presented at the first regular session </w:t>
      </w:r>
      <w:r w:rsidR="00720EBA">
        <w:rPr>
          <w:rFonts w:ascii="Times New Roman" w:eastAsia="Batang" w:hAnsi="Times New Roman"/>
          <w:lang w:val="en-GB" w:eastAsia="ko-KR"/>
        </w:rPr>
        <w:t xml:space="preserve">of </w:t>
      </w:r>
      <w:r w:rsidR="00D50AA7" w:rsidRPr="007D33C5">
        <w:rPr>
          <w:rFonts w:ascii="Times New Roman" w:eastAsia="Batang" w:hAnsi="Times New Roman"/>
          <w:lang w:val="en-GB" w:eastAsia="ko-KR"/>
        </w:rPr>
        <w:t>2015</w:t>
      </w:r>
      <w:r w:rsidR="00967B10" w:rsidRPr="007D33C5">
        <w:rPr>
          <w:rFonts w:ascii="Times New Roman" w:eastAsia="Batang" w:hAnsi="Times New Roman"/>
          <w:lang w:val="en-GB" w:eastAsia="ko-KR"/>
        </w:rPr>
        <w:t>, is now scheduled to be presented at the second regular session of 2015;</w:t>
      </w:r>
    </w:p>
    <w:p w:rsidR="007D33C5" w:rsidRDefault="00D50AA7" w:rsidP="000448CF">
      <w:pPr>
        <w:pStyle w:val="LightGrid-Accent31"/>
        <w:numPr>
          <w:ilvl w:val="2"/>
          <w:numId w:val="39"/>
        </w:numPr>
        <w:tabs>
          <w:tab w:val="left" w:pos="360"/>
        </w:tabs>
        <w:spacing w:after="120" w:line="240" w:lineRule="auto"/>
        <w:ind w:left="360"/>
        <w:contextualSpacing w:val="0"/>
        <w:jc w:val="both"/>
        <w:rPr>
          <w:rFonts w:ascii="Times New Roman" w:eastAsia="Batang" w:hAnsi="Times New Roman"/>
          <w:lang w:val="en-GB" w:eastAsia="ko-KR"/>
        </w:rPr>
      </w:pPr>
      <w:r w:rsidRPr="007D33C5">
        <w:rPr>
          <w:rFonts w:ascii="Times New Roman" w:eastAsia="Batang" w:hAnsi="Times New Roman"/>
          <w:lang w:val="en-GB" w:eastAsia="ko-KR"/>
        </w:rPr>
        <w:t>The</w:t>
      </w:r>
      <w:r w:rsidR="00D90F19" w:rsidRPr="007D33C5">
        <w:rPr>
          <w:rFonts w:ascii="Times New Roman" w:eastAsia="Batang" w:hAnsi="Times New Roman"/>
          <w:lang w:val="en-GB" w:eastAsia="ko-KR"/>
        </w:rPr>
        <w:t xml:space="preserve"> </w:t>
      </w:r>
      <w:r w:rsidR="00D90F19" w:rsidRPr="007D33C5">
        <w:rPr>
          <w:rFonts w:ascii="Times New Roman" w:eastAsia="Batang" w:hAnsi="Times New Roman"/>
          <w:i/>
          <w:lang w:val="en-GB" w:eastAsia="ko-KR"/>
        </w:rPr>
        <w:t>Evaluation of the contribution of UNDP Human Development Reports (HDRs)</w:t>
      </w:r>
      <w:r w:rsidR="008A2C9E" w:rsidRPr="007D33C5">
        <w:rPr>
          <w:rFonts w:ascii="Times New Roman" w:eastAsia="Batang" w:hAnsi="Times New Roman"/>
          <w:i/>
          <w:lang w:val="en-GB" w:eastAsia="ko-KR"/>
        </w:rPr>
        <w:t>,</w:t>
      </w:r>
      <w:r w:rsidR="008A2C9E" w:rsidRPr="007D33C5">
        <w:rPr>
          <w:rFonts w:ascii="Times New Roman" w:eastAsia="Batang" w:hAnsi="Times New Roman"/>
          <w:lang w:val="en-GB" w:eastAsia="ko-KR"/>
        </w:rPr>
        <w:t xml:space="preserve"> which</w:t>
      </w:r>
      <w:r w:rsidR="00D90F19" w:rsidRPr="007D33C5">
        <w:rPr>
          <w:rFonts w:ascii="Times New Roman" w:eastAsia="Batang" w:hAnsi="Times New Roman"/>
          <w:lang w:val="en-GB" w:eastAsia="ko-KR"/>
        </w:rPr>
        <w:t xml:space="preserve"> was supposed to be presented at the first regular session 2015</w:t>
      </w:r>
      <w:r w:rsidR="00967B10" w:rsidRPr="007D33C5">
        <w:rPr>
          <w:rFonts w:ascii="Times New Roman" w:eastAsia="Batang" w:hAnsi="Times New Roman"/>
          <w:lang w:val="en-GB" w:eastAsia="ko-KR"/>
        </w:rPr>
        <w:t>,</w:t>
      </w:r>
      <w:r w:rsidR="00D90F19" w:rsidRPr="007D33C5">
        <w:rPr>
          <w:rFonts w:ascii="Times New Roman" w:eastAsia="Batang" w:hAnsi="Times New Roman"/>
          <w:lang w:val="en-GB" w:eastAsia="ko-KR"/>
        </w:rPr>
        <w:t xml:space="preserve"> </w:t>
      </w:r>
      <w:r w:rsidR="00967B10" w:rsidRPr="007D33C5">
        <w:rPr>
          <w:rFonts w:ascii="Times New Roman" w:eastAsia="Batang" w:hAnsi="Times New Roman"/>
          <w:lang w:val="en-GB" w:eastAsia="ko-KR"/>
        </w:rPr>
        <w:t>is now scheduled to be presented at the annual session of 2015</w:t>
      </w:r>
      <w:r w:rsidR="00720EBA">
        <w:rPr>
          <w:rFonts w:ascii="Times New Roman" w:eastAsia="Batang" w:hAnsi="Times New Roman"/>
          <w:lang w:val="en-GB" w:eastAsia="ko-KR"/>
        </w:rPr>
        <w:t xml:space="preserve">; </w:t>
      </w:r>
    </w:p>
    <w:p w:rsidR="007D33C5" w:rsidRDefault="008A2C9E" w:rsidP="000448CF">
      <w:pPr>
        <w:pStyle w:val="LightGrid-Accent31"/>
        <w:numPr>
          <w:ilvl w:val="2"/>
          <w:numId w:val="39"/>
        </w:numPr>
        <w:tabs>
          <w:tab w:val="left" w:pos="360"/>
        </w:tabs>
        <w:spacing w:after="120" w:line="240" w:lineRule="auto"/>
        <w:ind w:left="360"/>
        <w:contextualSpacing w:val="0"/>
        <w:jc w:val="both"/>
        <w:rPr>
          <w:rFonts w:ascii="Times New Roman" w:eastAsia="Batang" w:hAnsi="Times New Roman"/>
          <w:lang w:val="en-GB" w:eastAsia="ko-KR"/>
        </w:rPr>
      </w:pPr>
      <w:r w:rsidRPr="007D33C5">
        <w:rPr>
          <w:rFonts w:ascii="Times New Roman" w:eastAsia="Batang" w:hAnsi="Times New Roman"/>
          <w:lang w:val="en-GB" w:eastAsia="ko-KR"/>
        </w:rPr>
        <w:t>T</w:t>
      </w:r>
      <w:r w:rsidR="00D90F19" w:rsidRPr="007D33C5">
        <w:rPr>
          <w:rFonts w:ascii="Times New Roman" w:eastAsia="Batang" w:hAnsi="Times New Roman"/>
          <w:lang w:val="en-GB" w:eastAsia="ko-KR"/>
        </w:rPr>
        <w:t xml:space="preserve">he </w:t>
      </w:r>
      <w:r w:rsidR="00D90F19" w:rsidRPr="007D33C5">
        <w:rPr>
          <w:rFonts w:ascii="Times New Roman" w:eastAsia="Batang" w:hAnsi="Times New Roman"/>
          <w:i/>
          <w:lang w:val="en-GB" w:eastAsia="ko-KR"/>
        </w:rPr>
        <w:t>Evaluation of the UNDP contribution to gender equality</w:t>
      </w:r>
      <w:r w:rsidRPr="007D33C5">
        <w:rPr>
          <w:rFonts w:ascii="Times New Roman" w:eastAsia="Batang" w:hAnsi="Times New Roman"/>
          <w:i/>
          <w:lang w:val="en-GB" w:eastAsia="ko-KR"/>
        </w:rPr>
        <w:t xml:space="preserve"> </w:t>
      </w:r>
      <w:r w:rsidRPr="007D33C5">
        <w:rPr>
          <w:rFonts w:ascii="Times New Roman" w:eastAsia="Batang" w:hAnsi="Times New Roman"/>
          <w:lang w:val="en-GB" w:eastAsia="ko-KR"/>
        </w:rPr>
        <w:t xml:space="preserve">that was planned to be presented at the annual session </w:t>
      </w:r>
      <w:r w:rsidR="00720EBA">
        <w:rPr>
          <w:rFonts w:ascii="Times New Roman" w:eastAsia="Batang" w:hAnsi="Times New Roman"/>
          <w:lang w:val="en-GB" w:eastAsia="ko-KR"/>
        </w:rPr>
        <w:t xml:space="preserve">of </w:t>
      </w:r>
      <w:r w:rsidRPr="007D33C5">
        <w:rPr>
          <w:rFonts w:ascii="Times New Roman" w:eastAsia="Batang" w:hAnsi="Times New Roman"/>
          <w:lang w:val="en-GB" w:eastAsia="ko-KR"/>
        </w:rPr>
        <w:t>2015</w:t>
      </w:r>
      <w:r w:rsidR="00967B10" w:rsidRPr="007D33C5">
        <w:rPr>
          <w:rFonts w:ascii="Times New Roman" w:eastAsia="Batang" w:hAnsi="Times New Roman"/>
          <w:lang w:val="en-GB" w:eastAsia="ko-KR"/>
        </w:rPr>
        <w:t xml:space="preserve">, is now scheduled to be </w:t>
      </w:r>
      <w:r w:rsidR="007D33C5" w:rsidRPr="007D33C5">
        <w:rPr>
          <w:rFonts w:ascii="Times New Roman" w:eastAsia="Batang" w:hAnsi="Times New Roman"/>
          <w:lang w:val="en-GB" w:eastAsia="ko-KR"/>
        </w:rPr>
        <w:t>submitted at</w:t>
      </w:r>
      <w:r w:rsidR="00967B10" w:rsidRPr="007D33C5">
        <w:rPr>
          <w:rFonts w:ascii="Times New Roman" w:eastAsia="Batang" w:hAnsi="Times New Roman"/>
          <w:lang w:val="en-GB" w:eastAsia="ko-KR"/>
        </w:rPr>
        <w:t xml:space="preserve"> the second regular session of 2015;</w:t>
      </w:r>
    </w:p>
    <w:p w:rsidR="008A2C9E" w:rsidRDefault="008A2C9E" w:rsidP="00A64968">
      <w:pPr>
        <w:pStyle w:val="LightGrid-Accent31"/>
        <w:numPr>
          <w:ilvl w:val="2"/>
          <w:numId w:val="39"/>
        </w:numPr>
        <w:tabs>
          <w:tab w:val="left" w:pos="360"/>
        </w:tabs>
        <w:spacing w:after="0" w:line="240" w:lineRule="auto"/>
        <w:ind w:left="360"/>
        <w:jc w:val="both"/>
        <w:rPr>
          <w:rFonts w:ascii="Times New Roman" w:eastAsia="Batang" w:hAnsi="Times New Roman"/>
          <w:lang w:val="en-GB" w:eastAsia="ko-KR"/>
        </w:rPr>
      </w:pPr>
      <w:r w:rsidRPr="007D33C5">
        <w:rPr>
          <w:rFonts w:ascii="Times New Roman" w:eastAsia="Batang" w:hAnsi="Times New Roman"/>
          <w:lang w:val="en-GB" w:eastAsia="ko-KR"/>
        </w:rPr>
        <w:t>T</w:t>
      </w:r>
      <w:r w:rsidR="00EF1A08" w:rsidRPr="007D33C5">
        <w:rPr>
          <w:rFonts w:ascii="Times New Roman" w:eastAsia="Batang" w:hAnsi="Times New Roman"/>
          <w:lang w:val="en-GB" w:eastAsia="ko-KR"/>
        </w:rPr>
        <w:t xml:space="preserve">he </w:t>
      </w:r>
      <w:r w:rsidR="00EF1A08" w:rsidRPr="007D33C5">
        <w:rPr>
          <w:rFonts w:ascii="Times New Roman" w:eastAsia="Batang" w:hAnsi="Times New Roman"/>
          <w:i/>
          <w:lang w:val="en-GB" w:eastAsia="ko-KR"/>
        </w:rPr>
        <w:t>Evaluation of the impact of UNDP support to mine action</w:t>
      </w:r>
      <w:r w:rsidR="00EF1A08" w:rsidRPr="007D33C5">
        <w:rPr>
          <w:rFonts w:ascii="Times New Roman" w:eastAsia="Batang" w:hAnsi="Times New Roman"/>
          <w:lang w:val="en-GB" w:eastAsia="ko-KR"/>
        </w:rPr>
        <w:t xml:space="preserve"> </w:t>
      </w:r>
      <w:r w:rsidR="00D90F19" w:rsidRPr="007D33C5">
        <w:rPr>
          <w:rFonts w:ascii="Times New Roman" w:eastAsia="Batang" w:hAnsi="Times New Roman"/>
          <w:lang w:val="en-GB" w:eastAsia="ko-KR"/>
        </w:rPr>
        <w:t>w</w:t>
      </w:r>
      <w:r w:rsidRPr="007D33C5">
        <w:rPr>
          <w:rFonts w:ascii="Times New Roman" w:eastAsia="Batang" w:hAnsi="Times New Roman"/>
          <w:lang w:val="en-GB" w:eastAsia="ko-KR"/>
        </w:rPr>
        <w:t xml:space="preserve">hich was scheduled </w:t>
      </w:r>
      <w:r w:rsidR="00D90F19" w:rsidRPr="007D33C5">
        <w:rPr>
          <w:rFonts w:ascii="Times New Roman" w:eastAsia="Batang" w:hAnsi="Times New Roman"/>
          <w:lang w:val="en-GB" w:eastAsia="ko-KR"/>
        </w:rPr>
        <w:t>to be presented at the annual session 2015</w:t>
      </w:r>
      <w:r w:rsidR="00967B10" w:rsidRPr="007D33C5">
        <w:rPr>
          <w:rFonts w:ascii="Times New Roman" w:eastAsia="Batang" w:hAnsi="Times New Roman"/>
          <w:lang w:val="en-GB" w:eastAsia="ko-KR"/>
        </w:rPr>
        <w:t xml:space="preserve">, is now scheduled to be </w:t>
      </w:r>
      <w:r w:rsidR="007D33C5" w:rsidRPr="007D33C5">
        <w:rPr>
          <w:rFonts w:ascii="Times New Roman" w:eastAsia="Batang" w:hAnsi="Times New Roman"/>
          <w:lang w:val="en-GB" w:eastAsia="ko-KR"/>
        </w:rPr>
        <w:t>submitted</w:t>
      </w:r>
      <w:r w:rsidR="00967B10" w:rsidRPr="007D33C5">
        <w:rPr>
          <w:rFonts w:ascii="Times New Roman" w:eastAsia="Batang" w:hAnsi="Times New Roman"/>
          <w:lang w:val="en-GB" w:eastAsia="ko-KR"/>
        </w:rPr>
        <w:t xml:space="preserve"> at the second regular session of 2016;</w:t>
      </w:r>
    </w:p>
    <w:p w:rsidR="00720EBA" w:rsidRDefault="00720EBA" w:rsidP="00720EBA">
      <w:pPr>
        <w:pStyle w:val="LightGrid-Accent31"/>
        <w:tabs>
          <w:tab w:val="left" w:pos="360"/>
        </w:tabs>
        <w:spacing w:after="0" w:line="240" w:lineRule="auto"/>
        <w:ind w:left="0"/>
        <w:jc w:val="both"/>
        <w:rPr>
          <w:rFonts w:ascii="Times New Roman" w:eastAsia="Batang" w:hAnsi="Times New Roman"/>
          <w:lang w:val="en-GB" w:eastAsia="ko-KR"/>
        </w:rPr>
      </w:pPr>
    </w:p>
    <w:p w:rsidR="000A27A6" w:rsidRDefault="00620E1F" w:rsidP="006D61ED">
      <w:pPr>
        <w:pStyle w:val="ColorfulShading-Accent31"/>
        <w:numPr>
          <w:ilvl w:val="0"/>
          <w:numId w:val="9"/>
        </w:numPr>
        <w:tabs>
          <w:tab w:val="left" w:pos="360"/>
        </w:tabs>
        <w:spacing w:after="0" w:line="240" w:lineRule="auto"/>
        <w:ind w:left="0" w:firstLine="0"/>
        <w:jc w:val="both"/>
        <w:rPr>
          <w:rFonts w:ascii="Times New Roman" w:eastAsia="Batang" w:hAnsi="Times New Roman"/>
          <w:lang w:eastAsia="ko-KR"/>
        </w:rPr>
      </w:pPr>
      <w:r w:rsidRPr="00C22D09">
        <w:rPr>
          <w:rFonts w:ascii="Times New Roman" w:eastAsia="Batang" w:hAnsi="Times New Roman"/>
          <w:lang w:val="en-GB" w:eastAsia="ko-KR"/>
        </w:rPr>
        <w:t xml:space="preserve">Similarly, delays were also encountered in the </w:t>
      </w:r>
      <w:r w:rsidR="000A27A6">
        <w:rPr>
          <w:rFonts w:ascii="Times New Roman" w:eastAsia="Batang" w:hAnsi="Times New Roman"/>
          <w:lang w:val="en-GB" w:eastAsia="ko-KR"/>
        </w:rPr>
        <w:t>completion</w:t>
      </w:r>
      <w:r w:rsidR="000A27A6" w:rsidRPr="00C22D09">
        <w:rPr>
          <w:rFonts w:ascii="Times New Roman" w:eastAsia="Batang" w:hAnsi="Times New Roman"/>
          <w:lang w:val="en-GB" w:eastAsia="ko-KR"/>
        </w:rPr>
        <w:t xml:space="preserve"> </w:t>
      </w:r>
      <w:r w:rsidRPr="00C22D09">
        <w:rPr>
          <w:rFonts w:ascii="Times New Roman" w:eastAsia="Batang" w:hAnsi="Times New Roman"/>
          <w:lang w:val="en-GB" w:eastAsia="ko-KR"/>
        </w:rPr>
        <w:t>of Assessments of Development Results (ADR) planned for 2014</w:t>
      </w:r>
      <w:r w:rsidR="00C01E1A">
        <w:rPr>
          <w:rFonts w:ascii="Times New Roman" w:eastAsia="Batang" w:hAnsi="Times New Roman"/>
          <w:lang w:val="en-GB" w:eastAsia="ko-KR"/>
        </w:rPr>
        <w:t>, which</w:t>
      </w:r>
      <w:r w:rsidR="00C01E1A" w:rsidRPr="00C01E1A">
        <w:rPr>
          <w:rFonts w:ascii="Times New Roman" w:eastAsia="Batang" w:hAnsi="Times New Roman"/>
          <w:lang w:val="en-GB" w:eastAsia="ko-KR"/>
        </w:rPr>
        <w:t xml:space="preserve"> may have been caused by a combination of factors, including planning constraints at the country office level</w:t>
      </w:r>
      <w:r w:rsidRPr="00C22D09">
        <w:rPr>
          <w:rFonts w:ascii="Times New Roman" w:eastAsia="Batang" w:hAnsi="Times New Roman"/>
          <w:lang w:val="en-GB" w:eastAsia="ko-KR"/>
        </w:rPr>
        <w:t xml:space="preserve">.  </w:t>
      </w:r>
      <w:r w:rsidR="000C7FB5">
        <w:rPr>
          <w:rFonts w:ascii="Times New Roman" w:eastAsia="Batang" w:hAnsi="Times New Roman"/>
          <w:lang w:val="en-GB" w:eastAsia="ko-KR"/>
        </w:rPr>
        <w:t xml:space="preserve">Of six ADRs planned for completion in 2014 (Armenia, </w:t>
      </w:r>
      <w:r w:rsidR="000C7FB5" w:rsidRPr="000C7FB5">
        <w:rPr>
          <w:rFonts w:ascii="Times New Roman" w:eastAsia="Batang" w:hAnsi="Times New Roman"/>
          <w:lang w:eastAsia="ko-KR"/>
        </w:rPr>
        <w:t>Malaysia, Somalia, the United Republic of Tanzania, Uruguay and Zimbabwe</w:t>
      </w:r>
      <w:r w:rsidR="000C7FB5">
        <w:rPr>
          <w:rFonts w:ascii="Times New Roman" w:eastAsia="Batang" w:hAnsi="Times New Roman"/>
          <w:lang w:eastAsia="ko-KR"/>
        </w:rPr>
        <w:t xml:space="preserve">), only one ADR for Armenia was completed. </w:t>
      </w:r>
      <w:r w:rsidRPr="00C22D09">
        <w:rPr>
          <w:rFonts w:ascii="Times New Roman" w:eastAsia="Batang" w:hAnsi="Times New Roman"/>
          <w:lang w:eastAsia="ko-KR"/>
        </w:rPr>
        <w:t>While ADRs</w:t>
      </w:r>
      <w:r w:rsidRPr="00EE15EA">
        <w:rPr>
          <w:rFonts w:ascii="Times New Roman" w:eastAsia="Batang" w:hAnsi="Times New Roman"/>
          <w:lang w:eastAsia="ko-KR"/>
        </w:rPr>
        <w:t xml:space="preserve"> are not formally submitted</w:t>
      </w:r>
      <w:r w:rsidRPr="00C22D09">
        <w:rPr>
          <w:rFonts w:ascii="Times New Roman" w:eastAsia="Batang" w:hAnsi="Times New Roman"/>
          <w:lang w:eastAsia="ko-KR"/>
        </w:rPr>
        <w:t xml:space="preserve"> to the Executive Board, according to the recently adopted Programme Quality Assurance criteria, ADRs are mandatory inputs into the Country Programme Document (CPD) formulation</w:t>
      </w:r>
      <w:r w:rsidR="000A27A6">
        <w:rPr>
          <w:rFonts w:ascii="Times New Roman" w:eastAsia="Batang" w:hAnsi="Times New Roman"/>
          <w:lang w:eastAsia="ko-KR"/>
        </w:rPr>
        <w:t xml:space="preserve"> and accompany CPDs to </w:t>
      </w:r>
      <w:r w:rsidR="00DE752A">
        <w:rPr>
          <w:rFonts w:ascii="Times New Roman" w:eastAsia="Batang" w:hAnsi="Times New Roman"/>
          <w:lang w:eastAsia="ko-KR"/>
        </w:rPr>
        <w:t>the Executive Board for endorsement</w:t>
      </w:r>
      <w:r w:rsidRPr="00C22D09">
        <w:rPr>
          <w:rFonts w:ascii="Times New Roman" w:eastAsia="Batang" w:hAnsi="Times New Roman"/>
          <w:lang w:eastAsia="ko-KR"/>
        </w:rPr>
        <w:t xml:space="preserve">. </w:t>
      </w:r>
    </w:p>
    <w:p w:rsidR="001450AC" w:rsidRPr="002557A9" w:rsidRDefault="001450AC" w:rsidP="00911463">
      <w:pPr>
        <w:pStyle w:val="ColorfulShading-Accent31"/>
        <w:tabs>
          <w:tab w:val="left" w:pos="360"/>
        </w:tabs>
        <w:spacing w:after="0" w:line="240" w:lineRule="auto"/>
        <w:ind w:left="0"/>
        <w:jc w:val="both"/>
        <w:rPr>
          <w:rFonts w:ascii="Times New Roman" w:eastAsia="Batang" w:hAnsi="Times New Roman"/>
          <w:lang w:val="en-GB" w:eastAsia="ko-KR"/>
        </w:rPr>
      </w:pPr>
    </w:p>
    <w:p w:rsidR="00C22D09" w:rsidRPr="002557A9" w:rsidRDefault="00A4598E" w:rsidP="00911463">
      <w:pPr>
        <w:pStyle w:val="ColorfulShading-Accent31"/>
        <w:numPr>
          <w:ilvl w:val="0"/>
          <w:numId w:val="9"/>
        </w:numPr>
        <w:tabs>
          <w:tab w:val="left" w:pos="360"/>
        </w:tabs>
        <w:spacing w:after="0" w:line="240" w:lineRule="auto"/>
        <w:ind w:left="0" w:firstLine="0"/>
        <w:jc w:val="both"/>
        <w:rPr>
          <w:rFonts w:ascii="Times New Roman" w:eastAsia="Batang" w:hAnsi="Times New Roman"/>
          <w:lang w:val="en-GB" w:eastAsia="ko-KR"/>
        </w:rPr>
      </w:pPr>
      <w:r>
        <w:rPr>
          <w:rFonts w:ascii="Times New Roman" w:eastAsia="Batang" w:hAnsi="Times New Roman"/>
          <w:lang w:val="en-GB" w:eastAsia="ko-KR"/>
        </w:rPr>
        <w:t xml:space="preserve">Considering </w:t>
      </w:r>
      <w:r w:rsidR="00C22D09" w:rsidRPr="002557A9">
        <w:rPr>
          <w:rFonts w:ascii="Times New Roman" w:eastAsia="Batang" w:hAnsi="Times New Roman"/>
          <w:lang w:val="en-GB" w:eastAsia="ko-KR"/>
        </w:rPr>
        <w:t>the need for CPDs to be adequately informed by findings and recommendations</w:t>
      </w:r>
      <w:r w:rsidR="00C20929">
        <w:rPr>
          <w:rFonts w:ascii="Times New Roman" w:eastAsia="Batang" w:hAnsi="Times New Roman"/>
          <w:lang w:val="en-GB" w:eastAsia="ko-KR"/>
        </w:rPr>
        <w:t xml:space="preserve"> from the ADRs and other evaluations</w:t>
      </w:r>
      <w:r w:rsidR="00C22D09" w:rsidRPr="002557A9">
        <w:rPr>
          <w:rFonts w:ascii="Times New Roman" w:eastAsia="Batang" w:hAnsi="Times New Roman"/>
          <w:lang w:val="en-GB" w:eastAsia="ko-KR"/>
        </w:rPr>
        <w:t>, UNDP reschedule</w:t>
      </w:r>
      <w:r w:rsidR="00DE752A" w:rsidRPr="002557A9">
        <w:rPr>
          <w:rFonts w:ascii="Times New Roman" w:eastAsia="Batang" w:hAnsi="Times New Roman"/>
          <w:lang w:val="en-GB" w:eastAsia="ko-KR"/>
        </w:rPr>
        <w:t>d</w:t>
      </w:r>
      <w:r w:rsidR="00C22D09" w:rsidRPr="002557A9">
        <w:rPr>
          <w:rFonts w:ascii="Times New Roman" w:eastAsia="Batang" w:hAnsi="Times New Roman"/>
          <w:lang w:val="en-GB" w:eastAsia="ko-KR"/>
        </w:rPr>
        <w:t xml:space="preserve"> submissions to the Executive Board of CPDs for the countries concerned to </w:t>
      </w:r>
      <w:r w:rsidR="00DE752A" w:rsidRPr="002557A9">
        <w:rPr>
          <w:rFonts w:ascii="Times New Roman" w:eastAsia="Batang" w:hAnsi="Times New Roman"/>
          <w:lang w:val="en-GB" w:eastAsia="ko-KR"/>
        </w:rPr>
        <w:t xml:space="preserve">ensure they are </w:t>
      </w:r>
      <w:r>
        <w:rPr>
          <w:rFonts w:ascii="Times New Roman" w:eastAsia="Batang" w:hAnsi="Times New Roman"/>
          <w:lang w:val="en-GB" w:eastAsia="ko-KR"/>
        </w:rPr>
        <w:t xml:space="preserve">documented and formulated on an </w:t>
      </w:r>
      <w:r w:rsidR="00DE752A" w:rsidRPr="002557A9">
        <w:rPr>
          <w:rFonts w:ascii="Times New Roman" w:eastAsia="Batang" w:hAnsi="Times New Roman"/>
          <w:lang w:val="en-GB" w:eastAsia="ko-KR"/>
        </w:rPr>
        <w:t>evidence</w:t>
      </w:r>
      <w:r>
        <w:rPr>
          <w:rFonts w:ascii="Times New Roman" w:eastAsia="Batang" w:hAnsi="Times New Roman"/>
          <w:lang w:val="en-GB" w:eastAsia="ko-KR"/>
        </w:rPr>
        <w:t xml:space="preserve"> </w:t>
      </w:r>
      <w:r w:rsidR="00DE752A" w:rsidRPr="002557A9">
        <w:rPr>
          <w:rFonts w:ascii="Times New Roman" w:eastAsia="Batang" w:hAnsi="Times New Roman"/>
          <w:lang w:val="en-GB" w:eastAsia="ko-KR"/>
        </w:rPr>
        <w:t xml:space="preserve">base. </w:t>
      </w:r>
    </w:p>
    <w:p w:rsidR="00BD28B3" w:rsidRDefault="00BD28B3" w:rsidP="00A64968">
      <w:pPr>
        <w:pStyle w:val="ColorfulShading-Accent31"/>
        <w:spacing w:line="240" w:lineRule="auto"/>
        <w:ind w:left="0"/>
        <w:rPr>
          <w:rFonts w:ascii="Times New Roman" w:eastAsia="Batang" w:hAnsi="Times New Roman"/>
          <w:b/>
          <w:lang w:eastAsia="ko-KR"/>
        </w:rPr>
      </w:pPr>
    </w:p>
    <w:p w:rsidR="009C3F8B" w:rsidRPr="009C3F8B" w:rsidRDefault="009C3F8B" w:rsidP="00A64968">
      <w:pPr>
        <w:pStyle w:val="ColorfulShading-Accent31"/>
        <w:spacing w:line="240" w:lineRule="auto"/>
        <w:ind w:left="0"/>
        <w:rPr>
          <w:rFonts w:ascii="Times New Roman" w:eastAsia="Batang" w:hAnsi="Times New Roman"/>
          <w:b/>
          <w:lang w:eastAsia="ko-KR"/>
        </w:rPr>
      </w:pPr>
      <w:r w:rsidRPr="009C3F8B">
        <w:rPr>
          <w:rFonts w:ascii="Times New Roman" w:eastAsia="Batang" w:hAnsi="Times New Roman"/>
          <w:b/>
          <w:lang w:eastAsia="ko-KR"/>
        </w:rPr>
        <w:t>Progress on the refo</w:t>
      </w:r>
      <w:r>
        <w:rPr>
          <w:rFonts w:ascii="Times New Roman" w:eastAsia="Batang" w:hAnsi="Times New Roman"/>
          <w:b/>
          <w:lang w:eastAsia="ko-KR"/>
        </w:rPr>
        <w:t>r</w:t>
      </w:r>
      <w:r w:rsidRPr="009C3F8B">
        <w:rPr>
          <w:rFonts w:ascii="Times New Roman" w:eastAsia="Batang" w:hAnsi="Times New Roman"/>
          <w:b/>
          <w:lang w:eastAsia="ko-KR"/>
        </w:rPr>
        <w:t>m</w:t>
      </w:r>
      <w:r w:rsidR="00431DD1">
        <w:rPr>
          <w:rFonts w:ascii="Times New Roman" w:eastAsia="Batang" w:hAnsi="Times New Roman"/>
          <w:b/>
          <w:lang w:eastAsia="ko-KR"/>
        </w:rPr>
        <w:t xml:space="preserve"> of ADRs</w:t>
      </w:r>
    </w:p>
    <w:p w:rsidR="009C3F8B" w:rsidRDefault="009C3F8B" w:rsidP="00A64968">
      <w:pPr>
        <w:pStyle w:val="ColorfulShading-Accent31"/>
        <w:tabs>
          <w:tab w:val="left" w:pos="360"/>
        </w:tabs>
        <w:spacing w:after="0" w:line="240" w:lineRule="auto"/>
        <w:ind w:left="0"/>
        <w:jc w:val="both"/>
        <w:rPr>
          <w:rFonts w:ascii="Times New Roman" w:eastAsia="Batang" w:hAnsi="Times New Roman"/>
          <w:lang w:eastAsia="ko-KR"/>
        </w:rPr>
      </w:pPr>
    </w:p>
    <w:p w:rsidR="00091626" w:rsidRPr="00FB440E" w:rsidRDefault="00091626" w:rsidP="00A64968">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Pr>
          <w:rFonts w:ascii="Times New Roman" w:eastAsia="Batang" w:hAnsi="Times New Roman"/>
          <w:lang w:eastAsia="ko-KR"/>
        </w:rPr>
        <w:t xml:space="preserve">With regard to </w:t>
      </w:r>
      <w:r w:rsidR="006D61ED">
        <w:rPr>
          <w:rFonts w:ascii="Times New Roman" w:eastAsia="Batang" w:hAnsi="Times New Roman"/>
          <w:lang w:eastAsia="ko-KR"/>
        </w:rPr>
        <w:t>independent assessments of development results</w:t>
      </w:r>
      <w:r>
        <w:rPr>
          <w:rFonts w:ascii="Times New Roman" w:eastAsia="Batang" w:hAnsi="Times New Roman"/>
          <w:lang w:eastAsia="ko-KR"/>
        </w:rPr>
        <w:t xml:space="preserve">, </w:t>
      </w:r>
      <w:r w:rsidR="00C44F2D">
        <w:rPr>
          <w:rFonts w:ascii="Times New Roman" w:eastAsia="Batang" w:hAnsi="Times New Roman"/>
          <w:lang w:eastAsia="ko-KR"/>
        </w:rPr>
        <w:t>EB D</w:t>
      </w:r>
      <w:r w:rsidRPr="00FB440E">
        <w:rPr>
          <w:rFonts w:ascii="Times New Roman" w:eastAsia="Batang" w:hAnsi="Times New Roman"/>
          <w:lang w:eastAsia="ko-KR"/>
        </w:rPr>
        <w:t>ecision 2014/4</w:t>
      </w:r>
      <w:r>
        <w:rPr>
          <w:rFonts w:ascii="Times New Roman" w:eastAsia="Batang" w:hAnsi="Times New Roman"/>
          <w:lang w:eastAsia="ko-KR"/>
        </w:rPr>
        <w:t xml:space="preserve"> </w:t>
      </w:r>
      <w:r w:rsidRPr="00FB440E">
        <w:rPr>
          <w:rFonts w:ascii="Times New Roman" w:eastAsia="Batang" w:hAnsi="Times New Roman"/>
          <w:lang w:eastAsia="ko-KR"/>
        </w:rPr>
        <w:t xml:space="preserve">“encourages </w:t>
      </w:r>
      <w:r w:rsidRPr="00A50799">
        <w:rPr>
          <w:rFonts w:ascii="Times New Roman" w:eastAsia="Batang" w:hAnsi="Times New Roman"/>
          <w:lang w:eastAsia="ko-KR"/>
        </w:rPr>
        <w:t>the Independent Evaluation Office of UNDP to further develop its methodology for efficiency analysis, in time for the Assessments for Development Results to be undertaken by the Office in 2015</w:t>
      </w:r>
      <w:r>
        <w:rPr>
          <w:rFonts w:ascii="Times New Roman" w:eastAsia="Batang" w:hAnsi="Times New Roman"/>
          <w:lang w:eastAsia="ko-KR"/>
        </w:rPr>
        <w:t xml:space="preserve">”. UNDP management encourages the IEO to implement the Board decision and </w:t>
      </w:r>
      <w:r w:rsidR="004362BD">
        <w:rPr>
          <w:rFonts w:ascii="Times New Roman" w:eastAsia="Batang" w:hAnsi="Times New Roman"/>
          <w:lang w:eastAsia="ko-KR"/>
        </w:rPr>
        <w:t xml:space="preserve">proceed with the </w:t>
      </w:r>
      <w:r>
        <w:rPr>
          <w:rFonts w:ascii="Times New Roman" w:eastAsia="Batang" w:hAnsi="Times New Roman"/>
          <w:lang w:eastAsia="ko-KR"/>
        </w:rPr>
        <w:t>develop</w:t>
      </w:r>
      <w:r w:rsidR="004362BD">
        <w:rPr>
          <w:rFonts w:ascii="Times New Roman" w:eastAsia="Batang" w:hAnsi="Times New Roman"/>
          <w:lang w:eastAsia="ko-KR"/>
        </w:rPr>
        <w:t>ment</w:t>
      </w:r>
      <w:r>
        <w:rPr>
          <w:rFonts w:ascii="Times New Roman" w:eastAsia="Batang" w:hAnsi="Times New Roman"/>
          <w:lang w:eastAsia="ko-KR"/>
        </w:rPr>
        <w:t xml:space="preserve"> </w:t>
      </w:r>
      <w:r w:rsidR="004362BD">
        <w:rPr>
          <w:rFonts w:ascii="Times New Roman" w:eastAsia="Batang" w:hAnsi="Times New Roman"/>
          <w:lang w:eastAsia="ko-KR"/>
        </w:rPr>
        <w:t xml:space="preserve">of the </w:t>
      </w:r>
      <w:r>
        <w:rPr>
          <w:rFonts w:ascii="Times New Roman" w:eastAsia="Batang" w:hAnsi="Times New Roman"/>
          <w:lang w:eastAsia="ko-KR"/>
        </w:rPr>
        <w:t xml:space="preserve">methodology as soon as feasible, in order to support the ADR processes in 2015. </w:t>
      </w:r>
    </w:p>
    <w:p w:rsidR="00091626" w:rsidRDefault="00091626" w:rsidP="00A64968">
      <w:pPr>
        <w:pStyle w:val="ColorfulShading-Accent31"/>
        <w:tabs>
          <w:tab w:val="left" w:pos="360"/>
        </w:tabs>
        <w:spacing w:after="0" w:line="240" w:lineRule="auto"/>
        <w:ind w:left="0"/>
        <w:jc w:val="both"/>
        <w:rPr>
          <w:rFonts w:ascii="Times New Roman" w:eastAsia="Batang" w:hAnsi="Times New Roman"/>
          <w:lang w:eastAsia="ko-KR"/>
        </w:rPr>
      </w:pPr>
    </w:p>
    <w:p w:rsidR="002F64AA" w:rsidRPr="002F64AA" w:rsidRDefault="00A4598E" w:rsidP="00A64968">
      <w:pPr>
        <w:pStyle w:val="ColorfulShading-Accent31"/>
        <w:numPr>
          <w:ilvl w:val="0"/>
          <w:numId w:val="9"/>
        </w:numPr>
        <w:tabs>
          <w:tab w:val="left" w:pos="360"/>
        </w:tabs>
        <w:spacing w:after="0" w:line="240" w:lineRule="auto"/>
        <w:ind w:left="0" w:firstLine="0"/>
        <w:jc w:val="both"/>
        <w:rPr>
          <w:rFonts w:ascii="Times New Roman" w:eastAsia="Batang" w:hAnsi="Times New Roman"/>
          <w:lang w:eastAsia="ko-KR"/>
        </w:rPr>
      </w:pPr>
      <w:r>
        <w:rPr>
          <w:rFonts w:ascii="Times New Roman" w:eastAsia="Batang" w:hAnsi="Times New Roman"/>
          <w:lang w:eastAsia="ko-KR"/>
        </w:rPr>
        <w:t>UNDP m</w:t>
      </w:r>
      <w:r w:rsidR="003E1263" w:rsidRPr="00D754E4">
        <w:rPr>
          <w:rFonts w:ascii="Times New Roman" w:eastAsia="Batang" w:hAnsi="Times New Roman"/>
          <w:lang w:eastAsia="ko-KR"/>
        </w:rPr>
        <w:t xml:space="preserve">anagement </w:t>
      </w:r>
      <w:r w:rsidR="00A64968">
        <w:rPr>
          <w:rFonts w:ascii="Times New Roman" w:eastAsia="Batang" w:hAnsi="Times New Roman"/>
          <w:lang w:eastAsia="ko-KR"/>
        </w:rPr>
        <w:t xml:space="preserve">stands ready </w:t>
      </w:r>
      <w:r w:rsidR="009C3F8B">
        <w:rPr>
          <w:rFonts w:ascii="Times New Roman" w:eastAsia="Batang" w:hAnsi="Times New Roman"/>
          <w:lang w:eastAsia="ko-KR"/>
        </w:rPr>
        <w:t xml:space="preserve">to engage with </w:t>
      </w:r>
      <w:r w:rsidR="003E1263" w:rsidRPr="00D754E4">
        <w:rPr>
          <w:rFonts w:ascii="Times New Roman" w:eastAsia="Batang" w:hAnsi="Times New Roman"/>
          <w:lang w:eastAsia="ko-KR"/>
        </w:rPr>
        <w:t xml:space="preserve">the IEO on </w:t>
      </w:r>
      <w:r w:rsidR="009C3F8B">
        <w:rPr>
          <w:rFonts w:ascii="Times New Roman" w:eastAsia="Batang" w:hAnsi="Times New Roman"/>
          <w:lang w:eastAsia="ko-KR"/>
        </w:rPr>
        <w:t xml:space="preserve">the ADR reform. While the </w:t>
      </w:r>
      <w:r w:rsidR="001D28ED">
        <w:rPr>
          <w:rFonts w:ascii="Times New Roman" w:eastAsia="Batang" w:hAnsi="Times New Roman"/>
          <w:lang w:eastAsia="ko-KR"/>
        </w:rPr>
        <w:t xml:space="preserve">2014 </w:t>
      </w:r>
      <w:r w:rsidR="009C3F8B">
        <w:rPr>
          <w:rFonts w:ascii="Times New Roman" w:eastAsia="Batang" w:hAnsi="Times New Roman"/>
          <w:lang w:eastAsia="ko-KR"/>
        </w:rPr>
        <w:t xml:space="preserve">Annual report </w:t>
      </w:r>
      <w:r w:rsidR="001D28ED">
        <w:rPr>
          <w:rFonts w:ascii="Times New Roman" w:eastAsia="Batang" w:hAnsi="Times New Roman"/>
          <w:lang w:eastAsia="ko-KR"/>
        </w:rPr>
        <w:t xml:space="preserve">on evaluation </w:t>
      </w:r>
      <w:r w:rsidR="009C3F8B">
        <w:rPr>
          <w:rFonts w:ascii="Times New Roman" w:eastAsia="Batang" w:hAnsi="Times New Roman"/>
          <w:lang w:eastAsia="ko-KR"/>
        </w:rPr>
        <w:t>suggest</w:t>
      </w:r>
      <w:r w:rsidR="001D28ED">
        <w:rPr>
          <w:rFonts w:ascii="Times New Roman" w:eastAsia="Batang" w:hAnsi="Times New Roman"/>
          <w:lang w:eastAsia="ko-KR"/>
        </w:rPr>
        <w:t>s</w:t>
      </w:r>
      <w:r w:rsidR="009C3F8B">
        <w:rPr>
          <w:rFonts w:ascii="Times New Roman" w:eastAsia="Batang" w:hAnsi="Times New Roman"/>
          <w:lang w:eastAsia="ko-KR"/>
        </w:rPr>
        <w:t xml:space="preserve"> that the “…</w:t>
      </w:r>
      <w:r w:rsidR="009C3F8B" w:rsidRPr="009C3F8B">
        <w:rPr>
          <w:rFonts w:ascii="Times New Roman" w:eastAsia="Batang" w:hAnsi="Times New Roman"/>
          <w:lang w:val="en-GB" w:eastAsia="ko-KR"/>
        </w:rPr>
        <w:t>latest revision of the ADR guidance and methods manual codifies recent process changes, and responds to concerns and suggestions from regional bureaus, country offices and other key stakeholders</w:t>
      </w:r>
      <w:r w:rsidR="00A64968">
        <w:rPr>
          <w:rFonts w:ascii="Times New Roman" w:eastAsia="Batang" w:hAnsi="Times New Roman"/>
          <w:lang w:val="en-GB" w:eastAsia="ko-KR"/>
        </w:rPr>
        <w:t>…”</w:t>
      </w:r>
      <w:r w:rsidR="006D61ED">
        <w:rPr>
          <w:rFonts w:ascii="Times New Roman" w:eastAsia="Batang" w:hAnsi="Times New Roman"/>
          <w:lang w:val="en-GB" w:eastAsia="ko-KR"/>
        </w:rPr>
        <w:t xml:space="preserve">, </w:t>
      </w:r>
      <w:r w:rsidR="009C3F8B">
        <w:rPr>
          <w:rFonts w:ascii="Times New Roman" w:eastAsia="Batang" w:hAnsi="Times New Roman"/>
          <w:lang w:val="en-GB" w:eastAsia="ko-KR"/>
        </w:rPr>
        <w:t xml:space="preserve">UNDP management </w:t>
      </w:r>
      <w:r w:rsidR="006D61ED">
        <w:rPr>
          <w:rFonts w:ascii="Times New Roman" w:eastAsia="Batang" w:hAnsi="Times New Roman"/>
          <w:lang w:val="en-GB" w:eastAsia="ko-KR"/>
        </w:rPr>
        <w:t xml:space="preserve">requests the IEO to finalize formulation of the ADR methodology to improve </w:t>
      </w:r>
      <w:r>
        <w:rPr>
          <w:rFonts w:ascii="Times New Roman" w:eastAsia="Batang" w:hAnsi="Times New Roman"/>
          <w:lang w:val="en-GB" w:eastAsia="ko-KR"/>
        </w:rPr>
        <w:t xml:space="preserve">the </w:t>
      </w:r>
      <w:r w:rsidR="006D61ED">
        <w:rPr>
          <w:rFonts w:ascii="Times New Roman" w:eastAsia="Batang" w:hAnsi="Times New Roman"/>
          <w:lang w:val="en-GB" w:eastAsia="ko-KR"/>
        </w:rPr>
        <w:t xml:space="preserve">quality of development results evaluations. </w:t>
      </w:r>
    </w:p>
    <w:p w:rsidR="000448CF" w:rsidRDefault="000448CF" w:rsidP="002F64AA">
      <w:pPr>
        <w:pStyle w:val="ColorfulShading-Accent31"/>
        <w:tabs>
          <w:tab w:val="left" w:pos="360"/>
        </w:tabs>
        <w:spacing w:after="0" w:line="240" w:lineRule="auto"/>
        <w:ind w:left="0"/>
        <w:jc w:val="both"/>
        <w:rPr>
          <w:rFonts w:ascii="Times New Roman" w:eastAsia="Batang" w:hAnsi="Times New Roman"/>
          <w:b/>
          <w:lang w:eastAsia="ko-KR"/>
        </w:rPr>
      </w:pPr>
    </w:p>
    <w:p w:rsidR="00091626" w:rsidRPr="002F64AA" w:rsidRDefault="00091626" w:rsidP="002F64AA">
      <w:pPr>
        <w:pStyle w:val="ColorfulShading-Accent31"/>
        <w:tabs>
          <w:tab w:val="left" w:pos="360"/>
        </w:tabs>
        <w:spacing w:after="0" w:line="240" w:lineRule="auto"/>
        <w:ind w:left="0"/>
        <w:jc w:val="both"/>
        <w:rPr>
          <w:rFonts w:ascii="Times New Roman" w:eastAsia="Batang" w:hAnsi="Times New Roman"/>
          <w:lang w:eastAsia="ko-KR"/>
        </w:rPr>
      </w:pPr>
      <w:r w:rsidRPr="002F64AA">
        <w:rPr>
          <w:rFonts w:ascii="Times New Roman" w:eastAsia="Batang" w:hAnsi="Times New Roman"/>
          <w:b/>
          <w:lang w:eastAsia="ko-KR"/>
        </w:rPr>
        <w:t xml:space="preserve">Joint evaluations </w:t>
      </w:r>
    </w:p>
    <w:p w:rsidR="00377F15" w:rsidRPr="00377F15" w:rsidRDefault="00377F15" w:rsidP="00A64968">
      <w:pPr>
        <w:spacing w:line="240" w:lineRule="auto"/>
        <w:contextualSpacing/>
        <w:rPr>
          <w:rFonts w:ascii="Times New Roman" w:eastAsia="Batang" w:hAnsi="Times New Roman"/>
          <w:b/>
          <w:lang w:eastAsia="ko-KR"/>
        </w:rPr>
      </w:pPr>
    </w:p>
    <w:p w:rsidR="00E163A4" w:rsidRDefault="00091626" w:rsidP="00C46CC3">
      <w:pPr>
        <w:numPr>
          <w:ilvl w:val="0"/>
          <w:numId w:val="9"/>
        </w:numPr>
        <w:tabs>
          <w:tab w:val="left" w:pos="360"/>
        </w:tabs>
        <w:spacing w:after="0" w:line="240" w:lineRule="auto"/>
        <w:ind w:left="0" w:firstLine="0"/>
        <w:contextualSpacing/>
        <w:jc w:val="both"/>
        <w:rPr>
          <w:rFonts w:ascii="Times New Roman" w:eastAsia="Batang" w:hAnsi="Times New Roman"/>
          <w:b/>
          <w:lang w:eastAsia="ko-KR"/>
        </w:rPr>
      </w:pPr>
      <w:r w:rsidRPr="00091626">
        <w:rPr>
          <w:rFonts w:ascii="Times New Roman" w:eastAsia="Batang" w:hAnsi="Times New Roman"/>
          <w:lang w:eastAsia="ko-KR"/>
        </w:rPr>
        <w:t xml:space="preserve">UNDP management notes with satisfaction that the IEO is conducting joint evaluations with key partners. Such evaluations are important instruments for assessing the effectiveness of joint approaches to achieving results, and should be continued to foster coherence and synergies among the </w:t>
      </w:r>
      <w:r w:rsidR="00E939FD">
        <w:rPr>
          <w:rFonts w:ascii="Times New Roman" w:eastAsia="Batang" w:hAnsi="Times New Roman"/>
          <w:lang w:eastAsia="ko-KR"/>
        </w:rPr>
        <w:t xml:space="preserve">Agencies, Funds and Programmes of </w:t>
      </w:r>
      <w:r w:rsidRPr="00091626">
        <w:rPr>
          <w:rFonts w:ascii="Times New Roman" w:eastAsia="Batang" w:hAnsi="Times New Roman"/>
          <w:lang w:eastAsia="ko-KR"/>
        </w:rPr>
        <w:t>the United Nations development system.</w:t>
      </w:r>
    </w:p>
    <w:p w:rsidR="00E163A4" w:rsidRDefault="00E163A4" w:rsidP="00A64968">
      <w:pPr>
        <w:spacing w:line="240" w:lineRule="auto"/>
        <w:contextualSpacing/>
        <w:rPr>
          <w:rFonts w:ascii="Times New Roman" w:eastAsia="Batang" w:hAnsi="Times New Roman"/>
          <w:b/>
          <w:lang w:eastAsia="ko-KR"/>
        </w:rPr>
      </w:pPr>
    </w:p>
    <w:p w:rsidR="0053519F" w:rsidRDefault="0053519F" w:rsidP="00A64968">
      <w:pPr>
        <w:spacing w:line="240" w:lineRule="auto"/>
        <w:contextualSpacing/>
        <w:rPr>
          <w:rFonts w:ascii="Times New Roman" w:eastAsia="Batang" w:hAnsi="Times New Roman"/>
          <w:b/>
          <w:lang w:eastAsia="ko-KR"/>
        </w:rPr>
      </w:pPr>
      <w:r w:rsidRPr="0053519F">
        <w:rPr>
          <w:rFonts w:ascii="Times New Roman" w:eastAsia="Batang" w:hAnsi="Times New Roman"/>
          <w:b/>
          <w:lang w:eastAsia="ko-KR"/>
        </w:rPr>
        <w:t>Evaluation Advisory Panel</w:t>
      </w:r>
    </w:p>
    <w:p w:rsidR="007D52A4" w:rsidRPr="0053519F" w:rsidRDefault="007D52A4" w:rsidP="00A64968">
      <w:pPr>
        <w:spacing w:line="240" w:lineRule="auto"/>
        <w:contextualSpacing/>
        <w:rPr>
          <w:rFonts w:ascii="Times New Roman" w:eastAsia="Batang" w:hAnsi="Times New Roman"/>
          <w:b/>
          <w:lang w:eastAsia="ko-KR"/>
        </w:rPr>
      </w:pPr>
    </w:p>
    <w:p w:rsidR="001D28ED" w:rsidRDefault="0053519F" w:rsidP="006D61E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7D52A4">
        <w:rPr>
          <w:rFonts w:ascii="Times New Roman" w:eastAsia="Batang" w:hAnsi="Times New Roman"/>
          <w:lang w:eastAsia="ko-KR"/>
        </w:rPr>
        <w:t xml:space="preserve">UNDP management welcomes the initiative by the Evaluation Office </w:t>
      </w:r>
      <w:r w:rsidR="00091626">
        <w:rPr>
          <w:rFonts w:ascii="Times New Roman" w:eastAsia="Batang" w:hAnsi="Times New Roman"/>
          <w:lang w:eastAsia="ko-KR"/>
        </w:rPr>
        <w:t xml:space="preserve">in 2013 </w:t>
      </w:r>
      <w:r w:rsidRPr="007D52A4">
        <w:rPr>
          <w:rFonts w:ascii="Times New Roman" w:eastAsia="Batang" w:hAnsi="Times New Roman"/>
          <w:lang w:eastAsia="ko-KR"/>
        </w:rPr>
        <w:t xml:space="preserve">to establish </w:t>
      </w:r>
      <w:r w:rsidR="00091626">
        <w:rPr>
          <w:rFonts w:ascii="Times New Roman" w:eastAsia="Batang" w:hAnsi="Times New Roman"/>
          <w:lang w:eastAsia="ko-KR"/>
        </w:rPr>
        <w:t xml:space="preserve">an </w:t>
      </w:r>
      <w:r w:rsidRPr="007D52A4">
        <w:rPr>
          <w:rFonts w:ascii="Times New Roman" w:eastAsia="Batang" w:hAnsi="Times New Roman"/>
          <w:lang w:eastAsia="ko-KR"/>
        </w:rPr>
        <w:t>Evaluation Advisory Panel</w:t>
      </w:r>
      <w:r w:rsidR="00E939FD">
        <w:rPr>
          <w:rFonts w:ascii="Times New Roman" w:eastAsia="Batang" w:hAnsi="Times New Roman"/>
          <w:lang w:eastAsia="ko-KR"/>
        </w:rPr>
        <w:t xml:space="preserve">. The ongoing revision of the UNDP evaluation policy is a unique opportunity for UNDP to </w:t>
      </w:r>
      <w:r w:rsidR="006D61ED">
        <w:rPr>
          <w:rFonts w:ascii="Times New Roman" w:eastAsia="Batang" w:hAnsi="Times New Roman"/>
          <w:lang w:eastAsia="ko-KR"/>
        </w:rPr>
        <w:t>better define the mandate of</w:t>
      </w:r>
      <w:r w:rsidR="00E939FD">
        <w:rPr>
          <w:rFonts w:ascii="Times New Roman" w:eastAsia="Batang" w:hAnsi="Times New Roman"/>
          <w:lang w:eastAsia="ko-KR"/>
        </w:rPr>
        <w:t xml:space="preserve"> the Advisory Panel </w:t>
      </w:r>
      <w:r w:rsidR="006D61ED">
        <w:rPr>
          <w:rFonts w:ascii="Times New Roman" w:eastAsia="Batang" w:hAnsi="Times New Roman"/>
          <w:lang w:eastAsia="ko-KR"/>
        </w:rPr>
        <w:t xml:space="preserve">and ensure the organization </w:t>
      </w:r>
      <w:r w:rsidR="001F2073">
        <w:rPr>
          <w:rFonts w:ascii="Times New Roman" w:eastAsia="Batang" w:hAnsi="Times New Roman"/>
          <w:lang w:eastAsia="ko-KR"/>
        </w:rPr>
        <w:t>benefit</w:t>
      </w:r>
      <w:r w:rsidR="006D61ED">
        <w:rPr>
          <w:rFonts w:ascii="Times New Roman" w:eastAsia="Batang" w:hAnsi="Times New Roman"/>
          <w:lang w:eastAsia="ko-KR"/>
        </w:rPr>
        <w:t>s</w:t>
      </w:r>
      <w:r w:rsidR="001F2073">
        <w:rPr>
          <w:rFonts w:ascii="Times New Roman" w:eastAsia="Batang" w:hAnsi="Times New Roman"/>
          <w:lang w:eastAsia="ko-KR"/>
        </w:rPr>
        <w:t xml:space="preserve"> from </w:t>
      </w:r>
      <w:r w:rsidR="00A4598E">
        <w:rPr>
          <w:rFonts w:ascii="Times New Roman" w:eastAsia="Batang" w:hAnsi="Times New Roman"/>
          <w:lang w:eastAsia="ko-KR"/>
        </w:rPr>
        <w:t>its</w:t>
      </w:r>
      <w:r w:rsidR="001F2073">
        <w:rPr>
          <w:rFonts w:ascii="Times New Roman" w:eastAsia="Batang" w:hAnsi="Times New Roman"/>
          <w:lang w:eastAsia="ko-KR"/>
        </w:rPr>
        <w:t xml:space="preserve"> advice on </w:t>
      </w:r>
      <w:r w:rsidR="006D61ED">
        <w:rPr>
          <w:rFonts w:ascii="Times New Roman" w:eastAsia="Batang" w:hAnsi="Times New Roman"/>
          <w:lang w:eastAsia="ko-KR"/>
        </w:rPr>
        <w:lastRenderedPageBreak/>
        <w:t xml:space="preserve">means to </w:t>
      </w:r>
      <w:r w:rsidR="007D52A4">
        <w:rPr>
          <w:rFonts w:ascii="Times New Roman" w:eastAsia="Batang" w:hAnsi="Times New Roman"/>
          <w:lang w:eastAsia="ko-KR"/>
        </w:rPr>
        <w:t>strengthen the quality of evaluations</w:t>
      </w:r>
      <w:r w:rsidR="00F04729" w:rsidRPr="007D52A4">
        <w:rPr>
          <w:rFonts w:ascii="Times New Roman" w:eastAsia="Batang" w:hAnsi="Times New Roman"/>
          <w:lang w:eastAsia="ko-KR"/>
        </w:rPr>
        <w:t xml:space="preserve">. </w:t>
      </w:r>
      <w:r w:rsidR="006D61ED">
        <w:rPr>
          <w:rFonts w:ascii="Times New Roman" w:eastAsia="Batang" w:hAnsi="Times New Roman"/>
          <w:lang w:eastAsia="ko-KR"/>
        </w:rPr>
        <w:t>To this end</w:t>
      </w:r>
      <w:r w:rsidR="00F04729" w:rsidRPr="00FC093E">
        <w:rPr>
          <w:rFonts w:ascii="Times New Roman" w:eastAsia="Batang" w:hAnsi="Times New Roman"/>
          <w:lang w:eastAsia="ko-KR"/>
        </w:rPr>
        <w:t>, UNDP</w:t>
      </w:r>
      <w:r w:rsidR="00C46CC3">
        <w:rPr>
          <w:rFonts w:ascii="Times New Roman" w:eastAsia="Batang" w:hAnsi="Times New Roman"/>
          <w:lang w:eastAsia="ko-KR"/>
        </w:rPr>
        <w:t xml:space="preserve"> </w:t>
      </w:r>
      <w:r w:rsidR="00F04729" w:rsidRPr="00FC093E">
        <w:rPr>
          <w:rFonts w:ascii="Times New Roman" w:eastAsia="Batang" w:hAnsi="Times New Roman"/>
          <w:lang w:eastAsia="ko-KR"/>
        </w:rPr>
        <w:t xml:space="preserve">management encourages the Independent Evaluation Office to share and discuss with UNDP the results of the panel’s work, particularly the reports </w:t>
      </w:r>
      <w:r w:rsidR="007D52A4" w:rsidRPr="00FC093E">
        <w:rPr>
          <w:rFonts w:ascii="Times New Roman" w:eastAsia="Batang" w:hAnsi="Times New Roman"/>
          <w:lang w:eastAsia="ko-KR"/>
        </w:rPr>
        <w:t xml:space="preserve">and </w:t>
      </w:r>
      <w:r w:rsidR="00F04729" w:rsidRPr="00FC093E">
        <w:rPr>
          <w:rFonts w:ascii="Times New Roman" w:eastAsia="Batang" w:hAnsi="Times New Roman"/>
          <w:lang w:eastAsia="ko-KR"/>
        </w:rPr>
        <w:t>commentaries that directly relate to UNDP’s evaluation</w:t>
      </w:r>
      <w:r w:rsidR="00E939FD" w:rsidRPr="00FC093E">
        <w:rPr>
          <w:rFonts w:ascii="Times New Roman" w:eastAsia="Batang" w:hAnsi="Times New Roman"/>
          <w:lang w:eastAsia="ko-KR"/>
        </w:rPr>
        <w:t>s.</w:t>
      </w:r>
      <w:r w:rsidR="00F04729" w:rsidRPr="00FC093E">
        <w:rPr>
          <w:rFonts w:ascii="Times New Roman" w:eastAsia="Batang" w:hAnsi="Times New Roman"/>
          <w:lang w:eastAsia="ko-KR"/>
        </w:rPr>
        <w:t xml:space="preserve">  </w:t>
      </w:r>
    </w:p>
    <w:p w:rsidR="006D61ED" w:rsidRPr="00FC093E" w:rsidRDefault="006D61ED" w:rsidP="006D61ED">
      <w:pPr>
        <w:tabs>
          <w:tab w:val="left" w:pos="360"/>
        </w:tabs>
        <w:spacing w:after="0" w:line="240" w:lineRule="auto"/>
        <w:contextualSpacing/>
        <w:jc w:val="both"/>
        <w:rPr>
          <w:rFonts w:ascii="Times New Roman" w:eastAsia="Batang" w:hAnsi="Times New Roman"/>
          <w:lang w:eastAsia="ko-KR"/>
        </w:rPr>
      </w:pPr>
    </w:p>
    <w:p w:rsidR="009C3F8B" w:rsidRPr="009C3F8B" w:rsidRDefault="009C3F8B" w:rsidP="00A64968">
      <w:pPr>
        <w:pStyle w:val="ColorfulShading-Accent31"/>
        <w:spacing w:line="240" w:lineRule="auto"/>
        <w:ind w:left="0"/>
        <w:rPr>
          <w:rFonts w:ascii="Times New Roman" w:eastAsia="Batang" w:hAnsi="Times New Roman"/>
          <w:b/>
          <w:lang w:eastAsia="ko-KR"/>
        </w:rPr>
      </w:pPr>
      <w:r w:rsidRPr="009C3F8B">
        <w:rPr>
          <w:rFonts w:ascii="Times New Roman" w:eastAsia="Batang" w:hAnsi="Times New Roman"/>
          <w:b/>
          <w:lang w:eastAsia="ko-KR"/>
        </w:rPr>
        <w:t xml:space="preserve">Support to regional and national evaluation capacity </w:t>
      </w:r>
    </w:p>
    <w:p w:rsidR="009C3F8B" w:rsidRDefault="009C3F8B" w:rsidP="00A64968">
      <w:pPr>
        <w:pStyle w:val="ColorfulShading-Accent31"/>
        <w:tabs>
          <w:tab w:val="left" w:pos="360"/>
        </w:tabs>
        <w:spacing w:after="0" w:line="240" w:lineRule="auto"/>
        <w:ind w:left="0"/>
        <w:jc w:val="both"/>
        <w:rPr>
          <w:rFonts w:ascii="Times New Roman" w:eastAsia="Batang" w:hAnsi="Times New Roman"/>
          <w:lang w:eastAsia="ko-KR"/>
        </w:rPr>
      </w:pPr>
    </w:p>
    <w:p w:rsidR="00D754E4" w:rsidRDefault="00DB17A2" w:rsidP="00A64968">
      <w:pPr>
        <w:pStyle w:val="ColorfulShading-Accent31"/>
        <w:numPr>
          <w:ilvl w:val="0"/>
          <w:numId w:val="9"/>
        </w:numPr>
        <w:tabs>
          <w:tab w:val="left" w:pos="360"/>
        </w:tabs>
        <w:spacing w:after="0" w:line="240" w:lineRule="auto"/>
        <w:ind w:left="0" w:firstLine="0"/>
        <w:jc w:val="both"/>
        <w:rPr>
          <w:rFonts w:ascii="Times New Roman" w:eastAsia="Batang" w:hAnsi="Times New Roman"/>
          <w:lang w:eastAsia="ko-KR"/>
        </w:rPr>
      </w:pPr>
      <w:r>
        <w:rPr>
          <w:rFonts w:ascii="Times New Roman" w:eastAsia="Batang" w:hAnsi="Times New Roman"/>
          <w:lang w:eastAsia="ko-KR"/>
        </w:rPr>
        <w:t xml:space="preserve">In 2014, UNDP </w:t>
      </w:r>
      <w:r w:rsidRPr="00DB17A2">
        <w:rPr>
          <w:rFonts w:ascii="Times New Roman" w:eastAsia="Batang" w:hAnsi="Times New Roman"/>
          <w:lang w:eastAsia="ko-KR"/>
        </w:rPr>
        <w:t xml:space="preserve">country offices continued to actively engage with national counterparts in a range of activities to support national capacity for results-based management, including national capacities to collect, collate and analyze evaluative evidence. </w:t>
      </w:r>
      <w:r w:rsidR="009C3F8B" w:rsidRPr="00651F8F">
        <w:rPr>
          <w:rFonts w:ascii="Times New Roman" w:eastAsia="Batang" w:hAnsi="Times New Roman"/>
          <w:lang w:eastAsia="ko-KR"/>
        </w:rPr>
        <w:t xml:space="preserve">UNDP management </w:t>
      </w:r>
      <w:r w:rsidR="00D50AA7" w:rsidRPr="00651F8F">
        <w:rPr>
          <w:rFonts w:ascii="Times New Roman" w:eastAsia="Batang" w:hAnsi="Times New Roman"/>
          <w:lang w:eastAsia="ko-KR"/>
        </w:rPr>
        <w:t xml:space="preserve">reiterates its commitment </w:t>
      </w:r>
      <w:r w:rsidR="009C3F8B" w:rsidRPr="00651F8F">
        <w:rPr>
          <w:rFonts w:ascii="Times New Roman" w:eastAsia="Batang" w:hAnsi="Times New Roman"/>
          <w:lang w:eastAsia="ko-KR"/>
        </w:rPr>
        <w:t xml:space="preserve">to engage with </w:t>
      </w:r>
      <w:r w:rsidR="00AA5D8C">
        <w:rPr>
          <w:rFonts w:ascii="Times New Roman" w:eastAsia="Batang" w:hAnsi="Times New Roman"/>
          <w:lang w:eastAsia="ko-KR"/>
        </w:rPr>
        <w:t xml:space="preserve">the </w:t>
      </w:r>
      <w:r w:rsidR="009C3F8B" w:rsidRPr="00651F8F">
        <w:rPr>
          <w:rFonts w:ascii="Times New Roman" w:eastAsia="Batang" w:hAnsi="Times New Roman"/>
          <w:lang w:eastAsia="ko-KR"/>
        </w:rPr>
        <w:t xml:space="preserve">IEO in supporting regional and national evaluation capacity. While the Annual report </w:t>
      </w:r>
      <w:r w:rsidR="00F132E0" w:rsidRPr="00651F8F">
        <w:rPr>
          <w:rFonts w:ascii="Times New Roman" w:eastAsia="Batang" w:hAnsi="Times New Roman"/>
          <w:lang w:eastAsia="ko-KR"/>
        </w:rPr>
        <w:t>state</w:t>
      </w:r>
      <w:r w:rsidR="00F132E0">
        <w:rPr>
          <w:rFonts w:ascii="Times New Roman" w:eastAsia="Batang" w:hAnsi="Times New Roman"/>
          <w:lang w:eastAsia="ko-KR"/>
        </w:rPr>
        <w:t>s</w:t>
      </w:r>
      <w:r w:rsidR="00F132E0" w:rsidRPr="00651F8F">
        <w:rPr>
          <w:rFonts w:ascii="Times New Roman" w:eastAsia="Batang" w:hAnsi="Times New Roman"/>
          <w:lang w:eastAsia="ko-KR"/>
        </w:rPr>
        <w:t xml:space="preserve"> </w:t>
      </w:r>
      <w:r w:rsidR="009C3F8B" w:rsidRPr="00651F8F">
        <w:rPr>
          <w:rFonts w:ascii="Times New Roman" w:eastAsia="Batang" w:hAnsi="Times New Roman"/>
          <w:lang w:eastAsia="ko-KR"/>
        </w:rPr>
        <w:t>that “</w:t>
      </w:r>
      <w:r w:rsidR="00651F8F" w:rsidRPr="00651F8F">
        <w:rPr>
          <w:rFonts w:ascii="Times New Roman" w:eastAsia="Batang" w:hAnsi="Times New Roman"/>
          <w:lang w:eastAsia="ko-KR"/>
        </w:rPr>
        <w:t>…</w:t>
      </w:r>
      <w:r w:rsidR="009C3F8B" w:rsidRPr="00651F8F">
        <w:rPr>
          <w:rFonts w:ascii="Times New Roman" w:eastAsia="Batang" w:hAnsi="Times New Roman"/>
          <w:lang w:eastAsia="ko-KR"/>
        </w:rPr>
        <w:t>the IEO cooperates with UNDP programme units to assist countries on evaluation capacity development</w:t>
      </w:r>
      <w:r w:rsidR="00651F8F" w:rsidRPr="00651F8F">
        <w:rPr>
          <w:rFonts w:ascii="Times New Roman" w:eastAsia="Batang" w:hAnsi="Times New Roman"/>
          <w:lang w:eastAsia="ko-KR"/>
        </w:rPr>
        <w:t xml:space="preserve">”, </w:t>
      </w:r>
      <w:r w:rsidR="00191A0B">
        <w:rPr>
          <w:rFonts w:ascii="Times New Roman" w:eastAsia="Batang" w:hAnsi="Times New Roman"/>
          <w:lang w:eastAsia="ko-KR"/>
        </w:rPr>
        <w:t>UNDP</w:t>
      </w:r>
      <w:r w:rsidR="00191A0B" w:rsidRPr="00651F8F">
        <w:rPr>
          <w:rFonts w:ascii="Times New Roman" w:eastAsia="Batang" w:hAnsi="Times New Roman"/>
          <w:lang w:eastAsia="ko-KR"/>
        </w:rPr>
        <w:t xml:space="preserve"> </w:t>
      </w:r>
      <w:r w:rsidR="00651F8F" w:rsidRPr="00651F8F">
        <w:rPr>
          <w:rFonts w:ascii="Times New Roman" w:eastAsia="Batang" w:hAnsi="Times New Roman"/>
          <w:lang w:eastAsia="ko-KR"/>
        </w:rPr>
        <w:t xml:space="preserve">management expects the IEO to </w:t>
      </w:r>
      <w:r w:rsidR="00FD67A8">
        <w:rPr>
          <w:rFonts w:ascii="Times New Roman" w:eastAsia="Batang" w:hAnsi="Times New Roman"/>
          <w:lang w:eastAsia="ko-KR"/>
        </w:rPr>
        <w:t xml:space="preserve">take </w:t>
      </w:r>
      <w:r w:rsidR="00651F8F" w:rsidRPr="00651F8F">
        <w:rPr>
          <w:rFonts w:ascii="Times New Roman" w:eastAsia="Batang" w:hAnsi="Times New Roman"/>
          <w:lang w:eastAsia="ko-KR"/>
        </w:rPr>
        <w:t xml:space="preserve">more concrete steps towards </w:t>
      </w:r>
      <w:r w:rsidR="00191A0B">
        <w:rPr>
          <w:rFonts w:ascii="Times New Roman" w:eastAsia="Batang" w:hAnsi="Times New Roman"/>
          <w:lang w:eastAsia="ko-KR"/>
        </w:rPr>
        <w:t xml:space="preserve">improving evaluation capacity development </w:t>
      </w:r>
      <w:r w:rsidR="00651F8F" w:rsidRPr="00651F8F">
        <w:rPr>
          <w:rFonts w:ascii="Times New Roman" w:eastAsia="Batang" w:hAnsi="Times New Roman"/>
          <w:lang w:eastAsia="ko-KR"/>
        </w:rPr>
        <w:t xml:space="preserve">on the ground, </w:t>
      </w:r>
      <w:r w:rsidR="00191A0B">
        <w:rPr>
          <w:rFonts w:ascii="Times New Roman" w:eastAsia="Batang" w:hAnsi="Times New Roman"/>
          <w:lang w:eastAsia="ko-KR"/>
        </w:rPr>
        <w:t>in addition to regularly</w:t>
      </w:r>
      <w:r w:rsidR="00191A0B" w:rsidRPr="00651F8F">
        <w:rPr>
          <w:rFonts w:ascii="Times New Roman" w:eastAsia="Batang" w:hAnsi="Times New Roman"/>
          <w:lang w:eastAsia="ko-KR"/>
        </w:rPr>
        <w:t xml:space="preserve"> </w:t>
      </w:r>
      <w:r>
        <w:rPr>
          <w:rFonts w:ascii="Times New Roman" w:eastAsia="Batang" w:hAnsi="Times New Roman"/>
          <w:lang w:eastAsia="ko-KR"/>
        </w:rPr>
        <w:t xml:space="preserve">convening </w:t>
      </w:r>
      <w:r w:rsidR="009C3F8B" w:rsidRPr="00651F8F">
        <w:rPr>
          <w:rFonts w:ascii="Times New Roman" w:eastAsia="Batang" w:hAnsi="Times New Roman"/>
          <w:lang w:eastAsia="ko-KR"/>
        </w:rPr>
        <w:t>biennial international conference</w:t>
      </w:r>
      <w:r w:rsidR="00651F8F">
        <w:rPr>
          <w:rFonts w:ascii="Times New Roman" w:eastAsia="Batang" w:hAnsi="Times New Roman"/>
          <w:lang w:eastAsia="ko-KR"/>
        </w:rPr>
        <w:t>s</w:t>
      </w:r>
      <w:r w:rsidR="009C3F8B" w:rsidRPr="00651F8F">
        <w:rPr>
          <w:rFonts w:ascii="Times New Roman" w:eastAsia="Batang" w:hAnsi="Times New Roman"/>
          <w:lang w:eastAsia="ko-KR"/>
        </w:rPr>
        <w:t xml:space="preserve"> on national evaluation capacities</w:t>
      </w:r>
      <w:r w:rsidR="00407608">
        <w:rPr>
          <w:rFonts w:ascii="Times New Roman" w:eastAsia="Batang" w:hAnsi="Times New Roman"/>
          <w:lang w:eastAsia="ko-KR"/>
        </w:rPr>
        <w:t>.</w:t>
      </w:r>
      <w:r w:rsidR="009C3F8B" w:rsidRPr="00651F8F">
        <w:rPr>
          <w:rFonts w:ascii="Times New Roman" w:eastAsia="Batang" w:hAnsi="Times New Roman"/>
          <w:lang w:eastAsia="ko-KR"/>
        </w:rPr>
        <w:t xml:space="preserve"> </w:t>
      </w:r>
    </w:p>
    <w:p w:rsidR="00377F15" w:rsidRPr="009C3F8B" w:rsidRDefault="00377F15" w:rsidP="00A64968">
      <w:pPr>
        <w:pStyle w:val="ColorfulShading-Accent31"/>
        <w:tabs>
          <w:tab w:val="left" w:pos="360"/>
        </w:tabs>
        <w:spacing w:after="0" w:line="240" w:lineRule="auto"/>
        <w:ind w:left="0"/>
        <w:jc w:val="both"/>
        <w:rPr>
          <w:rFonts w:ascii="Times New Roman" w:eastAsia="Batang" w:hAnsi="Times New Roman"/>
          <w:lang w:val="en-GB" w:eastAsia="ko-KR"/>
        </w:rPr>
      </w:pPr>
    </w:p>
    <w:p w:rsidR="006937B6" w:rsidRPr="00937462" w:rsidRDefault="009D2A41" w:rsidP="00B0304A">
      <w:pPr>
        <w:numPr>
          <w:ilvl w:val="0"/>
          <w:numId w:val="25"/>
        </w:numPr>
        <w:tabs>
          <w:tab w:val="left" w:pos="0"/>
        </w:tabs>
        <w:spacing w:line="240" w:lineRule="auto"/>
        <w:ind w:hanging="1530"/>
        <w:contextualSpacing/>
        <w:rPr>
          <w:rFonts w:ascii="Times New Roman" w:eastAsia="Batang" w:hAnsi="Times New Roman"/>
          <w:b/>
          <w:bCs/>
          <w:sz w:val="24"/>
          <w:szCs w:val="24"/>
          <w:lang w:eastAsia="ko-KR"/>
        </w:rPr>
      </w:pPr>
      <w:r>
        <w:rPr>
          <w:rFonts w:ascii="Times New Roman" w:eastAsia="Batang" w:hAnsi="Times New Roman"/>
          <w:b/>
          <w:bCs/>
          <w:sz w:val="24"/>
          <w:szCs w:val="24"/>
          <w:lang w:eastAsia="ko-KR"/>
        </w:rPr>
        <w:t xml:space="preserve">Decentralized evaluation </w:t>
      </w:r>
    </w:p>
    <w:p w:rsidR="003555CD" w:rsidRPr="00E0675A" w:rsidRDefault="003555CD" w:rsidP="00E0675A">
      <w:pPr>
        <w:pStyle w:val="ColorfulShading-Accent31"/>
        <w:numPr>
          <w:ilvl w:val="0"/>
          <w:numId w:val="9"/>
        </w:numPr>
        <w:tabs>
          <w:tab w:val="left" w:pos="360"/>
        </w:tabs>
        <w:spacing w:after="0" w:line="240" w:lineRule="auto"/>
        <w:ind w:left="0" w:firstLine="0"/>
        <w:jc w:val="both"/>
        <w:rPr>
          <w:rFonts w:ascii="Times New Roman" w:eastAsia="Batang" w:hAnsi="Times New Roman"/>
          <w:lang w:val="en-GB" w:eastAsia="ko-KR"/>
        </w:rPr>
      </w:pPr>
      <w:r w:rsidRPr="00E0675A">
        <w:rPr>
          <w:rFonts w:ascii="Times New Roman" w:eastAsia="Batang" w:hAnsi="Times New Roman"/>
          <w:lang w:val="en-GB" w:eastAsia="ko-KR"/>
        </w:rPr>
        <w:t xml:space="preserve">The independent review in 2014 of the UNDP evaluation policy, carried out as part of preparations for the planned revision of the policy, was an opportunity to revisit </w:t>
      </w:r>
      <w:r w:rsidR="006E59B5" w:rsidRPr="00E0675A">
        <w:rPr>
          <w:rFonts w:ascii="Times New Roman" w:eastAsia="Batang" w:hAnsi="Times New Roman"/>
          <w:lang w:val="en-GB" w:eastAsia="ko-KR"/>
        </w:rPr>
        <w:t xml:space="preserve">implementation of the policy by both UNDP units and the IEO.  The review report focused most of its attention on the efficacy of the decentralized evaluation function, and more specifically on ways of strengthening it through enhanced capacity at country level with more effective support from Headquarters.  UNDP’s Management response to the review, while </w:t>
      </w:r>
      <w:r w:rsidR="00A4598E">
        <w:rPr>
          <w:rFonts w:ascii="Times New Roman" w:eastAsia="Batang" w:hAnsi="Times New Roman"/>
          <w:lang w:val="en-GB" w:eastAsia="ko-KR"/>
        </w:rPr>
        <w:t xml:space="preserve">noting </w:t>
      </w:r>
      <w:r w:rsidR="006E59B5" w:rsidRPr="00E0675A">
        <w:rPr>
          <w:rFonts w:ascii="Times New Roman" w:eastAsia="Batang" w:hAnsi="Times New Roman"/>
          <w:lang w:val="en-GB" w:eastAsia="ko-KR"/>
        </w:rPr>
        <w:t xml:space="preserve">weaknesses in the review methodology, also reaffirmed the strong commitment of the </w:t>
      </w:r>
      <w:r w:rsidR="00362EAE" w:rsidRPr="00E0675A">
        <w:rPr>
          <w:rFonts w:ascii="Times New Roman" w:eastAsia="Batang" w:hAnsi="Times New Roman"/>
          <w:lang w:val="en-GB" w:eastAsia="ko-KR"/>
        </w:rPr>
        <w:t>Organization</w:t>
      </w:r>
      <w:r w:rsidR="006E59B5" w:rsidRPr="00E0675A">
        <w:rPr>
          <w:rFonts w:ascii="Times New Roman" w:eastAsia="Batang" w:hAnsi="Times New Roman"/>
          <w:lang w:val="en-GB" w:eastAsia="ko-KR"/>
        </w:rPr>
        <w:t xml:space="preserve"> to build the capacity and strengthen the systems needed for effective and efficient management of the decentralized evaluation function as </w:t>
      </w:r>
      <w:r w:rsidR="00362EAE" w:rsidRPr="00E0675A">
        <w:rPr>
          <w:rFonts w:ascii="Times New Roman" w:eastAsia="Batang" w:hAnsi="Times New Roman"/>
          <w:lang w:val="en-GB" w:eastAsia="ko-KR"/>
        </w:rPr>
        <w:t>outlined</w:t>
      </w:r>
      <w:r w:rsidR="006E59B5" w:rsidRPr="00E0675A">
        <w:rPr>
          <w:rFonts w:ascii="Times New Roman" w:eastAsia="Batang" w:hAnsi="Times New Roman"/>
          <w:lang w:val="en-GB" w:eastAsia="ko-KR"/>
        </w:rPr>
        <w:t xml:space="preserve"> in the evaluation policy.   </w:t>
      </w:r>
    </w:p>
    <w:p w:rsidR="00BD28B3" w:rsidRPr="00A4598E" w:rsidRDefault="00BD28B3" w:rsidP="00A64968">
      <w:pPr>
        <w:pStyle w:val="ColorfulShading-Accent31"/>
        <w:tabs>
          <w:tab w:val="left" w:pos="360"/>
        </w:tabs>
        <w:spacing w:after="0" w:line="240" w:lineRule="auto"/>
        <w:ind w:left="0"/>
        <w:jc w:val="both"/>
        <w:rPr>
          <w:rFonts w:ascii="Times New Roman" w:eastAsia="Batang" w:hAnsi="Times New Roman"/>
          <w:b/>
          <w:bCs/>
          <w:sz w:val="24"/>
          <w:szCs w:val="24"/>
          <w:lang w:val="en-GB" w:eastAsia="ko-KR"/>
        </w:rPr>
      </w:pPr>
    </w:p>
    <w:p w:rsidR="003555CD" w:rsidRPr="003555CD" w:rsidRDefault="006E59B5" w:rsidP="00A64968">
      <w:pPr>
        <w:pStyle w:val="ColorfulShading-Accent31"/>
        <w:tabs>
          <w:tab w:val="left" w:pos="360"/>
        </w:tabs>
        <w:spacing w:after="0" w:line="240" w:lineRule="auto"/>
        <w:ind w:left="0"/>
        <w:jc w:val="both"/>
        <w:rPr>
          <w:rFonts w:ascii="Times New Roman" w:eastAsia="Batang" w:hAnsi="Times New Roman"/>
          <w:lang w:val="en-GB" w:eastAsia="ko-KR"/>
        </w:rPr>
      </w:pPr>
      <w:r>
        <w:rPr>
          <w:rFonts w:ascii="Times New Roman" w:eastAsia="Batang" w:hAnsi="Times New Roman"/>
          <w:b/>
          <w:bCs/>
          <w:sz w:val="24"/>
          <w:szCs w:val="24"/>
          <w:lang w:eastAsia="ko-KR"/>
        </w:rPr>
        <w:t>Focus on the quality of d</w:t>
      </w:r>
      <w:r w:rsidR="003555CD" w:rsidRPr="00DC55A7">
        <w:rPr>
          <w:rFonts w:ascii="Times New Roman" w:eastAsia="Batang" w:hAnsi="Times New Roman"/>
          <w:b/>
          <w:bCs/>
          <w:sz w:val="24"/>
          <w:szCs w:val="24"/>
          <w:lang w:eastAsia="ko-KR"/>
        </w:rPr>
        <w:t>ecentralized evaluations</w:t>
      </w:r>
    </w:p>
    <w:p w:rsidR="003555CD" w:rsidRDefault="003555CD" w:rsidP="00A64968">
      <w:pPr>
        <w:pStyle w:val="ColorfulShading-Accent31"/>
        <w:tabs>
          <w:tab w:val="left" w:pos="360"/>
        </w:tabs>
        <w:spacing w:after="0" w:line="240" w:lineRule="auto"/>
        <w:ind w:left="0"/>
        <w:jc w:val="both"/>
        <w:rPr>
          <w:rFonts w:ascii="Times New Roman" w:eastAsia="Batang" w:hAnsi="Times New Roman"/>
          <w:b/>
          <w:lang w:val="en-GB" w:eastAsia="ko-KR"/>
        </w:rPr>
      </w:pPr>
    </w:p>
    <w:p w:rsidR="004746AC" w:rsidRPr="004746AC" w:rsidRDefault="00191A0B" w:rsidP="00A64968">
      <w:pPr>
        <w:pStyle w:val="ColorfulShading-Accent31"/>
        <w:tabs>
          <w:tab w:val="left" w:pos="360"/>
        </w:tabs>
        <w:spacing w:after="0" w:line="240" w:lineRule="auto"/>
        <w:ind w:left="0"/>
        <w:jc w:val="both"/>
        <w:rPr>
          <w:rFonts w:ascii="Times New Roman" w:eastAsia="Batang" w:hAnsi="Times New Roman"/>
          <w:b/>
          <w:lang w:val="en-GB" w:eastAsia="ko-KR"/>
        </w:rPr>
      </w:pPr>
      <w:r w:rsidRPr="006E59B5">
        <w:rPr>
          <w:rFonts w:ascii="Times New Roman" w:eastAsia="Batang" w:hAnsi="Times New Roman"/>
          <w:b/>
          <w:i/>
          <w:lang w:val="en-GB" w:eastAsia="ko-KR"/>
        </w:rPr>
        <w:t xml:space="preserve">Evaluation capacities of </w:t>
      </w:r>
      <w:r w:rsidR="004746AC" w:rsidRPr="006E59B5">
        <w:rPr>
          <w:rFonts w:ascii="Times New Roman" w:eastAsia="Batang" w:hAnsi="Times New Roman"/>
          <w:b/>
          <w:i/>
          <w:lang w:val="en-GB" w:eastAsia="ko-KR"/>
        </w:rPr>
        <w:t>Country office</w:t>
      </w:r>
      <w:r w:rsidRPr="006E59B5">
        <w:rPr>
          <w:rFonts w:ascii="Times New Roman" w:eastAsia="Batang" w:hAnsi="Times New Roman"/>
          <w:b/>
          <w:i/>
          <w:lang w:val="en-GB" w:eastAsia="ko-KR"/>
        </w:rPr>
        <w:t>s</w:t>
      </w:r>
      <w:r w:rsidR="004746AC" w:rsidRPr="006E59B5">
        <w:rPr>
          <w:rFonts w:ascii="Times New Roman" w:eastAsia="Batang" w:hAnsi="Times New Roman"/>
          <w:b/>
          <w:i/>
          <w:lang w:val="en-GB" w:eastAsia="ko-KR"/>
        </w:rPr>
        <w:t xml:space="preserve"> and </w:t>
      </w:r>
      <w:r w:rsidRPr="006E59B5">
        <w:rPr>
          <w:rFonts w:ascii="Times New Roman" w:eastAsia="Batang" w:hAnsi="Times New Roman"/>
          <w:b/>
          <w:i/>
          <w:lang w:val="en-GB" w:eastAsia="ko-KR"/>
        </w:rPr>
        <w:t>Headquarters Units</w:t>
      </w:r>
      <w:r>
        <w:rPr>
          <w:rFonts w:ascii="Times New Roman" w:eastAsia="Batang" w:hAnsi="Times New Roman"/>
          <w:b/>
          <w:lang w:val="en-GB" w:eastAsia="ko-KR"/>
        </w:rPr>
        <w:t xml:space="preserve"> </w:t>
      </w:r>
    </w:p>
    <w:p w:rsidR="004746AC" w:rsidRDefault="004746AC" w:rsidP="00A64968">
      <w:pPr>
        <w:pStyle w:val="ColorfulShading-Accent31"/>
        <w:tabs>
          <w:tab w:val="left" w:pos="360"/>
        </w:tabs>
        <w:spacing w:after="0" w:line="240" w:lineRule="auto"/>
        <w:ind w:left="540"/>
        <w:rPr>
          <w:rFonts w:ascii="Times New Roman" w:eastAsia="Batang" w:hAnsi="Times New Roman"/>
          <w:lang w:eastAsia="ko-KR"/>
        </w:rPr>
      </w:pPr>
    </w:p>
    <w:p w:rsidR="00065859" w:rsidRPr="005110AD" w:rsidRDefault="007F2CC9" w:rsidP="007F0D0C">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5110AD">
        <w:rPr>
          <w:rFonts w:ascii="Times New Roman" w:eastAsia="Batang" w:hAnsi="Times New Roman"/>
          <w:lang w:eastAsia="ko-KR"/>
        </w:rPr>
        <w:t>UNDP management notes that since 2012, there has been a consistent increase in both the number of country offices with at least one M&amp;E specialist and the number of M&amp;E specialists at the country office level</w:t>
      </w:r>
      <w:r w:rsidR="00B45637" w:rsidRPr="005110AD">
        <w:rPr>
          <w:rFonts w:ascii="Times New Roman" w:eastAsia="Batang" w:hAnsi="Times New Roman"/>
          <w:lang w:eastAsia="ko-KR"/>
        </w:rPr>
        <w:t xml:space="preserve">. </w:t>
      </w:r>
      <w:r w:rsidR="008E5149" w:rsidRPr="005110AD">
        <w:rPr>
          <w:rFonts w:ascii="Times New Roman" w:eastAsia="Batang" w:hAnsi="Times New Roman"/>
          <w:lang w:eastAsia="ko-KR"/>
        </w:rPr>
        <w:t xml:space="preserve">The 2014 </w:t>
      </w:r>
      <w:r w:rsidR="00AA5D8C" w:rsidRPr="005110AD">
        <w:rPr>
          <w:rFonts w:ascii="Times New Roman" w:eastAsia="Batang" w:hAnsi="Times New Roman"/>
          <w:lang w:eastAsia="ko-KR"/>
        </w:rPr>
        <w:t>A</w:t>
      </w:r>
      <w:r w:rsidR="008E5149" w:rsidRPr="005110AD">
        <w:rPr>
          <w:rFonts w:ascii="Times New Roman" w:eastAsia="Batang" w:hAnsi="Times New Roman"/>
          <w:lang w:eastAsia="ko-KR"/>
        </w:rPr>
        <w:t xml:space="preserve">nnual </w:t>
      </w:r>
      <w:r w:rsidR="00AA5D8C" w:rsidRPr="005110AD">
        <w:rPr>
          <w:rFonts w:ascii="Times New Roman" w:eastAsia="Batang" w:hAnsi="Times New Roman"/>
          <w:lang w:eastAsia="ko-KR"/>
        </w:rPr>
        <w:t>R</w:t>
      </w:r>
      <w:r w:rsidR="008E5149" w:rsidRPr="005110AD">
        <w:rPr>
          <w:rFonts w:ascii="Times New Roman" w:eastAsia="Batang" w:hAnsi="Times New Roman"/>
          <w:lang w:eastAsia="ko-KR"/>
        </w:rPr>
        <w:t xml:space="preserve">eport on </w:t>
      </w:r>
      <w:r w:rsidR="00AA5D8C" w:rsidRPr="005110AD">
        <w:rPr>
          <w:rFonts w:ascii="Times New Roman" w:eastAsia="Batang" w:hAnsi="Times New Roman"/>
          <w:lang w:eastAsia="ko-KR"/>
        </w:rPr>
        <w:t>E</w:t>
      </w:r>
      <w:r w:rsidR="008E5149" w:rsidRPr="005110AD">
        <w:rPr>
          <w:rFonts w:ascii="Times New Roman" w:eastAsia="Batang" w:hAnsi="Times New Roman"/>
          <w:lang w:eastAsia="ko-KR"/>
        </w:rPr>
        <w:t xml:space="preserve">valuation </w:t>
      </w:r>
      <w:r w:rsidR="00AA5D8C" w:rsidRPr="005110AD">
        <w:rPr>
          <w:rFonts w:ascii="Times New Roman" w:eastAsia="Batang" w:hAnsi="Times New Roman"/>
          <w:lang w:eastAsia="ko-KR"/>
        </w:rPr>
        <w:t xml:space="preserve">concluded </w:t>
      </w:r>
      <w:r w:rsidR="008E5149" w:rsidRPr="005110AD">
        <w:rPr>
          <w:rFonts w:ascii="Times New Roman" w:eastAsia="Batang" w:hAnsi="Times New Roman"/>
          <w:lang w:eastAsia="ko-KR"/>
        </w:rPr>
        <w:t xml:space="preserve">that in 2014, 60 per cent of country offices reported </w:t>
      </w:r>
      <w:r w:rsidR="006E59B5" w:rsidRPr="005110AD">
        <w:rPr>
          <w:rFonts w:ascii="Times New Roman" w:eastAsia="Batang" w:hAnsi="Times New Roman"/>
          <w:lang w:eastAsia="ko-KR"/>
        </w:rPr>
        <w:t xml:space="preserve">the </w:t>
      </w:r>
      <w:r w:rsidR="000E5B5E" w:rsidRPr="005110AD">
        <w:rPr>
          <w:rFonts w:ascii="Times New Roman" w:eastAsia="Batang" w:hAnsi="Times New Roman"/>
          <w:lang w:eastAsia="ko-KR"/>
        </w:rPr>
        <w:t>presence</w:t>
      </w:r>
      <w:r w:rsidR="006E59B5" w:rsidRPr="005110AD">
        <w:rPr>
          <w:rFonts w:ascii="Times New Roman" w:eastAsia="Batang" w:hAnsi="Times New Roman"/>
          <w:lang w:eastAsia="ko-KR"/>
        </w:rPr>
        <w:t xml:space="preserve"> of at least</w:t>
      </w:r>
      <w:r w:rsidR="008E5149" w:rsidRPr="005110AD">
        <w:rPr>
          <w:rFonts w:ascii="Times New Roman" w:eastAsia="Batang" w:hAnsi="Times New Roman"/>
          <w:lang w:eastAsia="ko-KR"/>
        </w:rPr>
        <w:t xml:space="preserve"> one M&amp;E specialist, compared to 42 per cent</w:t>
      </w:r>
      <w:r w:rsidR="006E59B5" w:rsidRPr="005110AD">
        <w:rPr>
          <w:rFonts w:ascii="Times New Roman" w:eastAsia="Batang" w:hAnsi="Times New Roman"/>
          <w:lang w:eastAsia="ko-KR"/>
        </w:rPr>
        <w:t xml:space="preserve"> of countries</w:t>
      </w:r>
      <w:r w:rsidR="008E5149" w:rsidRPr="005110AD">
        <w:rPr>
          <w:rFonts w:ascii="Times New Roman" w:eastAsia="Batang" w:hAnsi="Times New Roman"/>
          <w:lang w:eastAsia="ko-KR"/>
        </w:rPr>
        <w:t xml:space="preserve"> in 2013</w:t>
      </w:r>
      <w:r w:rsidR="006E59B5" w:rsidRPr="005110AD">
        <w:rPr>
          <w:rFonts w:ascii="Times New Roman" w:eastAsia="Batang" w:hAnsi="Times New Roman"/>
          <w:lang w:eastAsia="ko-KR"/>
        </w:rPr>
        <w:t>,</w:t>
      </w:r>
      <w:r w:rsidR="008E5149" w:rsidRPr="005110AD">
        <w:rPr>
          <w:rFonts w:ascii="Times New Roman" w:eastAsia="Batang" w:hAnsi="Times New Roman"/>
          <w:lang w:eastAsia="ko-KR"/>
        </w:rPr>
        <w:t xml:space="preserve"> and to 23 per cent in 2012. </w:t>
      </w:r>
      <w:r w:rsidR="00775BEE" w:rsidRPr="005110AD">
        <w:rPr>
          <w:rFonts w:ascii="Times New Roman" w:eastAsia="Batang" w:hAnsi="Times New Roman"/>
          <w:lang w:eastAsia="ko-KR"/>
        </w:rPr>
        <w:t xml:space="preserve">Based on the </w:t>
      </w:r>
      <w:r w:rsidR="003930D5" w:rsidRPr="005110AD">
        <w:rPr>
          <w:rFonts w:ascii="Times New Roman" w:eastAsia="Batang" w:hAnsi="Times New Roman"/>
          <w:lang w:eastAsia="ko-KR"/>
        </w:rPr>
        <w:t xml:space="preserve">data from the </w:t>
      </w:r>
      <w:r w:rsidR="00775BEE" w:rsidRPr="005110AD">
        <w:rPr>
          <w:rFonts w:ascii="Times New Roman" w:eastAsia="Batang" w:hAnsi="Times New Roman"/>
          <w:lang w:eastAsia="ko-KR"/>
        </w:rPr>
        <w:t>Results-Oriented Annual Report, th</w:t>
      </w:r>
      <w:r w:rsidRPr="005110AD">
        <w:rPr>
          <w:rFonts w:ascii="Times New Roman" w:eastAsia="Batang" w:hAnsi="Times New Roman"/>
          <w:lang w:eastAsia="ko-KR"/>
        </w:rPr>
        <w:t>e</w:t>
      </w:r>
      <w:r w:rsidR="00775BEE" w:rsidRPr="005110AD">
        <w:rPr>
          <w:rFonts w:ascii="Times New Roman" w:eastAsia="Batang" w:hAnsi="Times New Roman"/>
          <w:lang w:eastAsia="ko-KR"/>
        </w:rPr>
        <w:t>re</w:t>
      </w:r>
      <w:r w:rsidRPr="005110AD">
        <w:rPr>
          <w:rFonts w:ascii="Times New Roman" w:eastAsia="Batang" w:hAnsi="Times New Roman"/>
          <w:lang w:eastAsia="ko-KR"/>
        </w:rPr>
        <w:t xml:space="preserve"> </w:t>
      </w:r>
      <w:r w:rsidR="00775BEE" w:rsidRPr="005110AD">
        <w:rPr>
          <w:rFonts w:ascii="Times New Roman" w:eastAsia="Batang" w:hAnsi="Times New Roman"/>
          <w:lang w:eastAsia="ko-KR"/>
        </w:rPr>
        <w:t xml:space="preserve">are 382 </w:t>
      </w:r>
      <w:r w:rsidRPr="005110AD">
        <w:rPr>
          <w:rFonts w:ascii="Times New Roman" w:eastAsia="Batang" w:hAnsi="Times New Roman"/>
          <w:lang w:eastAsia="ko-KR"/>
        </w:rPr>
        <w:t xml:space="preserve">staff with M&amp;E responsibilities at the country office level. </w:t>
      </w:r>
      <w:r w:rsidR="00B45637" w:rsidRPr="005110AD">
        <w:rPr>
          <w:rFonts w:ascii="Times New Roman" w:eastAsia="Batang" w:hAnsi="Times New Roman"/>
          <w:lang w:eastAsia="ko-KR"/>
        </w:rPr>
        <w:t xml:space="preserve">Starting from 2014, </w:t>
      </w:r>
      <w:r w:rsidR="006E59B5" w:rsidRPr="005110AD">
        <w:rPr>
          <w:rFonts w:ascii="Times New Roman" w:eastAsia="Batang" w:hAnsi="Times New Roman"/>
          <w:lang w:eastAsia="ko-KR"/>
        </w:rPr>
        <w:t xml:space="preserve">decentralized evaluation </w:t>
      </w:r>
      <w:r w:rsidR="00B45637" w:rsidRPr="005110AD">
        <w:rPr>
          <w:rFonts w:ascii="Times New Roman" w:eastAsia="Batang" w:hAnsi="Times New Roman"/>
          <w:lang w:eastAsia="ko-KR"/>
        </w:rPr>
        <w:t xml:space="preserve">capacities at country level are being </w:t>
      </w:r>
      <w:r w:rsidR="008E5149" w:rsidRPr="005110AD">
        <w:rPr>
          <w:rFonts w:ascii="Times New Roman" w:eastAsia="Batang" w:hAnsi="Times New Roman"/>
          <w:lang w:eastAsia="ko-KR"/>
        </w:rPr>
        <w:t xml:space="preserve">further </w:t>
      </w:r>
      <w:r w:rsidR="0007009F" w:rsidRPr="005110AD">
        <w:rPr>
          <w:rFonts w:ascii="Times New Roman" w:eastAsia="Batang" w:hAnsi="Times New Roman"/>
          <w:lang w:eastAsia="ko-KR"/>
        </w:rPr>
        <w:t>enhanced</w:t>
      </w:r>
      <w:r w:rsidR="008E5149" w:rsidRPr="005110AD">
        <w:rPr>
          <w:rFonts w:ascii="Times New Roman" w:eastAsia="Batang" w:hAnsi="Times New Roman"/>
          <w:lang w:eastAsia="ko-KR"/>
        </w:rPr>
        <w:t xml:space="preserve"> </w:t>
      </w:r>
      <w:r w:rsidR="00B45637" w:rsidRPr="005110AD">
        <w:rPr>
          <w:rFonts w:ascii="Times New Roman" w:eastAsia="Batang" w:hAnsi="Times New Roman"/>
          <w:lang w:eastAsia="ko-KR"/>
        </w:rPr>
        <w:t xml:space="preserve">by dedicated results-based management advisors placed in UNDP regional service centers. </w:t>
      </w:r>
      <w:r w:rsidR="005110AD" w:rsidRPr="005110AD">
        <w:rPr>
          <w:rFonts w:ascii="Times New Roman" w:eastAsia="Batang" w:hAnsi="Times New Roman"/>
          <w:lang w:eastAsia="ko-KR"/>
        </w:rPr>
        <w:t>Based on 2014 data, in 42 Country Offices staff were recruited to provide monitoring expertise. M&amp;E training to staff project personnel and national counterparts was provided in 99 Country Offices.</w:t>
      </w:r>
      <w:r w:rsidR="005110AD">
        <w:rPr>
          <w:rFonts w:ascii="Times New Roman" w:eastAsia="Batang" w:hAnsi="Times New Roman"/>
          <w:lang w:eastAsia="ko-KR"/>
        </w:rPr>
        <w:t xml:space="preserve"> </w:t>
      </w:r>
      <w:r w:rsidR="00B45637" w:rsidRPr="005110AD">
        <w:rPr>
          <w:rFonts w:ascii="Times New Roman" w:eastAsia="Batang" w:hAnsi="Times New Roman"/>
          <w:lang w:eastAsia="ko-KR"/>
        </w:rPr>
        <w:t>UNDP reaffirms its commitment to further strengthen the country</w:t>
      </w:r>
      <w:r w:rsidR="006E59B5" w:rsidRPr="005110AD">
        <w:rPr>
          <w:rFonts w:ascii="Times New Roman" w:eastAsia="Batang" w:hAnsi="Times New Roman"/>
          <w:lang w:eastAsia="ko-KR"/>
        </w:rPr>
        <w:t xml:space="preserve"> office</w:t>
      </w:r>
      <w:r w:rsidR="00B45637" w:rsidRPr="005110AD">
        <w:rPr>
          <w:rFonts w:ascii="Times New Roman" w:eastAsia="Batang" w:hAnsi="Times New Roman"/>
          <w:lang w:eastAsia="ko-KR"/>
        </w:rPr>
        <w:t xml:space="preserve"> and </w:t>
      </w:r>
      <w:r w:rsidR="006E59B5" w:rsidRPr="005110AD">
        <w:rPr>
          <w:rFonts w:ascii="Times New Roman" w:eastAsia="Batang" w:hAnsi="Times New Roman"/>
          <w:lang w:eastAsia="ko-KR"/>
        </w:rPr>
        <w:t>Headquarters B</w:t>
      </w:r>
      <w:r w:rsidR="00B45637" w:rsidRPr="005110AD">
        <w:rPr>
          <w:rFonts w:ascii="Times New Roman" w:eastAsia="Batang" w:hAnsi="Times New Roman"/>
          <w:lang w:eastAsia="ko-KR"/>
        </w:rPr>
        <w:t>ureau evaluation capacities</w:t>
      </w:r>
      <w:r w:rsidR="00065859" w:rsidRPr="005110AD">
        <w:rPr>
          <w:rFonts w:ascii="Times New Roman" w:eastAsia="Batang" w:hAnsi="Times New Roman"/>
          <w:lang w:eastAsia="ko-KR"/>
        </w:rPr>
        <w:t xml:space="preserve"> </w:t>
      </w:r>
      <w:r w:rsidR="00AA5D8C" w:rsidRPr="005110AD">
        <w:rPr>
          <w:rFonts w:ascii="Times New Roman" w:eastAsia="Batang" w:hAnsi="Times New Roman"/>
          <w:lang w:eastAsia="ko-KR"/>
        </w:rPr>
        <w:t>through training</w:t>
      </w:r>
      <w:r w:rsidR="00E607F8" w:rsidRPr="005110AD">
        <w:rPr>
          <w:rFonts w:ascii="Times New Roman" w:eastAsia="Batang" w:hAnsi="Times New Roman"/>
          <w:lang w:eastAsia="ko-KR"/>
        </w:rPr>
        <w:t>, certification and additional human resources</w:t>
      </w:r>
      <w:r w:rsidR="00A4598E" w:rsidRPr="005110AD">
        <w:rPr>
          <w:rFonts w:ascii="Times New Roman" w:eastAsia="Batang" w:hAnsi="Times New Roman"/>
          <w:lang w:eastAsia="ko-KR"/>
        </w:rPr>
        <w:t>, financial availability allowing the latter</w:t>
      </w:r>
      <w:r w:rsidR="00E607F8" w:rsidRPr="005110AD">
        <w:rPr>
          <w:rFonts w:ascii="Times New Roman" w:eastAsia="Batang" w:hAnsi="Times New Roman"/>
          <w:lang w:eastAsia="ko-KR"/>
        </w:rPr>
        <w:t>.</w:t>
      </w:r>
    </w:p>
    <w:tbl>
      <w:tblPr>
        <w:tblpPr w:leftFromText="180" w:rightFromText="180" w:vertAnchor="text" w:horzAnchor="margin" w:tblpY="179"/>
        <w:tblW w:w="5000" w:type="pct"/>
        <w:tblLook w:val="04A0" w:firstRow="1" w:lastRow="0" w:firstColumn="1" w:lastColumn="0" w:noHBand="0" w:noVBand="1"/>
      </w:tblPr>
      <w:tblGrid>
        <w:gridCol w:w="1411"/>
        <w:gridCol w:w="1261"/>
        <w:gridCol w:w="1116"/>
        <w:gridCol w:w="1160"/>
        <w:gridCol w:w="966"/>
        <w:gridCol w:w="1160"/>
        <w:gridCol w:w="1116"/>
        <w:gridCol w:w="1160"/>
      </w:tblGrid>
      <w:tr w:rsidR="00937462" w:rsidRPr="00A64968" w:rsidTr="00AC1365">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000000" w:fill="333F4F"/>
            <w:noWrap/>
            <w:vAlign w:val="bottom"/>
            <w:hideMark/>
          </w:tcPr>
          <w:p w:rsidR="00937462" w:rsidRPr="00A64968" w:rsidRDefault="00937462" w:rsidP="00937462">
            <w:pPr>
              <w:spacing w:after="0" w:line="240" w:lineRule="auto"/>
              <w:jc w:val="center"/>
              <w:rPr>
                <w:rFonts w:ascii="Times New Roman" w:eastAsia="Times New Roman" w:hAnsi="Times New Roman"/>
                <w:b/>
                <w:bCs/>
                <w:color w:val="FFFFFF"/>
                <w:sz w:val="20"/>
                <w:szCs w:val="20"/>
              </w:rPr>
            </w:pPr>
            <w:r w:rsidRPr="00A64968">
              <w:rPr>
                <w:rFonts w:ascii="Times New Roman" w:eastAsia="Times New Roman" w:hAnsi="Times New Roman"/>
                <w:b/>
                <w:bCs/>
                <w:color w:val="FFFFFF"/>
                <w:sz w:val="20"/>
                <w:szCs w:val="20"/>
              </w:rPr>
              <w:t>DECENTRALIZED EVALUATIONS: 2014</w:t>
            </w:r>
          </w:p>
        </w:tc>
      </w:tr>
      <w:tr w:rsidR="00937462" w:rsidRPr="00A64968" w:rsidTr="00A64968">
        <w:trPr>
          <w:trHeight w:val="360"/>
        </w:trPr>
        <w:tc>
          <w:tcPr>
            <w:tcW w:w="441" w:type="pct"/>
            <w:vMerge w:val="restart"/>
            <w:tcBorders>
              <w:top w:val="nil"/>
              <w:left w:val="single" w:sz="4" w:space="0" w:color="auto"/>
              <w:bottom w:val="single" w:sz="4" w:space="0" w:color="000000"/>
              <w:right w:val="single" w:sz="4" w:space="0" w:color="auto"/>
            </w:tcBorders>
            <w:shd w:val="clear" w:color="000000" w:fill="D9D9D9"/>
            <w:noWrap/>
            <w:vAlign w:val="bottom"/>
            <w:hideMark/>
          </w:tcPr>
          <w:p w:rsidR="00937462" w:rsidRPr="00A64968" w:rsidRDefault="00937462" w:rsidP="00937462">
            <w:pPr>
              <w:spacing w:after="0" w:line="240" w:lineRule="auto"/>
              <w:rPr>
                <w:rFonts w:ascii="Times New Roman" w:eastAsia="Times New Roman" w:hAnsi="Times New Roman"/>
                <w:color w:val="000000"/>
                <w:sz w:val="20"/>
                <w:szCs w:val="20"/>
              </w:rPr>
            </w:pPr>
          </w:p>
        </w:tc>
        <w:tc>
          <w:tcPr>
            <w:tcW w:w="750" w:type="pct"/>
            <w:vMerge w:val="restart"/>
            <w:tcBorders>
              <w:top w:val="single" w:sz="4" w:space="0" w:color="auto"/>
              <w:left w:val="single" w:sz="4" w:space="0" w:color="auto"/>
              <w:bottom w:val="single" w:sz="4" w:space="0" w:color="000000"/>
              <w:right w:val="single" w:sz="4" w:space="0" w:color="000000"/>
            </w:tcBorders>
            <w:shd w:val="clear" w:color="000000" w:fill="D9D9D9"/>
            <w:vAlign w:val="bottom"/>
            <w:hideMark/>
          </w:tcPr>
          <w:p w:rsidR="00937462" w:rsidRPr="00A64968" w:rsidRDefault="00937462" w:rsidP="00A64968">
            <w:pPr>
              <w:spacing w:after="0" w:line="240" w:lineRule="auto"/>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Total Count</w:t>
            </w:r>
          </w:p>
        </w:tc>
        <w:tc>
          <w:tcPr>
            <w:tcW w:w="1257" w:type="pct"/>
            <w:gridSpan w:val="2"/>
            <w:tcBorders>
              <w:top w:val="single" w:sz="4" w:space="0" w:color="auto"/>
              <w:left w:val="nil"/>
              <w:bottom w:val="single" w:sz="4" w:space="0" w:color="auto"/>
              <w:right w:val="single" w:sz="4" w:space="0" w:color="000000"/>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Project evaluations</w:t>
            </w:r>
          </w:p>
        </w:tc>
        <w:tc>
          <w:tcPr>
            <w:tcW w:w="1299" w:type="pct"/>
            <w:gridSpan w:val="2"/>
            <w:tcBorders>
              <w:top w:val="single" w:sz="4" w:space="0" w:color="auto"/>
              <w:left w:val="nil"/>
              <w:bottom w:val="single" w:sz="4" w:space="0" w:color="auto"/>
              <w:right w:val="single" w:sz="4" w:space="0" w:color="000000"/>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Outcome Evaluations</w:t>
            </w:r>
          </w:p>
        </w:tc>
        <w:tc>
          <w:tcPr>
            <w:tcW w:w="1253" w:type="pct"/>
            <w:gridSpan w:val="2"/>
            <w:tcBorders>
              <w:top w:val="single" w:sz="4" w:space="0" w:color="auto"/>
              <w:left w:val="nil"/>
              <w:bottom w:val="single" w:sz="4" w:space="0" w:color="auto"/>
              <w:right w:val="single" w:sz="4" w:space="0" w:color="auto"/>
            </w:tcBorders>
            <w:shd w:val="clear" w:color="000000" w:fill="D9D9D9"/>
            <w:vAlign w:val="bottom"/>
            <w:hideMark/>
          </w:tcPr>
          <w:p w:rsidR="00937462" w:rsidRPr="00A64968" w:rsidRDefault="00937462" w:rsidP="00A64968">
            <w:pPr>
              <w:spacing w:after="0" w:line="240" w:lineRule="auto"/>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GEF Evaluations </w:t>
            </w:r>
          </w:p>
        </w:tc>
      </w:tr>
      <w:tr w:rsidR="00937462" w:rsidRPr="00A64968" w:rsidTr="00AC1365">
        <w:trPr>
          <w:trHeight w:val="566"/>
        </w:trPr>
        <w:tc>
          <w:tcPr>
            <w:tcW w:w="441" w:type="pct"/>
            <w:vMerge/>
            <w:tcBorders>
              <w:top w:val="nil"/>
              <w:left w:val="single" w:sz="4" w:space="0" w:color="auto"/>
              <w:bottom w:val="single" w:sz="4" w:space="0" w:color="000000"/>
              <w:right w:val="single" w:sz="4" w:space="0" w:color="auto"/>
            </w:tcBorders>
            <w:vAlign w:val="center"/>
            <w:hideMark/>
          </w:tcPr>
          <w:p w:rsidR="00937462" w:rsidRPr="00A64968" w:rsidRDefault="00937462" w:rsidP="00937462">
            <w:pPr>
              <w:spacing w:after="0" w:line="240" w:lineRule="auto"/>
              <w:rPr>
                <w:rFonts w:ascii="Times New Roman" w:eastAsia="Times New Roman" w:hAnsi="Times New Roman"/>
                <w:color w:val="000000"/>
                <w:sz w:val="20"/>
                <w:szCs w:val="20"/>
              </w:rPr>
            </w:pPr>
          </w:p>
        </w:tc>
        <w:tc>
          <w:tcPr>
            <w:tcW w:w="750" w:type="pct"/>
            <w:vMerge/>
            <w:tcBorders>
              <w:top w:val="single" w:sz="4" w:space="0" w:color="auto"/>
              <w:left w:val="single" w:sz="4" w:space="0" w:color="auto"/>
              <w:bottom w:val="single" w:sz="4" w:space="0" w:color="000000"/>
              <w:right w:val="single" w:sz="4" w:space="0" w:color="000000"/>
            </w:tcBorders>
            <w:vAlign w:val="center"/>
            <w:hideMark/>
          </w:tcPr>
          <w:p w:rsidR="00937462" w:rsidRPr="00A64968" w:rsidRDefault="00937462" w:rsidP="00937462">
            <w:pPr>
              <w:spacing w:after="0" w:line="240" w:lineRule="auto"/>
              <w:rPr>
                <w:rFonts w:ascii="Times New Roman" w:eastAsia="Times New Roman" w:hAnsi="Times New Roman"/>
                <w:b/>
                <w:bCs/>
                <w:color w:val="000000"/>
                <w:sz w:val="20"/>
                <w:szCs w:val="20"/>
              </w:rPr>
            </w:pPr>
          </w:p>
        </w:tc>
        <w:tc>
          <w:tcPr>
            <w:tcW w:w="620"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Number </w:t>
            </w:r>
          </w:p>
        </w:tc>
        <w:tc>
          <w:tcPr>
            <w:tcW w:w="637"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Percentage of Total </w:t>
            </w:r>
          </w:p>
        </w:tc>
        <w:tc>
          <w:tcPr>
            <w:tcW w:w="535"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Number </w:t>
            </w:r>
          </w:p>
        </w:tc>
        <w:tc>
          <w:tcPr>
            <w:tcW w:w="764"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Percentage of Total</w:t>
            </w:r>
          </w:p>
        </w:tc>
        <w:tc>
          <w:tcPr>
            <w:tcW w:w="620"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Number </w:t>
            </w:r>
          </w:p>
        </w:tc>
        <w:tc>
          <w:tcPr>
            <w:tcW w:w="634" w:type="pct"/>
            <w:tcBorders>
              <w:top w:val="nil"/>
              <w:left w:val="nil"/>
              <w:bottom w:val="single" w:sz="4" w:space="0" w:color="auto"/>
              <w:right w:val="single" w:sz="4" w:space="0" w:color="auto"/>
            </w:tcBorders>
            <w:shd w:val="clear" w:color="000000" w:fill="D9D9D9"/>
            <w:vAlign w:val="bottom"/>
            <w:hideMark/>
          </w:tcPr>
          <w:p w:rsidR="00937462" w:rsidRPr="00A64968" w:rsidRDefault="00937462" w:rsidP="00937462">
            <w:pPr>
              <w:spacing w:after="0" w:line="240" w:lineRule="auto"/>
              <w:jc w:val="center"/>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 xml:space="preserve">Percentage of Total </w:t>
            </w:r>
          </w:p>
        </w:tc>
      </w:tr>
      <w:tr w:rsidR="00937462" w:rsidRPr="00A64968" w:rsidTr="00AC1365">
        <w:trPr>
          <w:trHeight w:val="23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Total Count</w:t>
            </w:r>
          </w:p>
        </w:tc>
        <w:tc>
          <w:tcPr>
            <w:tcW w:w="750" w:type="pct"/>
            <w:tcBorders>
              <w:top w:val="single" w:sz="4" w:space="0" w:color="auto"/>
              <w:left w:val="nil"/>
              <w:bottom w:val="single" w:sz="4" w:space="0" w:color="auto"/>
              <w:right w:val="nil"/>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228</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207</w:t>
            </w:r>
          </w:p>
        </w:tc>
        <w:tc>
          <w:tcPr>
            <w:tcW w:w="637"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90.8%</w:t>
            </w:r>
          </w:p>
        </w:tc>
        <w:tc>
          <w:tcPr>
            <w:tcW w:w="535"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21</w:t>
            </w:r>
          </w:p>
        </w:tc>
        <w:tc>
          <w:tcPr>
            <w:tcW w:w="764"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9.2%</w:t>
            </w:r>
          </w:p>
        </w:tc>
        <w:tc>
          <w:tcPr>
            <w:tcW w:w="620"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103</w:t>
            </w:r>
          </w:p>
        </w:tc>
        <w:tc>
          <w:tcPr>
            <w:tcW w:w="634"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45.2%</w:t>
            </w:r>
          </w:p>
        </w:tc>
      </w:tr>
      <w:tr w:rsidR="00937462" w:rsidRPr="00A64968" w:rsidTr="00AC1365">
        <w:trPr>
          <w:trHeight w:val="23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rPr>
                <w:rFonts w:ascii="Times New Roman" w:eastAsia="Times New Roman" w:hAnsi="Times New Roman"/>
                <w:b/>
                <w:bCs/>
                <w:color w:val="000000"/>
                <w:sz w:val="20"/>
                <w:szCs w:val="20"/>
              </w:rPr>
            </w:pPr>
            <w:r w:rsidRPr="00A64968">
              <w:rPr>
                <w:rFonts w:ascii="Times New Roman" w:eastAsia="Times New Roman" w:hAnsi="Times New Roman"/>
                <w:b/>
                <w:bCs/>
                <w:color w:val="000000"/>
                <w:sz w:val="20"/>
                <w:szCs w:val="20"/>
              </w:rPr>
              <w:t>Budget (USD)</w:t>
            </w:r>
          </w:p>
        </w:tc>
        <w:tc>
          <w:tcPr>
            <w:tcW w:w="750" w:type="pct"/>
            <w:tcBorders>
              <w:top w:val="single" w:sz="4" w:space="0" w:color="auto"/>
              <w:left w:val="nil"/>
              <w:bottom w:val="single" w:sz="4" w:space="0" w:color="auto"/>
              <w:right w:val="nil"/>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$5,904,756</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 xml:space="preserve">$5,171,305 </w:t>
            </w:r>
          </w:p>
        </w:tc>
        <w:tc>
          <w:tcPr>
            <w:tcW w:w="637"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87.6%</w:t>
            </w:r>
          </w:p>
        </w:tc>
        <w:tc>
          <w:tcPr>
            <w:tcW w:w="535"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 xml:space="preserve">$733,451 </w:t>
            </w:r>
          </w:p>
        </w:tc>
        <w:tc>
          <w:tcPr>
            <w:tcW w:w="764"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12.4%</w:t>
            </w:r>
          </w:p>
        </w:tc>
        <w:tc>
          <w:tcPr>
            <w:tcW w:w="620"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 xml:space="preserve">$2,362,242 </w:t>
            </w:r>
          </w:p>
        </w:tc>
        <w:tc>
          <w:tcPr>
            <w:tcW w:w="634" w:type="pct"/>
            <w:tcBorders>
              <w:top w:val="nil"/>
              <w:left w:val="nil"/>
              <w:bottom w:val="single" w:sz="4" w:space="0" w:color="auto"/>
              <w:right w:val="single" w:sz="4" w:space="0" w:color="auto"/>
            </w:tcBorders>
            <w:shd w:val="clear" w:color="auto" w:fill="auto"/>
            <w:noWrap/>
            <w:vAlign w:val="bottom"/>
            <w:hideMark/>
          </w:tcPr>
          <w:p w:rsidR="00937462" w:rsidRPr="00A64968" w:rsidRDefault="00937462" w:rsidP="00937462">
            <w:pPr>
              <w:spacing w:after="0" w:line="240" w:lineRule="auto"/>
              <w:jc w:val="center"/>
              <w:rPr>
                <w:rFonts w:ascii="Times New Roman" w:eastAsia="Times New Roman" w:hAnsi="Times New Roman"/>
                <w:color w:val="000000"/>
                <w:sz w:val="20"/>
                <w:szCs w:val="20"/>
              </w:rPr>
            </w:pPr>
            <w:r w:rsidRPr="00A64968">
              <w:rPr>
                <w:rFonts w:ascii="Times New Roman" w:eastAsia="Times New Roman" w:hAnsi="Times New Roman"/>
                <w:color w:val="000000"/>
                <w:sz w:val="20"/>
                <w:szCs w:val="20"/>
              </w:rPr>
              <w:t>40.0%</w:t>
            </w:r>
          </w:p>
        </w:tc>
      </w:tr>
    </w:tbl>
    <w:p w:rsidR="00C46CC3" w:rsidRDefault="00C46CC3" w:rsidP="005B3586">
      <w:pPr>
        <w:tabs>
          <w:tab w:val="left" w:pos="360"/>
        </w:tabs>
        <w:spacing w:after="0" w:line="240" w:lineRule="auto"/>
        <w:contextualSpacing/>
        <w:jc w:val="both"/>
        <w:rPr>
          <w:rFonts w:ascii="Times New Roman" w:eastAsia="Batang" w:hAnsi="Times New Roman"/>
          <w:b/>
          <w:lang w:eastAsia="ko-KR"/>
        </w:rPr>
      </w:pPr>
    </w:p>
    <w:p w:rsidR="005B3586" w:rsidRPr="006859C7" w:rsidRDefault="00802870" w:rsidP="005B3586">
      <w:pPr>
        <w:tabs>
          <w:tab w:val="left" w:pos="360"/>
        </w:tabs>
        <w:spacing w:after="0" w:line="240" w:lineRule="auto"/>
        <w:contextualSpacing/>
        <w:jc w:val="both"/>
        <w:rPr>
          <w:rFonts w:ascii="Times New Roman" w:eastAsia="Batang" w:hAnsi="Times New Roman"/>
          <w:b/>
          <w:lang w:eastAsia="ko-KR"/>
        </w:rPr>
      </w:pPr>
      <w:r>
        <w:rPr>
          <w:rFonts w:ascii="Times New Roman" w:eastAsia="Batang" w:hAnsi="Times New Roman"/>
          <w:b/>
          <w:lang w:eastAsia="ko-KR"/>
        </w:rPr>
        <w:lastRenderedPageBreak/>
        <w:t xml:space="preserve">IEO Assessment of the </w:t>
      </w:r>
      <w:r w:rsidR="005B3586" w:rsidRPr="006859C7">
        <w:rPr>
          <w:rFonts w:ascii="Times New Roman" w:eastAsia="Batang" w:hAnsi="Times New Roman"/>
          <w:b/>
          <w:lang w:eastAsia="ko-KR"/>
        </w:rPr>
        <w:t>Quality of decentralized evaluations</w:t>
      </w:r>
    </w:p>
    <w:p w:rsidR="005B3586" w:rsidRDefault="001C5E11" w:rsidP="005B3586">
      <w:pPr>
        <w:tabs>
          <w:tab w:val="left" w:pos="360"/>
        </w:tabs>
        <w:spacing w:after="0" w:line="240" w:lineRule="auto"/>
        <w:contextualSpacing/>
        <w:jc w:val="both"/>
        <w:rPr>
          <w:rFonts w:ascii="Times New Roman" w:eastAsia="Batang" w:hAnsi="Times New Roman"/>
          <w:lang w:eastAsia="ko-KR"/>
        </w:rPr>
      </w:pPr>
      <w:r>
        <w:rPr>
          <w:rFonts w:ascii="Times New Roman" w:eastAsia="Batang" w:hAnsi="Times New Roman"/>
          <w:lang w:eastAsia="ko-KR"/>
        </w:rPr>
        <w:t xml:space="preserve"> </w:t>
      </w:r>
    </w:p>
    <w:p w:rsidR="005B3586" w:rsidRPr="005F2A1C" w:rsidRDefault="005B3586" w:rsidP="005B3586">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5F2A1C">
        <w:rPr>
          <w:rFonts w:ascii="Times New Roman" w:eastAsia="Batang" w:hAnsi="Times New Roman"/>
          <w:lang w:eastAsia="ko-KR"/>
        </w:rPr>
        <w:t xml:space="preserve">UNDP management </w:t>
      </w:r>
      <w:r w:rsidR="009F1644">
        <w:rPr>
          <w:rFonts w:ascii="Times New Roman" w:eastAsia="Batang" w:hAnsi="Times New Roman"/>
          <w:lang w:eastAsia="ko-KR"/>
        </w:rPr>
        <w:t xml:space="preserve">notes </w:t>
      </w:r>
      <w:r w:rsidRPr="005F2A1C">
        <w:rPr>
          <w:rFonts w:ascii="Times New Roman" w:eastAsia="Batang" w:hAnsi="Times New Roman"/>
          <w:lang w:eastAsia="ko-KR"/>
        </w:rPr>
        <w:t>that</w:t>
      </w:r>
      <w:r w:rsidR="00802870">
        <w:rPr>
          <w:rFonts w:ascii="Times New Roman" w:eastAsia="Batang" w:hAnsi="Times New Roman"/>
          <w:lang w:eastAsia="ko-KR"/>
        </w:rPr>
        <w:t xml:space="preserve"> </w:t>
      </w:r>
      <w:r w:rsidR="00E607F8">
        <w:rPr>
          <w:rFonts w:ascii="Times New Roman" w:eastAsia="Batang" w:hAnsi="Times New Roman"/>
          <w:lang w:eastAsia="ko-KR"/>
        </w:rPr>
        <w:t>the</w:t>
      </w:r>
      <w:r w:rsidR="00802870">
        <w:rPr>
          <w:rFonts w:ascii="Times New Roman" w:eastAsia="Batang" w:hAnsi="Times New Roman"/>
          <w:lang w:eastAsia="ko-KR"/>
        </w:rPr>
        <w:t xml:space="preserve"> IEO suspended the quality assessment system for decentralized evaluations in </w:t>
      </w:r>
      <w:r w:rsidR="00802870" w:rsidRPr="00976EAA">
        <w:rPr>
          <w:rFonts w:ascii="Times New Roman" w:eastAsia="Batang" w:hAnsi="Times New Roman"/>
          <w:lang w:eastAsia="ko-KR"/>
        </w:rPr>
        <w:t xml:space="preserve">2014.  </w:t>
      </w:r>
      <w:r w:rsidRPr="00976EAA">
        <w:rPr>
          <w:rFonts w:ascii="Times New Roman" w:eastAsia="Batang" w:hAnsi="Times New Roman"/>
          <w:lang w:eastAsia="ko-KR"/>
        </w:rPr>
        <w:t xml:space="preserve"> </w:t>
      </w:r>
      <w:r w:rsidR="00802870" w:rsidRPr="00976EAA">
        <w:rPr>
          <w:rFonts w:ascii="Times New Roman" w:eastAsia="Batang" w:hAnsi="Times New Roman"/>
          <w:lang w:eastAsia="ko-KR"/>
        </w:rPr>
        <w:t>As a result</w:t>
      </w:r>
      <w:r w:rsidR="00E607F8">
        <w:rPr>
          <w:rFonts w:ascii="Times New Roman" w:eastAsia="Batang" w:hAnsi="Times New Roman"/>
          <w:lang w:eastAsia="ko-KR"/>
        </w:rPr>
        <w:t>,</w:t>
      </w:r>
      <w:r w:rsidR="00802870" w:rsidRPr="00976EAA">
        <w:rPr>
          <w:rFonts w:ascii="Times New Roman" w:eastAsia="Batang" w:hAnsi="Times New Roman"/>
          <w:lang w:eastAsia="ko-KR"/>
        </w:rPr>
        <w:t xml:space="preserve"> </w:t>
      </w:r>
      <w:r w:rsidRPr="00976EAA">
        <w:rPr>
          <w:rFonts w:ascii="Times New Roman" w:eastAsia="Batang" w:hAnsi="Times New Roman"/>
          <w:lang w:eastAsia="ko-KR"/>
        </w:rPr>
        <w:t xml:space="preserve">the </w:t>
      </w:r>
      <w:r w:rsidR="00802870" w:rsidRPr="00976EAA">
        <w:rPr>
          <w:rFonts w:ascii="Times New Roman" w:eastAsia="Batang" w:hAnsi="Times New Roman"/>
          <w:lang w:eastAsia="ko-KR"/>
        </w:rPr>
        <w:t xml:space="preserve">2014 </w:t>
      </w:r>
      <w:r w:rsidR="00E607F8">
        <w:rPr>
          <w:rFonts w:ascii="Times New Roman" w:eastAsia="Batang" w:hAnsi="Times New Roman"/>
          <w:lang w:eastAsia="ko-KR"/>
        </w:rPr>
        <w:t>A</w:t>
      </w:r>
      <w:r w:rsidR="00E607F8" w:rsidRPr="00976EAA">
        <w:rPr>
          <w:rFonts w:ascii="Times New Roman" w:eastAsia="Batang" w:hAnsi="Times New Roman"/>
          <w:lang w:eastAsia="ko-KR"/>
        </w:rPr>
        <w:t xml:space="preserve">nnual </w:t>
      </w:r>
      <w:r w:rsidR="00E607F8">
        <w:rPr>
          <w:rFonts w:ascii="Times New Roman" w:eastAsia="Batang" w:hAnsi="Times New Roman"/>
          <w:lang w:eastAsia="ko-KR"/>
        </w:rPr>
        <w:t>R</w:t>
      </w:r>
      <w:r w:rsidRPr="00976EAA">
        <w:rPr>
          <w:rFonts w:ascii="Times New Roman" w:eastAsia="Batang" w:hAnsi="Times New Roman"/>
          <w:lang w:eastAsia="ko-KR"/>
        </w:rPr>
        <w:t xml:space="preserve">eport </w:t>
      </w:r>
      <w:r w:rsidR="00E607F8">
        <w:rPr>
          <w:rFonts w:ascii="Times New Roman" w:eastAsia="Batang" w:hAnsi="Times New Roman"/>
          <w:lang w:eastAsia="ko-KR"/>
        </w:rPr>
        <w:t xml:space="preserve">of the Administrator </w:t>
      </w:r>
      <w:r w:rsidRPr="00976EAA">
        <w:rPr>
          <w:rFonts w:ascii="Times New Roman" w:eastAsia="Batang" w:hAnsi="Times New Roman"/>
          <w:lang w:eastAsia="ko-KR"/>
        </w:rPr>
        <w:t xml:space="preserve">does not include </w:t>
      </w:r>
      <w:r w:rsidR="00E607F8">
        <w:rPr>
          <w:rFonts w:ascii="Times New Roman" w:eastAsia="Batang" w:hAnsi="Times New Roman"/>
          <w:lang w:eastAsia="ko-KR"/>
        </w:rPr>
        <w:t>reference to changes in the</w:t>
      </w:r>
      <w:r w:rsidRPr="00976EAA">
        <w:rPr>
          <w:rFonts w:ascii="Times New Roman" w:eastAsia="Batang" w:hAnsi="Times New Roman"/>
          <w:lang w:eastAsia="ko-KR"/>
        </w:rPr>
        <w:t xml:space="preserve"> </w:t>
      </w:r>
      <w:r w:rsidR="00802870" w:rsidRPr="00976EAA">
        <w:rPr>
          <w:rFonts w:ascii="Times New Roman" w:eastAsia="Batang" w:hAnsi="Times New Roman"/>
          <w:lang w:eastAsia="ko-KR"/>
        </w:rPr>
        <w:t xml:space="preserve">quality of </w:t>
      </w:r>
      <w:r w:rsidRPr="00976EAA">
        <w:rPr>
          <w:rFonts w:ascii="Times New Roman" w:eastAsia="Batang" w:hAnsi="Times New Roman"/>
          <w:lang w:eastAsia="ko-KR"/>
        </w:rPr>
        <w:t>decentralized evaluations</w:t>
      </w:r>
      <w:r w:rsidR="00A4598E">
        <w:rPr>
          <w:rFonts w:ascii="Times New Roman" w:eastAsia="Batang" w:hAnsi="Times New Roman"/>
          <w:lang w:eastAsia="ko-KR"/>
        </w:rPr>
        <w:t>.</w:t>
      </w:r>
      <w:r w:rsidRPr="00976EAA">
        <w:rPr>
          <w:rFonts w:ascii="Times New Roman" w:eastAsia="Batang" w:hAnsi="Times New Roman"/>
          <w:lang w:eastAsia="ko-KR"/>
        </w:rPr>
        <w:t xml:space="preserve"> </w:t>
      </w:r>
      <w:r w:rsidR="00A4598E">
        <w:rPr>
          <w:rFonts w:ascii="Times New Roman" w:eastAsia="Batang" w:hAnsi="Times New Roman"/>
          <w:lang w:eastAsia="ko-KR"/>
        </w:rPr>
        <w:t>T</w:t>
      </w:r>
      <w:r w:rsidRPr="00976EAA">
        <w:rPr>
          <w:rFonts w:ascii="Times New Roman" w:eastAsia="Batang" w:hAnsi="Times New Roman"/>
          <w:lang w:eastAsia="ko-KR"/>
        </w:rPr>
        <w:t xml:space="preserve">he quality of decentralized evaluations has been increasing steadily since the quality ratings were first introduced in 2011.  Annual reports on evaluation </w:t>
      </w:r>
      <w:r w:rsidR="00802870" w:rsidRPr="00976EAA">
        <w:rPr>
          <w:rFonts w:ascii="Times New Roman" w:eastAsia="Batang" w:hAnsi="Times New Roman"/>
          <w:lang w:eastAsia="ko-KR"/>
        </w:rPr>
        <w:t xml:space="preserve">have consistently </w:t>
      </w:r>
      <w:r w:rsidRPr="00976EAA">
        <w:rPr>
          <w:rFonts w:ascii="Times New Roman" w:eastAsia="Batang" w:hAnsi="Times New Roman"/>
          <w:lang w:eastAsia="ko-KR"/>
        </w:rPr>
        <w:t xml:space="preserve">noted </w:t>
      </w:r>
      <w:r w:rsidR="00802870" w:rsidRPr="00976EAA">
        <w:rPr>
          <w:rFonts w:ascii="Times New Roman" w:eastAsia="Batang" w:hAnsi="Times New Roman"/>
          <w:lang w:eastAsia="ko-KR"/>
        </w:rPr>
        <w:t xml:space="preserve">this </w:t>
      </w:r>
      <w:r w:rsidRPr="00976EAA">
        <w:rPr>
          <w:rFonts w:ascii="Times New Roman" w:eastAsia="Batang" w:hAnsi="Times New Roman"/>
          <w:lang w:eastAsia="ko-KR"/>
        </w:rPr>
        <w:t>positive trend in the quality of decentralized evaluations, with the analysis showing that 45 per cent of evaluations assessed in 2013 rated ‘satisfactory’ or better (compared to 32 per cent i</w:t>
      </w:r>
      <w:r w:rsidRPr="005F2A1C">
        <w:rPr>
          <w:rFonts w:ascii="Times New Roman" w:eastAsia="Batang" w:hAnsi="Times New Roman"/>
          <w:lang w:eastAsia="ko-KR"/>
        </w:rPr>
        <w:t xml:space="preserve">n 2012), 36 per cent ‘moderately satisfactory’ (compared to 43 per cent in 2012), and 19 per cent ‘moderately unsatisfactory’ or worse (compared to 25 per cent in 2012). </w:t>
      </w:r>
      <w:r w:rsidR="00155706">
        <w:rPr>
          <w:rFonts w:ascii="Times New Roman" w:eastAsia="Batang" w:hAnsi="Times New Roman"/>
          <w:lang w:eastAsia="ko-KR"/>
        </w:rPr>
        <w:t xml:space="preserve">The number of reports rated as </w:t>
      </w:r>
      <w:r w:rsidRPr="005F2A1C">
        <w:rPr>
          <w:rFonts w:ascii="Times New Roman" w:eastAsia="Batang" w:hAnsi="Times New Roman"/>
          <w:lang w:eastAsia="ko-KR"/>
        </w:rPr>
        <w:t xml:space="preserve">moderately unsatisfactory </w:t>
      </w:r>
      <w:r w:rsidR="00155706">
        <w:rPr>
          <w:rFonts w:ascii="Times New Roman" w:eastAsia="Batang" w:hAnsi="Times New Roman"/>
          <w:lang w:eastAsia="ko-KR"/>
        </w:rPr>
        <w:t>has</w:t>
      </w:r>
      <w:r w:rsidR="00155706" w:rsidRPr="005F2A1C">
        <w:rPr>
          <w:rFonts w:ascii="Times New Roman" w:eastAsia="Batang" w:hAnsi="Times New Roman"/>
          <w:lang w:eastAsia="ko-KR"/>
        </w:rPr>
        <w:t xml:space="preserve"> </w:t>
      </w:r>
      <w:r w:rsidRPr="005F2A1C">
        <w:rPr>
          <w:rFonts w:ascii="Times New Roman" w:eastAsia="Batang" w:hAnsi="Times New Roman"/>
          <w:lang w:eastAsia="ko-KR"/>
        </w:rPr>
        <w:t xml:space="preserve">been cut in half since 2011, and the number of evaluations judged to be satisfactory has increased </w:t>
      </w:r>
      <w:r w:rsidR="00155706">
        <w:rPr>
          <w:rFonts w:ascii="Times New Roman" w:eastAsia="Batang" w:hAnsi="Times New Roman"/>
          <w:lang w:eastAsia="ko-KR"/>
        </w:rPr>
        <w:t>every</w:t>
      </w:r>
      <w:r w:rsidR="00155706" w:rsidRPr="005F2A1C">
        <w:rPr>
          <w:rFonts w:ascii="Times New Roman" w:eastAsia="Batang" w:hAnsi="Times New Roman"/>
          <w:lang w:eastAsia="ko-KR"/>
        </w:rPr>
        <w:t xml:space="preserve"> </w:t>
      </w:r>
      <w:r w:rsidRPr="005F2A1C">
        <w:rPr>
          <w:rFonts w:ascii="Times New Roman" w:eastAsia="Batang" w:hAnsi="Times New Roman"/>
          <w:lang w:eastAsia="ko-KR"/>
        </w:rPr>
        <w:t xml:space="preserve">year. UNDP management </w:t>
      </w:r>
      <w:r>
        <w:rPr>
          <w:rFonts w:ascii="Times New Roman" w:eastAsia="Batang" w:hAnsi="Times New Roman"/>
          <w:lang w:eastAsia="ko-KR"/>
        </w:rPr>
        <w:t xml:space="preserve">expects the IEO to resume the quality assessment system in order to </w:t>
      </w:r>
      <w:r w:rsidR="00A6449D">
        <w:rPr>
          <w:rFonts w:ascii="Times New Roman" w:eastAsia="Batang" w:hAnsi="Times New Roman"/>
          <w:lang w:eastAsia="ko-KR"/>
        </w:rPr>
        <w:t xml:space="preserve">strengthen </w:t>
      </w:r>
      <w:r w:rsidR="00155706">
        <w:rPr>
          <w:rFonts w:ascii="Times New Roman" w:eastAsia="Batang" w:hAnsi="Times New Roman"/>
          <w:lang w:eastAsia="ko-KR"/>
        </w:rPr>
        <w:t xml:space="preserve">the </w:t>
      </w:r>
      <w:r>
        <w:rPr>
          <w:rFonts w:ascii="Times New Roman" w:eastAsia="Batang" w:hAnsi="Times New Roman"/>
          <w:lang w:eastAsia="ko-KR"/>
        </w:rPr>
        <w:t>monitoring of UNDP</w:t>
      </w:r>
      <w:r w:rsidR="00A6449D">
        <w:rPr>
          <w:rFonts w:ascii="Times New Roman" w:eastAsia="Batang" w:hAnsi="Times New Roman"/>
          <w:lang w:eastAsia="ko-KR"/>
        </w:rPr>
        <w:t>’s</w:t>
      </w:r>
      <w:r>
        <w:rPr>
          <w:rFonts w:ascii="Times New Roman" w:eastAsia="Batang" w:hAnsi="Times New Roman"/>
          <w:lang w:eastAsia="ko-KR"/>
        </w:rPr>
        <w:t xml:space="preserve"> efforts and </w:t>
      </w:r>
      <w:r w:rsidRPr="005F2A1C">
        <w:rPr>
          <w:rFonts w:ascii="Times New Roman" w:eastAsia="Batang" w:hAnsi="Times New Roman"/>
          <w:lang w:eastAsia="ko-KR"/>
        </w:rPr>
        <w:t>commitment</w:t>
      </w:r>
      <w:r>
        <w:rPr>
          <w:rFonts w:ascii="Times New Roman" w:eastAsia="Batang" w:hAnsi="Times New Roman"/>
          <w:lang w:eastAsia="ko-KR"/>
        </w:rPr>
        <w:t>s</w:t>
      </w:r>
      <w:r w:rsidRPr="005F2A1C">
        <w:rPr>
          <w:rFonts w:ascii="Times New Roman" w:eastAsia="Batang" w:hAnsi="Times New Roman"/>
          <w:lang w:eastAsia="ko-KR"/>
        </w:rPr>
        <w:t xml:space="preserve"> to </w:t>
      </w:r>
      <w:r w:rsidR="00155706">
        <w:rPr>
          <w:rFonts w:ascii="Times New Roman" w:eastAsia="Batang" w:hAnsi="Times New Roman"/>
          <w:lang w:eastAsia="ko-KR"/>
        </w:rPr>
        <w:t xml:space="preserve">continue the positive trend in </w:t>
      </w:r>
      <w:r w:rsidR="00FC3CCD">
        <w:rPr>
          <w:rFonts w:ascii="Times New Roman" w:eastAsia="Batang" w:hAnsi="Times New Roman"/>
          <w:lang w:eastAsia="ko-KR"/>
        </w:rPr>
        <w:t>the steady improvement of decentralized evaluations.</w:t>
      </w:r>
    </w:p>
    <w:p w:rsidR="005B3586" w:rsidRPr="002F4C9A" w:rsidRDefault="005B3586" w:rsidP="005B3586">
      <w:pPr>
        <w:tabs>
          <w:tab w:val="left" w:pos="360"/>
        </w:tabs>
        <w:spacing w:after="0" w:line="240" w:lineRule="auto"/>
        <w:contextualSpacing/>
        <w:jc w:val="both"/>
        <w:rPr>
          <w:rFonts w:ascii="Times New Roman" w:eastAsia="Batang" w:hAnsi="Times New Roman"/>
          <w:lang w:eastAsia="ko-KR"/>
        </w:rPr>
      </w:pPr>
    </w:p>
    <w:p w:rsidR="00DC55A7" w:rsidRPr="00C46CC3" w:rsidRDefault="00FC3CCD" w:rsidP="00937462">
      <w:pPr>
        <w:numPr>
          <w:ilvl w:val="0"/>
          <w:numId w:val="9"/>
        </w:numPr>
        <w:tabs>
          <w:tab w:val="left" w:pos="360"/>
        </w:tabs>
        <w:spacing w:after="160" w:line="240" w:lineRule="auto"/>
        <w:ind w:left="0" w:firstLine="0"/>
        <w:jc w:val="both"/>
        <w:rPr>
          <w:rFonts w:ascii="Times New Roman" w:eastAsia="Batang" w:hAnsi="Times New Roman"/>
          <w:b/>
          <w:lang w:eastAsia="ko-KR"/>
        </w:rPr>
      </w:pPr>
      <w:r>
        <w:rPr>
          <w:rFonts w:ascii="Times New Roman" w:eastAsia="Batang" w:hAnsi="Times New Roman"/>
          <w:lang w:eastAsia="ko-KR"/>
        </w:rPr>
        <w:t xml:space="preserve">The measures and steps that </w:t>
      </w:r>
      <w:r w:rsidR="005B3586" w:rsidRPr="002F4C9A">
        <w:rPr>
          <w:rFonts w:ascii="Times New Roman" w:eastAsia="Batang" w:hAnsi="Times New Roman"/>
          <w:lang w:eastAsia="ko-KR"/>
        </w:rPr>
        <w:t xml:space="preserve">UNDP has identified </w:t>
      </w:r>
      <w:r>
        <w:rPr>
          <w:rFonts w:ascii="Times New Roman" w:eastAsia="Batang" w:hAnsi="Times New Roman"/>
          <w:lang w:eastAsia="ko-KR"/>
        </w:rPr>
        <w:t xml:space="preserve">as </w:t>
      </w:r>
      <w:r w:rsidR="005B3586" w:rsidRPr="002F4C9A">
        <w:rPr>
          <w:rFonts w:ascii="Times New Roman" w:eastAsia="Batang" w:hAnsi="Times New Roman"/>
          <w:lang w:eastAsia="ko-KR"/>
        </w:rPr>
        <w:t xml:space="preserve">critical </w:t>
      </w:r>
      <w:r>
        <w:rPr>
          <w:rFonts w:ascii="Times New Roman" w:eastAsia="Batang" w:hAnsi="Times New Roman"/>
          <w:lang w:eastAsia="ko-KR"/>
        </w:rPr>
        <w:t xml:space="preserve">for improving the quality of </w:t>
      </w:r>
      <w:r w:rsidR="005B3586" w:rsidRPr="002F4C9A">
        <w:rPr>
          <w:rFonts w:ascii="Times New Roman" w:eastAsia="Batang" w:hAnsi="Times New Roman"/>
          <w:lang w:eastAsia="ko-KR"/>
        </w:rPr>
        <w:t>evaluations</w:t>
      </w:r>
      <w:r>
        <w:rPr>
          <w:rFonts w:ascii="Times New Roman" w:eastAsia="Batang" w:hAnsi="Times New Roman"/>
          <w:lang w:eastAsia="ko-KR"/>
        </w:rPr>
        <w:t xml:space="preserve"> include the following</w:t>
      </w:r>
      <w:r w:rsidR="005B3586" w:rsidRPr="002F4C9A">
        <w:rPr>
          <w:rFonts w:ascii="Times New Roman" w:eastAsia="Batang" w:hAnsi="Times New Roman"/>
          <w:lang w:eastAsia="ko-KR"/>
        </w:rPr>
        <w:t xml:space="preserve">: (a) a consistent management demand </w:t>
      </w:r>
      <w:r w:rsidR="005D7A02">
        <w:rPr>
          <w:rFonts w:ascii="Times New Roman" w:eastAsia="Batang" w:hAnsi="Times New Roman"/>
          <w:lang w:eastAsia="ko-KR"/>
        </w:rPr>
        <w:t xml:space="preserve">for </w:t>
      </w:r>
      <w:r w:rsidR="005B3586" w:rsidRPr="002F4C9A">
        <w:rPr>
          <w:rFonts w:ascii="Times New Roman" w:eastAsia="Batang" w:hAnsi="Times New Roman"/>
          <w:lang w:eastAsia="ko-KR"/>
        </w:rPr>
        <w:t>and better use of evaluations; (b) better oversight and support by regional bureaus, resulting in improved adherence by country offices to evaluation plans</w:t>
      </w:r>
      <w:r>
        <w:rPr>
          <w:rFonts w:ascii="Times New Roman" w:eastAsia="Batang" w:hAnsi="Times New Roman"/>
          <w:lang w:eastAsia="ko-KR"/>
        </w:rPr>
        <w:t>,</w:t>
      </w:r>
      <w:r w:rsidR="005B3586" w:rsidRPr="002F4C9A">
        <w:rPr>
          <w:rFonts w:ascii="Times New Roman" w:eastAsia="Batang" w:hAnsi="Times New Roman"/>
          <w:lang w:eastAsia="ko-KR"/>
        </w:rPr>
        <w:t xml:space="preserve"> and improved evaluation management; and (c) </w:t>
      </w:r>
      <w:r w:rsidR="00BE5A8F">
        <w:rPr>
          <w:rFonts w:ascii="Times New Roman" w:eastAsia="Batang" w:hAnsi="Times New Roman"/>
          <w:lang w:eastAsia="ko-KR"/>
        </w:rPr>
        <w:t xml:space="preserve">leveraging </w:t>
      </w:r>
      <w:r w:rsidR="005B3586" w:rsidRPr="002F4C9A">
        <w:rPr>
          <w:rFonts w:ascii="Times New Roman" w:eastAsia="Batang" w:hAnsi="Times New Roman"/>
          <w:lang w:eastAsia="ko-KR"/>
        </w:rPr>
        <w:t>accumulated experience in conducting evaluations</w:t>
      </w:r>
      <w:r>
        <w:rPr>
          <w:rFonts w:ascii="Times New Roman" w:eastAsia="Batang" w:hAnsi="Times New Roman"/>
          <w:lang w:eastAsia="ko-KR"/>
        </w:rPr>
        <w:t xml:space="preserve">.   Through these steps, UNDP will continue to demonstrate its firm commitment to </w:t>
      </w:r>
      <w:r w:rsidRPr="00632E6C">
        <w:rPr>
          <w:rFonts w:ascii="Times New Roman" w:eastAsia="Batang" w:hAnsi="Times New Roman"/>
          <w:lang w:eastAsia="ko-KR"/>
        </w:rPr>
        <w:t xml:space="preserve">improve the quality of </w:t>
      </w:r>
      <w:r>
        <w:rPr>
          <w:rFonts w:ascii="Times New Roman" w:eastAsia="Batang" w:hAnsi="Times New Roman"/>
          <w:lang w:eastAsia="ko-KR"/>
        </w:rPr>
        <w:t xml:space="preserve">decentralized </w:t>
      </w:r>
      <w:r w:rsidRPr="00632E6C">
        <w:rPr>
          <w:rFonts w:ascii="Times New Roman" w:eastAsia="Batang" w:hAnsi="Times New Roman"/>
          <w:lang w:eastAsia="ko-KR"/>
        </w:rPr>
        <w:t xml:space="preserve">evaluations, as well as </w:t>
      </w:r>
      <w:r w:rsidR="00E607F8">
        <w:rPr>
          <w:rFonts w:ascii="Times New Roman" w:eastAsia="Batang" w:hAnsi="Times New Roman"/>
          <w:lang w:eastAsia="ko-KR"/>
        </w:rPr>
        <w:t xml:space="preserve">to </w:t>
      </w:r>
      <w:r w:rsidRPr="00632E6C">
        <w:rPr>
          <w:rFonts w:ascii="Times New Roman" w:eastAsia="Batang" w:hAnsi="Times New Roman"/>
          <w:lang w:eastAsia="ko-KR"/>
        </w:rPr>
        <w:t xml:space="preserve">strengthen their utility for organizational performance and </w:t>
      </w:r>
      <w:r>
        <w:rPr>
          <w:rFonts w:ascii="Times New Roman" w:eastAsia="Batang" w:hAnsi="Times New Roman"/>
          <w:lang w:eastAsia="ko-KR"/>
        </w:rPr>
        <w:t xml:space="preserve">the </w:t>
      </w:r>
      <w:r w:rsidRPr="00632E6C">
        <w:rPr>
          <w:rFonts w:ascii="Times New Roman" w:eastAsia="Batang" w:hAnsi="Times New Roman"/>
          <w:lang w:eastAsia="ko-KR"/>
        </w:rPr>
        <w:t>relevance of UNDP support.</w:t>
      </w:r>
      <w:r w:rsidR="00E607F8">
        <w:rPr>
          <w:rFonts w:ascii="Times New Roman" w:eastAsia="Batang" w:hAnsi="Times New Roman"/>
          <w:lang w:eastAsia="ko-KR"/>
        </w:rPr>
        <w:t xml:space="preserve"> </w:t>
      </w:r>
    </w:p>
    <w:p w:rsidR="00DC55A7" w:rsidRPr="002F4C9A" w:rsidRDefault="005B3586" w:rsidP="00C46CC3">
      <w:pPr>
        <w:pStyle w:val="ColorfulShading-Accent31"/>
        <w:tabs>
          <w:tab w:val="left" w:pos="360"/>
        </w:tabs>
        <w:spacing w:line="240" w:lineRule="auto"/>
        <w:ind w:hanging="360"/>
        <w:jc w:val="both"/>
        <w:rPr>
          <w:rFonts w:ascii="Times New Roman" w:eastAsia="Batang" w:hAnsi="Times New Roman"/>
          <w:b/>
          <w:lang w:eastAsia="ko-KR"/>
        </w:rPr>
      </w:pPr>
      <w:r w:rsidRPr="002F4C9A">
        <w:rPr>
          <w:rFonts w:ascii="Times New Roman" w:eastAsia="Batang" w:hAnsi="Times New Roman"/>
          <w:b/>
          <w:lang w:eastAsia="ko-KR"/>
        </w:rPr>
        <w:t>Quality of decentralized evaluations vs. total number of decentralized evaluations</w:t>
      </w:r>
      <w:r w:rsidRPr="002F4C9A">
        <w:rPr>
          <w:rFonts w:ascii="Times New Roman" w:eastAsia="Batang" w:hAnsi="Times New Roman"/>
          <w:b/>
          <w:vertAlign w:val="superscript"/>
          <w:lang w:eastAsia="ko-KR"/>
        </w:rPr>
        <w:footnoteReference w:id="2"/>
      </w:r>
    </w:p>
    <w:p w:rsidR="005B3586" w:rsidRDefault="005B3586" w:rsidP="005B3586">
      <w:pPr>
        <w:pStyle w:val="ColorfulShading-Accent31"/>
        <w:tabs>
          <w:tab w:val="left" w:pos="360"/>
        </w:tabs>
        <w:spacing w:after="0" w:line="240" w:lineRule="auto"/>
        <w:jc w:val="both"/>
        <w:rPr>
          <w:rFonts w:ascii="Times New Roman" w:eastAsia="Batang" w:hAnsi="Times New Roman"/>
          <w:lang w:eastAsia="ko-KR"/>
        </w:rPr>
      </w:pPr>
    </w:p>
    <w:p w:rsidR="005B3586" w:rsidRDefault="00BD28B3" w:rsidP="005B3586">
      <w:pPr>
        <w:pStyle w:val="ColorfulShading-Accent31"/>
        <w:tabs>
          <w:tab w:val="left" w:pos="360"/>
        </w:tabs>
        <w:spacing w:after="0" w:line="240" w:lineRule="auto"/>
        <w:jc w:val="both"/>
        <w:rPr>
          <w:rFonts w:ascii="Times New Roman" w:eastAsia="Batang" w:hAnsi="Times New Roman"/>
          <w:lang w:eastAsia="ko-KR"/>
        </w:rPr>
      </w:pPr>
      <w:r w:rsidRPr="00BD28B3">
        <w:rPr>
          <w:rFonts w:ascii="Times New Roman" w:eastAsia="Batang" w:hAnsi="Times New Roman"/>
          <w:noProof/>
        </w:rPr>
        <w:drawing>
          <wp:inline distT="0" distB="0" distL="0" distR="0" wp14:anchorId="542B975C" wp14:editId="647D5D8A">
            <wp:extent cx="4338320" cy="1964602"/>
            <wp:effectExtent l="0" t="0" r="30480"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CC3" w:rsidRDefault="00C46CC3" w:rsidP="00C46CC3">
      <w:pPr>
        <w:tabs>
          <w:tab w:val="left" w:pos="360"/>
        </w:tabs>
        <w:spacing w:after="0" w:line="240" w:lineRule="auto"/>
        <w:contextualSpacing/>
        <w:jc w:val="both"/>
        <w:rPr>
          <w:rFonts w:ascii="Times New Roman" w:eastAsia="Batang" w:hAnsi="Times New Roman"/>
          <w:b/>
          <w:i/>
          <w:lang w:eastAsia="ko-KR"/>
        </w:rPr>
      </w:pPr>
    </w:p>
    <w:p w:rsidR="00C46CC3" w:rsidRPr="00C46CC3" w:rsidRDefault="00C46CC3" w:rsidP="00B0304A">
      <w:pPr>
        <w:pStyle w:val="ListParagraph"/>
        <w:numPr>
          <w:ilvl w:val="0"/>
          <w:numId w:val="25"/>
        </w:numPr>
        <w:tabs>
          <w:tab w:val="left" w:pos="0"/>
        </w:tabs>
        <w:spacing w:after="0" w:line="240" w:lineRule="auto"/>
        <w:ind w:hanging="1530"/>
        <w:contextualSpacing/>
        <w:jc w:val="both"/>
        <w:rPr>
          <w:rFonts w:ascii="Times New Roman" w:eastAsia="Batang" w:hAnsi="Times New Roman"/>
          <w:b/>
          <w:bCs/>
          <w:sz w:val="24"/>
          <w:szCs w:val="24"/>
          <w:lang w:eastAsia="ko-KR"/>
        </w:rPr>
      </w:pPr>
      <w:r w:rsidRPr="00C46CC3">
        <w:rPr>
          <w:rFonts w:ascii="Times New Roman" w:eastAsia="Batang" w:hAnsi="Times New Roman"/>
          <w:b/>
          <w:bCs/>
          <w:sz w:val="24"/>
          <w:szCs w:val="24"/>
          <w:lang w:eastAsia="ko-KR"/>
        </w:rPr>
        <w:t>Follow up on evaluation recommendations and management responses</w:t>
      </w:r>
    </w:p>
    <w:p w:rsidR="00C46CC3" w:rsidRPr="00C46CC3" w:rsidRDefault="00C46CC3" w:rsidP="00C46CC3">
      <w:pPr>
        <w:pStyle w:val="ListParagraph"/>
        <w:tabs>
          <w:tab w:val="left" w:pos="360"/>
        </w:tabs>
        <w:spacing w:after="0" w:line="240" w:lineRule="auto"/>
        <w:ind w:left="1080"/>
        <w:contextualSpacing/>
        <w:jc w:val="both"/>
        <w:rPr>
          <w:rFonts w:ascii="Times New Roman" w:eastAsia="Batang" w:hAnsi="Times New Roman"/>
          <w:b/>
          <w:i/>
          <w:lang w:eastAsia="ko-KR"/>
        </w:rPr>
      </w:pPr>
    </w:p>
    <w:p w:rsidR="00A4598E" w:rsidRDefault="00C46CC3" w:rsidP="00C46CC3">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E65479">
        <w:rPr>
          <w:rFonts w:ascii="Times New Roman" w:eastAsia="Batang" w:hAnsi="Times New Roman"/>
          <w:lang w:eastAsia="ko-KR"/>
        </w:rPr>
        <w:t xml:space="preserve">In September 2014, the Executive Board adopted decision 2014/14 on the Annual </w:t>
      </w:r>
      <w:r>
        <w:rPr>
          <w:rFonts w:ascii="Times New Roman" w:eastAsia="Batang" w:hAnsi="Times New Roman"/>
          <w:lang w:eastAsia="ko-KR"/>
        </w:rPr>
        <w:t>R</w:t>
      </w:r>
      <w:r w:rsidRPr="00E65479">
        <w:rPr>
          <w:rFonts w:ascii="Times New Roman" w:eastAsia="Batang" w:hAnsi="Times New Roman"/>
          <w:lang w:eastAsia="ko-KR"/>
        </w:rPr>
        <w:t xml:space="preserve">eport on </w:t>
      </w:r>
      <w:r>
        <w:rPr>
          <w:rFonts w:ascii="Times New Roman" w:eastAsia="Batang" w:hAnsi="Times New Roman"/>
          <w:lang w:eastAsia="ko-KR"/>
        </w:rPr>
        <w:t>E</w:t>
      </w:r>
      <w:r w:rsidRPr="00E65479">
        <w:rPr>
          <w:rFonts w:ascii="Times New Roman" w:eastAsia="Batang" w:hAnsi="Times New Roman"/>
          <w:lang w:eastAsia="ko-KR"/>
        </w:rPr>
        <w:t>valuation, 2013</w:t>
      </w:r>
      <w:r>
        <w:rPr>
          <w:rFonts w:ascii="Times New Roman" w:eastAsia="Batang" w:hAnsi="Times New Roman"/>
          <w:lang w:eastAsia="ko-KR"/>
        </w:rPr>
        <w:t>, urging UNDP to “address in a timely manner</w:t>
      </w:r>
      <w:r w:rsidRPr="00E37C46">
        <w:rPr>
          <w:rFonts w:ascii="Times New Roman" w:eastAsia="Batang" w:hAnsi="Times New Roman"/>
          <w:lang w:eastAsia="ko-KR"/>
        </w:rPr>
        <w:t xml:space="preserve"> </w:t>
      </w:r>
      <w:r w:rsidRPr="00E65479">
        <w:rPr>
          <w:rFonts w:ascii="Times New Roman" w:eastAsia="Batang" w:hAnsi="Times New Roman"/>
          <w:lang w:eastAsia="ko-KR"/>
        </w:rPr>
        <w:t>the findings and recommendations from the annual report on evaluation, with a view towards improving programme performance, effectiveness and efficiency</w:t>
      </w:r>
      <w:r>
        <w:rPr>
          <w:rFonts w:ascii="Times New Roman" w:eastAsia="Batang" w:hAnsi="Times New Roman"/>
          <w:lang w:eastAsia="ko-KR"/>
        </w:rPr>
        <w:t>”.  The Board also recognized “</w:t>
      </w:r>
      <w:r w:rsidRPr="00E65479">
        <w:rPr>
          <w:rFonts w:ascii="Times New Roman" w:eastAsia="Batang" w:hAnsi="Times New Roman"/>
          <w:lang w:eastAsia="ko-KR"/>
        </w:rPr>
        <w:t>the progress of UNDP in developing management responses for all evaluations carried out by the Independent Evaluation Office of UNDP, and requests UNDP to explain the level of completed actions in the future management commentaries on the annual report on evaluation”</w:t>
      </w:r>
      <w:r>
        <w:rPr>
          <w:rFonts w:ascii="Times New Roman" w:eastAsia="Batang" w:hAnsi="Times New Roman"/>
          <w:lang w:eastAsia="ko-KR"/>
        </w:rPr>
        <w:t>.</w:t>
      </w:r>
    </w:p>
    <w:p w:rsidR="00A4598E" w:rsidRDefault="00A4598E">
      <w:pPr>
        <w:spacing w:after="0" w:line="240" w:lineRule="auto"/>
        <w:rPr>
          <w:rFonts w:ascii="Times New Roman" w:eastAsia="Batang" w:hAnsi="Times New Roman"/>
          <w:lang w:eastAsia="ko-KR"/>
        </w:rPr>
      </w:pPr>
      <w:r>
        <w:rPr>
          <w:rFonts w:ascii="Times New Roman" w:eastAsia="Batang" w:hAnsi="Times New Roman"/>
          <w:lang w:eastAsia="ko-KR"/>
        </w:rPr>
        <w:br w:type="page"/>
      </w:r>
    </w:p>
    <w:p w:rsidR="00C46CC3" w:rsidRDefault="00C46CC3" w:rsidP="00A4598E">
      <w:pPr>
        <w:tabs>
          <w:tab w:val="left" w:pos="360"/>
        </w:tabs>
        <w:spacing w:after="0" w:line="240" w:lineRule="auto"/>
        <w:contextualSpacing/>
        <w:jc w:val="both"/>
        <w:rPr>
          <w:rFonts w:ascii="Times New Roman" w:eastAsia="Batang" w:hAnsi="Times New Roman"/>
          <w:lang w:eastAsia="ko-KR"/>
        </w:rPr>
      </w:pPr>
    </w:p>
    <w:p w:rsidR="00C46CC3" w:rsidRPr="00C46CC3" w:rsidRDefault="00C46CC3" w:rsidP="00C46CC3">
      <w:pPr>
        <w:tabs>
          <w:tab w:val="left" w:pos="360"/>
        </w:tabs>
        <w:contextualSpacing/>
        <w:rPr>
          <w:rFonts w:ascii="Times New Roman" w:eastAsia="Batang" w:hAnsi="Times New Roman"/>
          <w:b/>
          <w:bCs/>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60"/>
        <w:gridCol w:w="965"/>
        <w:gridCol w:w="707"/>
        <w:gridCol w:w="1075"/>
        <w:gridCol w:w="942"/>
        <w:gridCol w:w="881"/>
        <w:gridCol w:w="1180"/>
        <w:gridCol w:w="929"/>
        <w:gridCol w:w="896"/>
      </w:tblGrid>
      <w:tr w:rsidR="005D6EAF" w:rsidRPr="008C242D" w:rsidTr="009D0CB6">
        <w:trPr>
          <w:trHeight w:val="278"/>
        </w:trPr>
        <w:tc>
          <w:tcPr>
            <w:tcW w:w="5000" w:type="pct"/>
            <w:gridSpan w:val="10"/>
            <w:shd w:val="clear" w:color="auto" w:fill="323E4F"/>
            <w:noWrap/>
          </w:tcPr>
          <w:p w:rsidR="008C242D" w:rsidRPr="008C242D" w:rsidRDefault="008C242D" w:rsidP="005D6EAF">
            <w:pPr>
              <w:spacing w:after="0" w:line="240" w:lineRule="auto"/>
              <w:jc w:val="center"/>
              <w:rPr>
                <w:b/>
                <w:bCs/>
                <w:sz w:val="28"/>
                <w:szCs w:val="28"/>
              </w:rPr>
            </w:pPr>
            <w:r w:rsidRPr="008C242D">
              <w:rPr>
                <w:b/>
                <w:bCs/>
                <w:sz w:val="28"/>
                <w:szCs w:val="28"/>
              </w:rPr>
              <w:t>STATUS OF DECENTRALIZED EVALUATIONS: 2014</w:t>
            </w:r>
          </w:p>
        </w:tc>
      </w:tr>
      <w:tr w:rsidR="005D6EAF" w:rsidRPr="008C242D" w:rsidTr="00F52B43">
        <w:trPr>
          <w:trHeight w:val="278"/>
        </w:trPr>
        <w:tc>
          <w:tcPr>
            <w:tcW w:w="382" w:type="pct"/>
            <w:vMerge w:val="restart"/>
            <w:shd w:val="clear" w:color="auto" w:fill="D9D9D9"/>
            <w:noWrap/>
          </w:tcPr>
          <w:p w:rsidR="008C242D" w:rsidRPr="00AC1365" w:rsidRDefault="008C242D" w:rsidP="005D6EAF">
            <w:pPr>
              <w:spacing w:after="0" w:line="240" w:lineRule="auto"/>
              <w:rPr>
                <w:rFonts w:ascii="Times New Roman" w:hAnsi="Times New Roman"/>
                <w:b/>
                <w:bCs/>
                <w:sz w:val="18"/>
                <w:szCs w:val="18"/>
              </w:rPr>
            </w:pPr>
          </w:p>
        </w:tc>
        <w:tc>
          <w:tcPr>
            <w:tcW w:w="567" w:type="pct"/>
            <w:vMerge w:val="restart"/>
            <w:shd w:val="clear" w:color="auto" w:fill="D9D9D9"/>
            <w:noWrap/>
          </w:tcPr>
          <w:p w:rsidR="008C242D" w:rsidRPr="00AC1365" w:rsidRDefault="008C242D" w:rsidP="005D6EAF">
            <w:pPr>
              <w:spacing w:after="0" w:line="240" w:lineRule="auto"/>
              <w:jc w:val="center"/>
              <w:rPr>
                <w:rFonts w:ascii="Times New Roman" w:hAnsi="Times New Roman"/>
                <w:b/>
                <w:bCs/>
                <w:sz w:val="18"/>
                <w:szCs w:val="18"/>
              </w:rPr>
            </w:pPr>
          </w:p>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No. of Evaluations</w:t>
            </w:r>
          </w:p>
        </w:tc>
        <w:tc>
          <w:tcPr>
            <w:tcW w:w="516" w:type="pct"/>
            <w:vMerge w:val="restart"/>
            <w:shd w:val="clear" w:color="auto" w:fill="D9D9D9"/>
            <w:noWrap/>
          </w:tcPr>
          <w:p w:rsidR="008C242D" w:rsidRPr="00AC1365" w:rsidRDefault="008C242D" w:rsidP="005D6EAF">
            <w:pPr>
              <w:spacing w:after="0" w:line="240" w:lineRule="auto"/>
              <w:jc w:val="center"/>
              <w:rPr>
                <w:rFonts w:ascii="Times New Roman" w:hAnsi="Times New Roman"/>
                <w:b/>
                <w:bCs/>
                <w:sz w:val="18"/>
                <w:szCs w:val="18"/>
              </w:rPr>
            </w:pPr>
          </w:p>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Mgmt. Response Status</w:t>
            </w:r>
          </w:p>
        </w:tc>
        <w:tc>
          <w:tcPr>
            <w:tcW w:w="378" w:type="pct"/>
            <w:vMerge w:val="restart"/>
            <w:shd w:val="clear" w:color="auto" w:fill="D9D9D9"/>
            <w:noWrap/>
          </w:tcPr>
          <w:p w:rsidR="008C242D" w:rsidRPr="00AC1365" w:rsidRDefault="008C242D" w:rsidP="005D6EAF">
            <w:pPr>
              <w:spacing w:after="0" w:line="240" w:lineRule="auto"/>
              <w:jc w:val="center"/>
              <w:rPr>
                <w:rFonts w:ascii="Times New Roman" w:hAnsi="Times New Roman"/>
                <w:b/>
                <w:bCs/>
                <w:sz w:val="18"/>
                <w:szCs w:val="18"/>
              </w:rPr>
            </w:pPr>
          </w:p>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No. of Key Actions</w:t>
            </w:r>
          </w:p>
        </w:tc>
        <w:tc>
          <w:tcPr>
            <w:tcW w:w="3157" w:type="pct"/>
            <w:gridSpan w:val="6"/>
            <w:shd w:val="clear" w:color="auto" w:fill="D9D9D9"/>
            <w:noWrap/>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STATUS OF KEY ACTIONS</w:t>
            </w:r>
          </w:p>
        </w:tc>
      </w:tr>
      <w:tr w:rsidR="009D0CB6" w:rsidRPr="008C242D" w:rsidTr="00F52B43">
        <w:trPr>
          <w:trHeight w:val="278"/>
        </w:trPr>
        <w:tc>
          <w:tcPr>
            <w:tcW w:w="382" w:type="pct"/>
            <w:vMerge/>
            <w:shd w:val="clear" w:color="auto" w:fill="D9D9D9"/>
            <w:noWrap/>
            <w:hideMark/>
          </w:tcPr>
          <w:p w:rsidR="008C242D" w:rsidRPr="00AC1365" w:rsidRDefault="008C242D" w:rsidP="005D6EAF">
            <w:pPr>
              <w:spacing w:after="0" w:line="240" w:lineRule="auto"/>
              <w:rPr>
                <w:rFonts w:ascii="Times New Roman" w:hAnsi="Times New Roman"/>
                <w:b/>
                <w:bCs/>
                <w:sz w:val="18"/>
                <w:szCs w:val="18"/>
              </w:rPr>
            </w:pPr>
          </w:p>
        </w:tc>
        <w:tc>
          <w:tcPr>
            <w:tcW w:w="567" w:type="pct"/>
            <w:vMerge/>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p>
        </w:tc>
        <w:tc>
          <w:tcPr>
            <w:tcW w:w="516" w:type="pct"/>
            <w:vMerge/>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p>
        </w:tc>
        <w:tc>
          <w:tcPr>
            <w:tcW w:w="378" w:type="pct"/>
            <w:vMerge/>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p>
        </w:tc>
        <w:tc>
          <w:tcPr>
            <w:tcW w:w="575"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Completed</w:t>
            </w:r>
          </w:p>
        </w:tc>
        <w:tc>
          <w:tcPr>
            <w:tcW w:w="504"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Ongoing</w:t>
            </w:r>
          </w:p>
        </w:tc>
        <w:tc>
          <w:tcPr>
            <w:tcW w:w="471"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Initiated</w:t>
            </w:r>
          </w:p>
        </w:tc>
        <w:tc>
          <w:tcPr>
            <w:tcW w:w="631"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No Longer Applicable</w:t>
            </w:r>
          </w:p>
        </w:tc>
        <w:tc>
          <w:tcPr>
            <w:tcW w:w="497"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Overdue</w:t>
            </w:r>
          </w:p>
        </w:tc>
        <w:tc>
          <w:tcPr>
            <w:tcW w:w="479" w:type="pct"/>
            <w:shd w:val="clear" w:color="auto" w:fill="D9D9D9"/>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Sum of Not Initiated</w:t>
            </w:r>
          </w:p>
        </w:tc>
      </w:tr>
      <w:tr w:rsidR="00AC1365" w:rsidRPr="008C242D" w:rsidTr="00F52B43">
        <w:trPr>
          <w:trHeight w:val="278"/>
        </w:trPr>
        <w:tc>
          <w:tcPr>
            <w:tcW w:w="382"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E607F8">
              <w:rPr>
                <w:rFonts w:ascii="Times New Roman" w:hAnsi="Times New Roman"/>
                <w:b/>
                <w:bCs/>
                <w:sz w:val="16"/>
                <w:szCs w:val="16"/>
              </w:rPr>
              <w:t>Grand</w:t>
            </w:r>
            <w:r w:rsidRPr="00AC1365">
              <w:rPr>
                <w:rFonts w:ascii="Times New Roman" w:hAnsi="Times New Roman"/>
                <w:b/>
                <w:bCs/>
                <w:sz w:val="18"/>
                <w:szCs w:val="18"/>
              </w:rPr>
              <w:t xml:space="preserve"> Total</w:t>
            </w:r>
          </w:p>
        </w:tc>
        <w:tc>
          <w:tcPr>
            <w:tcW w:w="567"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228</w:t>
            </w:r>
          </w:p>
        </w:tc>
        <w:tc>
          <w:tcPr>
            <w:tcW w:w="516"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180</w:t>
            </w:r>
          </w:p>
        </w:tc>
        <w:tc>
          <w:tcPr>
            <w:tcW w:w="378"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1,379</w:t>
            </w:r>
          </w:p>
        </w:tc>
        <w:tc>
          <w:tcPr>
            <w:tcW w:w="575"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305</w:t>
            </w:r>
          </w:p>
        </w:tc>
        <w:tc>
          <w:tcPr>
            <w:tcW w:w="504"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192</w:t>
            </w:r>
          </w:p>
        </w:tc>
        <w:tc>
          <w:tcPr>
            <w:tcW w:w="471"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264</w:t>
            </w:r>
          </w:p>
        </w:tc>
        <w:tc>
          <w:tcPr>
            <w:tcW w:w="631"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16</w:t>
            </w:r>
          </w:p>
        </w:tc>
        <w:tc>
          <w:tcPr>
            <w:tcW w:w="497"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403</w:t>
            </w:r>
          </w:p>
        </w:tc>
        <w:tc>
          <w:tcPr>
            <w:tcW w:w="479" w:type="pct"/>
            <w:shd w:val="clear" w:color="auto" w:fill="auto"/>
            <w:noWrap/>
            <w:hideMark/>
          </w:tcPr>
          <w:p w:rsidR="008C242D" w:rsidRPr="00AC1365" w:rsidRDefault="008C242D" w:rsidP="005D6EAF">
            <w:pPr>
              <w:spacing w:after="0" w:line="240" w:lineRule="auto"/>
              <w:jc w:val="center"/>
              <w:rPr>
                <w:rFonts w:ascii="Times New Roman" w:hAnsi="Times New Roman"/>
                <w:b/>
                <w:bCs/>
                <w:sz w:val="18"/>
                <w:szCs w:val="18"/>
              </w:rPr>
            </w:pPr>
            <w:r w:rsidRPr="00AC1365">
              <w:rPr>
                <w:rFonts w:ascii="Times New Roman" w:hAnsi="Times New Roman"/>
                <w:b/>
                <w:bCs/>
                <w:sz w:val="18"/>
                <w:szCs w:val="18"/>
              </w:rPr>
              <w:t>199</w:t>
            </w:r>
          </w:p>
        </w:tc>
      </w:tr>
      <w:tr w:rsidR="005D6EAF" w:rsidRPr="008C242D" w:rsidTr="009D0CB6">
        <w:trPr>
          <w:trHeight w:val="278"/>
        </w:trPr>
        <w:tc>
          <w:tcPr>
            <w:tcW w:w="5000" w:type="pct"/>
            <w:gridSpan w:val="10"/>
            <w:shd w:val="clear" w:color="auto" w:fill="auto"/>
            <w:noWrap/>
          </w:tcPr>
          <w:p w:rsidR="008C242D" w:rsidRPr="00AC1365" w:rsidRDefault="008C242D" w:rsidP="005D6EAF">
            <w:pPr>
              <w:spacing w:after="0" w:line="240" w:lineRule="auto"/>
              <w:rPr>
                <w:rFonts w:ascii="Times New Roman" w:hAnsi="Times New Roman"/>
                <w:b/>
                <w:bCs/>
                <w:i/>
                <w:sz w:val="18"/>
                <w:szCs w:val="18"/>
              </w:rPr>
            </w:pPr>
            <w:r w:rsidRPr="00AC1365">
              <w:rPr>
                <w:rFonts w:ascii="Times New Roman" w:hAnsi="Times New Roman"/>
                <w:b/>
                <w:bCs/>
                <w:i/>
                <w:sz w:val="18"/>
                <w:szCs w:val="18"/>
              </w:rPr>
              <w:t>*Data based on Evaluation Resource Centre Extractions as of March, 2015</w:t>
            </w:r>
          </w:p>
        </w:tc>
      </w:tr>
    </w:tbl>
    <w:p w:rsidR="00E37C46" w:rsidRPr="00E65479" w:rsidRDefault="00E37C46" w:rsidP="00B86F2A">
      <w:pPr>
        <w:tabs>
          <w:tab w:val="left" w:pos="360"/>
        </w:tabs>
        <w:spacing w:after="0" w:line="240" w:lineRule="auto"/>
        <w:contextualSpacing/>
        <w:jc w:val="both"/>
        <w:rPr>
          <w:rFonts w:ascii="Times New Roman" w:eastAsia="Batang" w:hAnsi="Times New Roman"/>
          <w:lang w:eastAsia="ko-KR"/>
        </w:rPr>
      </w:pPr>
    </w:p>
    <w:p w:rsidR="00877925" w:rsidRDefault="00877925" w:rsidP="00C87F0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877925">
        <w:rPr>
          <w:rFonts w:ascii="Times New Roman" w:eastAsia="Batang" w:hAnsi="Times New Roman"/>
          <w:lang w:eastAsia="ko-KR"/>
        </w:rPr>
        <w:t xml:space="preserve">UNDP reaffirms its commitment to address in a timely manner the findings and recommendations from the annual report on evaluation and </w:t>
      </w:r>
      <w:r w:rsidR="00FC3CCD">
        <w:rPr>
          <w:rFonts w:ascii="Times New Roman" w:eastAsia="Batang" w:hAnsi="Times New Roman"/>
          <w:lang w:eastAsia="ko-KR"/>
        </w:rPr>
        <w:t xml:space="preserve">to achieve </w:t>
      </w:r>
      <w:r w:rsidRPr="00877925">
        <w:rPr>
          <w:rFonts w:ascii="Times New Roman" w:eastAsia="Batang" w:hAnsi="Times New Roman"/>
          <w:lang w:eastAsia="ko-KR"/>
        </w:rPr>
        <w:t xml:space="preserve">full evaluation compliance across </w:t>
      </w:r>
      <w:r w:rsidR="00E37C46">
        <w:rPr>
          <w:rFonts w:ascii="Times New Roman" w:eastAsia="Batang" w:hAnsi="Times New Roman"/>
          <w:lang w:eastAsia="ko-KR"/>
        </w:rPr>
        <w:t xml:space="preserve">all </w:t>
      </w:r>
      <w:r w:rsidRPr="00877925">
        <w:rPr>
          <w:rFonts w:ascii="Times New Roman" w:eastAsia="Batang" w:hAnsi="Times New Roman"/>
          <w:lang w:eastAsia="ko-KR"/>
        </w:rPr>
        <w:t xml:space="preserve">units. </w:t>
      </w:r>
      <w:r w:rsidR="008E17D8" w:rsidRPr="008E17D8">
        <w:rPr>
          <w:rFonts w:ascii="Times New Roman" w:eastAsia="Batang" w:hAnsi="Times New Roman"/>
          <w:lang w:eastAsia="ko-KR"/>
        </w:rPr>
        <w:t xml:space="preserve">UNDP management </w:t>
      </w:r>
      <w:r w:rsidR="00FC3CCD">
        <w:rPr>
          <w:rFonts w:ascii="Times New Roman" w:eastAsia="Batang" w:hAnsi="Times New Roman"/>
          <w:lang w:eastAsia="ko-KR"/>
        </w:rPr>
        <w:t>further commits to undertak</w:t>
      </w:r>
      <w:r w:rsidR="00E607F8">
        <w:rPr>
          <w:rFonts w:ascii="Times New Roman" w:eastAsia="Batang" w:hAnsi="Times New Roman"/>
          <w:lang w:eastAsia="ko-KR"/>
        </w:rPr>
        <w:t>ing</w:t>
      </w:r>
      <w:r w:rsidR="008E17D8" w:rsidRPr="008E17D8">
        <w:rPr>
          <w:rFonts w:ascii="Times New Roman" w:eastAsia="Batang" w:hAnsi="Times New Roman"/>
          <w:lang w:eastAsia="ko-KR"/>
        </w:rPr>
        <w:t xml:space="preserve"> sustained efforts to tackle the implementation of management response key actions</w:t>
      </w:r>
      <w:r w:rsidR="00FC3CCD">
        <w:rPr>
          <w:rFonts w:ascii="Times New Roman" w:eastAsia="Batang" w:hAnsi="Times New Roman"/>
          <w:lang w:eastAsia="ko-KR"/>
        </w:rPr>
        <w:t>, in particular the</w:t>
      </w:r>
      <w:r w:rsidR="00E607F8">
        <w:rPr>
          <w:rFonts w:ascii="Times New Roman" w:eastAsia="Batang" w:hAnsi="Times New Roman"/>
          <w:lang w:eastAsia="ko-KR"/>
        </w:rPr>
        <w:t xml:space="preserve"> </w:t>
      </w:r>
      <w:r w:rsidR="008E17D8" w:rsidRPr="008E17D8">
        <w:rPr>
          <w:rFonts w:ascii="Times New Roman" w:eastAsia="Batang" w:hAnsi="Times New Roman"/>
          <w:lang w:eastAsia="ko-KR"/>
        </w:rPr>
        <w:t xml:space="preserve">overdue </w:t>
      </w:r>
      <w:r w:rsidR="00E37C46" w:rsidRPr="008E17D8">
        <w:rPr>
          <w:rFonts w:ascii="Times New Roman" w:eastAsia="Batang" w:hAnsi="Times New Roman"/>
          <w:lang w:eastAsia="ko-KR"/>
        </w:rPr>
        <w:t xml:space="preserve">key </w:t>
      </w:r>
      <w:r w:rsidR="002559A1">
        <w:rPr>
          <w:rFonts w:ascii="Times New Roman" w:eastAsia="Batang" w:hAnsi="Times New Roman"/>
          <w:lang w:eastAsia="ko-KR"/>
        </w:rPr>
        <w:t xml:space="preserve">management response </w:t>
      </w:r>
      <w:r w:rsidR="008E17D8" w:rsidRPr="008E17D8">
        <w:rPr>
          <w:rFonts w:ascii="Times New Roman" w:eastAsia="Batang" w:hAnsi="Times New Roman"/>
          <w:lang w:eastAsia="ko-KR"/>
        </w:rPr>
        <w:t xml:space="preserve">actions. </w:t>
      </w:r>
    </w:p>
    <w:p w:rsidR="00560D19" w:rsidRDefault="008A2CF4" w:rsidP="003C3533">
      <w:pPr>
        <w:tabs>
          <w:tab w:val="left" w:pos="360"/>
        </w:tabs>
        <w:spacing w:after="0" w:line="240" w:lineRule="auto"/>
        <w:contextualSpacing/>
        <w:jc w:val="both"/>
        <w:rPr>
          <w:rFonts w:ascii="Times New Roman" w:eastAsia="Batang" w:hAnsi="Times New Roman"/>
          <w:lang w:eastAsia="ko-KR"/>
        </w:rPr>
      </w:pPr>
      <w:r>
        <w:rPr>
          <w:rFonts w:ascii="Times New Roman" w:eastAsia="Batang" w:hAnsi="Times New Roman"/>
          <w:lang w:eastAsia="ko-KR"/>
        </w:rPr>
        <w:tab/>
      </w:r>
    </w:p>
    <w:p w:rsidR="005E524D" w:rsidRDefault="005E524D" w:rsidP="0067034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5E524D">
        <w:rPr>
          <w:rFonts w:ascii="Times New Roman" w:eastAsia="Batang" w:hAnsi="Times New Roman"/>
          <w:lang w:eastAsia="ko-KR"/>
        </w:rPr>
        <w:t xml:space="preserve">The </w:t>
      </w:r>
      <w:r w:rsidR="00E37C46">
        <w:rPr>
          <w:rFonts w:ascii="Times New Roman" w:eastAsia="Batang" w:hAnsi="Times New Roman"/>
          <w:lang w:eastAsia="ko-KR"/>
        </w:rPr>
        <w:t xml:space="preserve">status </w:t>
      </w:r>
      <w:r w:rsidR="0099389D">
        <w:rPr>
          <w:rFonts w:ascii="Times New Roman" w:eastAsia="Batang" w:hAnsi="Times New Roman"/>
          <w:lang w:eastAsia="ko-KR"/>
        </w:rPr>
        <w:t xml:space="preserve">of </w:t>
      </w:r>
      <w:r w:rsidRPr="005E524D">
        <w:rPr>
          <w:rFonts w:ascii="Times New Roman" w:eastAsia="Batang" w:hAnsi="Times New Roman"/>
          <w:lang w:eastAsia="ko-KR"/>
        </w:rPr>
        <w:t xml:space="preserve">management response </w:t>
      </w:r>
      <w:r w:rsidR="0099389D">
        <w:rPr>
          <w:rFonts w:ascii="Times New Roman" w:eastAsia="Batang" w:hAnsi="Times New Roman"/>
          <w:lang w:eastAsia="ko-KR"/>
        </w:rPr>
        <w:t xml:space="preserve">actions </w:t>
      </w:r>
      <w:r w:rsidR="00E37C46">
        <w:rPr>
          <w:rFonts w:ascii="Times New Roman" w:eastAsia="Batang" w:hAnsi="Times New Roman"/>
          <w:lang w:eastAsia="ko-KR"/>
        </w:rPr>
        <w:t>committed to within</w:t>
      </w:r>
      <w:r w:rsidR="00E37C46" w:rsidRPr="005E524D">
        <w:rPr>
          <w:rFonts w:ascii="Times New Roman" w:eastAsia="Batang" w:hAnsi="Times New Roman"/>
          <w:lang w:eastAsia="ko-KR"/>
        </w:rPr>
        <w:t xml:space="preserve"> </w:t>
      </w:r>
      <w:r>
        <w:rPr>
          <w:rFonts w:ascii="Times New Roman" w:eastAsia="Batang" w:hAnsi="Times New Roman"/>
          <w:lang w:eastAsia="ko-KR"/>
        </w:rPr>
        <w:t xml:space="preserve">independent </w:t>
      </w:r>
      <w:r w:rsidRPr="005E524D">
        <w:rPr>
          <w:rFonts w:ascii="Times New Roman" w:eastAsia="Batang" w:hAnsi="Times New Roman"/>
          <w:lang w:eastAsia="ko-KR"/>
        </w:rPr>
        <w:t xml:space="preserve">evaluations </w:t>
      </w:r>
      <w:r w:rsidR="00E37C46">
        <w:rPr>
          <w:rFonts w:ascii="Times New Roman" w:eastAsia="Batang" w:hAnsi="Times New Roman"/>
          <w:lang w:eastAsia="ko-KR"/>
        </w:rPr>
        <w:t xml:space="preserve">is </w:t>
      </w:r>
      <w:r w:rsidRPr="005E524D">
        <w:rPr>
          <w:rFonts w:ascii="Times New Roman" w:eastAsia="Batang" w:hAnsi="Times New Roman"/>
          <w:lang w:eastAsia="ko-KR"/>
        </w:rPr>
        <w:t>briefly summarized below. Details of UNDP commitments to address issues identified in the</w:t>
      </w:r>
      <w:r>
        <w:rPr>
          <w:rFonts w:ascii="Times New Roman" w:eastAsia="Batang" w:hAnsi="Times New Roman"/>
          <w:lang w:eastAsia="ko-KR"/>
        </w:rPr>
        <w:t>se</w:t>
      </w:r>
      <w:r w:rsidRPr="005E524D">
        <w:rPr>
          <w:rFonts w:ascii="Times New Roman" w:eastAsia="Batang" w:hAnsi="Times New Roman"/>
          <w:lang w:eastAsia="ko-KR"/>
        </w:rPr>
        <w:t xml:space="preserve"> evaluations can be found in the full management response reports available in the E</w:t>
      </w:r>
      <w:r>
        <w:rPr>
          <w:rFonts w:ascii="Times New Roman" w:eastAsia="Batang" w:hAnsi="Times New Roman"/>
          <w:lang w:eastAsia="ko-KR"/>
        </w:rPr>
        <w:t xml:space="preserve">valuation </w:t>
      </w:r>
      <w:r w:rsidRPr="005E524D">
        <w:rPr>
          <w:rFonts w:ascii="Times New Roman" w:eastAsia="Batang" w:hAnsi="Times New Roman"/>
          <w:lang w:eastAsia="ko-KR"/>
        </w:rPr>
        <w:t>R</w:t>
      </w:r>
      <w:r>
        <w:rPr>
          <w:rFonts w:ascii="Times New Roman" w:eastAsia="Batang" w:hAnsi="Times New Roman"/>
          <w:lang w:eastAsia="ko-KR"/>
        </w:rPr>
        <w:t xml:space="preserve">esource </w:t>
      </w:r>
      <w:r w:rsidRPr="005E524D">
        <w:rPr>
          <w:rFonts w:ascii="Times New Roman" w:eastAsia="Batang" w:hAnsi="Times New Roman"/>
          <w:lang w:eastAsia="ko-KR"/>
        </w:rPr>
        <w:t>C</w:t>
      </w:r>
      <w:r>
        <w:rPr>
          <w:rFonts w:ascii="Times New Roman" w:eastAsia="Batang" w:hAnsi="Times New Roman"/>
          <w:lang w:eastAsia="ko-KR"/>
        </w:rPr>
        <w:t>enter</w:t>
      </w:r>
      <w:r w:rsidRPr="005E524D">
        <w:rPr>
          <w:rFonts w:ascii="Times New Roman" w:eastAsia="Batang" w:hAnsi="Times New Roman"/>
          <w:lang w:eastAsia="ko-KR"/>
        </w:rPr>
        <w:t>.</w:t>
      </w:r>
    </w:p>
    <w:p w:rsidR="005A61BC" w:rsidRDefault="005A61BC" w:rsidP="003C3533">
      <w:pPr>
        <w:tabs>
          <w:tab w:val="left" w:pos="360"/>
        </w:tabs>
        <w:spacing w:after="0" w:line="240" w:lineRule="auto"/>
        <w:contextualSpacing/>
        <w:jc w:val="both"/>
        <w:rPr>
          <w:rFonts w:ascii="Times New Roman" w:eastAsia="Batang" w:hAnsi="Times New Roman"/>
          <w:i/>
          <w:lang w:eastAsia="ko-KR"/>
        </w:rPr>
      </w:pPr>
    </w:p>
    <w:p w:rsidR="003927E4" w:rsidRPr="003927E4" w:rsidRDefault="00E37C46" w:rsidP="003C3533">
      <w:pPr>
        <w:tabs>
          <w:tab w:val="left" w:pos="360"/>
        </w:tabs>
        <w:spacing w:after="0" w:line="240" w:lineRule="auto"/>
        <w:contextualSpacing/>
        <w:jc w:val="both"/>
        <w:rPr>
          <w:rFonts w:ascii="Times New Roman" w:eastAsia="Batang" w:hAnsi="Times New Roman"/>
          <w:i/>
          <w:lang w:eastAsia="ko-KR"/>
        </w:rPr>
      </w:pPr>
      <w:r>
        <w:rPr>
          <w:rFonts w:ascii="Times New Roman" w:eastAsia="Batang" w:hAnsi="Times New Roman"/>
          <w:i/>
          <w:lang w:eastAsia="ko-KR"/>
        </w:rPr>
        <w:t>Status</w:t>
      </w:r>
      <w:r w:rsidRPr="003927E4">
        <w:rPr>
          <w:rFonts w:ascii="Times New Roman" w:eastAsia="Batang" w:hAnsi="Times New Roman"/>
          <w:i/>
          <w:lang w:eastAsia="ko-KR"/>
        </w:rPr>
        <w:t xml:space="preserve"> </w:t>
      </w:r>
      <w:r w:rsidR="003927E4" w:rsidRPr="003927E4">
        <w:rPr>
          <w:rFonts w:ascii="Times New Roman" w:eastAsia="Batang" w:hAnsi="Times New Roman"/>
          <w:i/>
          <w:lang w:eastAsia="ko-KR"/>
        </w:rPr>
        <w:t xml:space="preserve">of </w:t>
      </w:r>
      <w:r>
        <w:rPr>
          <w:rFonts w:ascii="Times New Roman" w:eastAsia="Batang" w:hAnsi="Times New Roman"/>
          <w:i/>
          <w:lang w:eastAsia="ko-KR"/>
        </w:rPr>
        <w:t>implementation of</w:t>
      </w:r>
      <w:r w:rsidRPr="003927E4">
        <w:rPr>
          <w:rFonts w:ascii="Times New Roman" w:eastAsia="Batang" w:hAnsi="Times New Roman"/>
          <w:i/>
          <w:lang w:eastAsia="ko-KR"/>
        </w:rPr>
        <w:t xml:space="preserve"> </w:t>
      </w:r>
      <w:r>
        <w:rPr>
          <w:rFonts w:ascii="Times New Roman" w:eastAsia="Batang" w:hAnsi="Times New Roman"/>
          <w:i/>
          <w:lang w:eastAsia="ko-KR"/>
        </w:rPr>
        <w:t>Management Response commitments for</w:t>
      </w:r>
      <w:r w:rsidRPr="003927E4">
        <w:rPr>
          <w:rFonts w:ascii="Times New Roman" w:eastAsia="Batang" w:hAnsi="Times New Roman"/>
          <w:i/>
          <w:lang w:eastAsia="ko-KR"/>
        </w:rPr>
        <w:t xml:space="preserve"> </w:t>
      </w:r>
      <w:r w:rsidR="003927E4" w:rsidRPr="003927E4">
        <w:rPr>
          <w:rFonts w:ascii="Times New Roman" w:eastAsia="Batang" w:hAnsi="Times New Roman"/>
          <w:i/>
          <w:lang w:eastAsia="ko-KR"/>
        </w:rPr>
        <w:t>independent evaluations completed in 2012</w:t>
      </w:r>
      <w:r w:rsidR="008B4102">
        <w:rPr>
          <w:rFonts w:ascii="Times New Roman" w:eastAsia="Batang" w:hAnsi="Times New Roman"/>
          <w:i/>
          <w:lang w:eastAsia="ko-KR"/>
        </w:rPr>
        <w:t>, 2013 and 2014</w:t>
      </w:r>
      <w:r w:rsidR="003927E4" w:rsidRPr="003927E4">
        <w:rPr>
          <w:rFonts w:ascii="Times New Roman" w:eastAsia="Batang" w:hAnsi="Times New Roman"/>
          <w:i/>
          <w:lang w:eastAsia="ko-KR"/>
        </w:rPr>
        <w:t xml:space="preserve">: </w:t>
      </w:r>
    </w:p>
    <w:p w:rsidR="008B4102" w:rsidRDefault="003927E4" w:rsidP="003C3533">
      <w:pPr>
        <w:tabs>
          <w:tab w:val="left" w:pos="360"/>
        </w:tabs>
        <w:spacing w:after="0" w:line="240" w:lineRule="auto"/>
        <w:contextualSpacing/>
        <w:jc w:val="both"/>
        <w:rPr>
          <w:rFonts w:ascii="Times New Roman" w:eastAsia="Batang" w:hAnsi="Times New Roman"/>
          <w:lang w:eastAsia="ko-KR"/>
        </w:rPr>
      </w:pPr>
      <w:r>
        <w:rPr>
          <w:rFonts w:ascii="Times New Roman" w:eastAsia="Batang" w:hAnsi="Times New Roman"/>
          <w:lang w:eastAsia="ko-KR"/>
        </w:rPr>
        <w:t xml:space="preserve"> </w:t>
      </w:r>
    </w:p>
    <w:p w:rsidR="00560D19" w:rsidRDefault="00560D19" w:rsidP="00EF0F8E">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2B0A4C">
        <w:rPr>
          <w:rFonts w:ascii="Times New Roman" w:eastAsia="Batang" w:hAnsi="Times New Roman"/>
          <w:b/>
          <w:lang w:eastAsia="ko-KR"/>
        </w:rPr>
        <w:t>The Evaluation of the UNDP strategic plan, 2008-2013</w:t>
      </w:r>
      <w:r w:rsidR="00A6361B">
        <w:rPr>
          <w:rFonts w:ascii="Times New Roman" w:eastAsia="Batang" w:hAnsi="Times New Roman"/>
          <w:b/>
          <w:lang w:eastAsia="ko-KR"/>
        </w:rPr>
        <w:t xml:space="preserve">. </w:t>
      </w:r>
      <w:r w:rsidR="00A6361B" w:rsidRPr="00A6361B">
        <w:rPr>
          <w:rFonts w:ascii="Times New Roman" w:eastAsia="Batang" w:hAnsi="Times New Roman"/>
          <w:i/>
          <w:lang w:eastAsia="ko-KR"/>
        </w:rPr>
        <w:t>(completed in 2012)</w:t>
      </w:r>
      <w:r w:rsidR="00A6361B">
        <w:rPr>
          <w:rFonts w:ascii="Times New Roman" w:eastAsia="Batang" w:hAnsi="Times New Roman"/>
          <w:i/>
          <w:lang w:eastAsia="ko-KR"/>
        </w:rPr>
        <w:t xml:space="preserve"> </w:t>
      </w:r>
      <w:r w:rsidRPr="002B0A4C">
        <w:rPr>
          <w:rFonts w:ascii="Times New Roman" w:eastAsia="Batang" w:hAnsi="Times New Roman"/>
          <w:lang w:eastAsia="ko-KR"/>
        </w:rPr>
        <w:t xml:space="preserve">The </w:t>
      </w:r>
      <w:r w:rsidR="003927E4" w:rsidRPr="002B0A4C">
        <w:rPr>
          <w:rFonts w:ascii="Times New Roman" w:eastAsia="Batang" w:hAnsi="Times New Roman"/>
          <w:lang w:eastAsia="ko-KR"/>
        </w:rPr>
        <w:t xml:space="preserve">UNDP </w:t>
      </w:r>
      <w:r w:rsidRPr="002B0A4C">
        <w:rPr>
          <w:rFonts w:ascii="Times New Roman" w:eastAsia="Batang" w:hAnsi="Times New Roman"/>
          <w:lang w:eastAsia="ko-KR"/>
        </w:rPr>
        <w:t>strategic plan set a clear direction for UNDP and</w:t>
      </w:r>
      <w:r w:rsidR="003927E4" w:rsidRPr="002B0A4C">
        <w:rPr>
          <w:rFonts w:ascii="Times New Roman" w:eastAsia="Batang" w:hAnsi="Times New Roman"/>
          <w:lang w:eastAsia="ko-KR"/>
        </w:rPr>
        <w:t xml:space="preserve"> </w:t>
      </w:r>
      <w:r w:rsidRPr="002B0A4C">
        <w:rPr>
          <w:rFonts w:ascii="Times New Roman" w:eastAsia="Batang" w:hAnsi="Times New Roman"/>
          <w:lang w:eastAsia="ko-KR"/>
        </w:rPr>
        <w:t>provide</w:t>
      </w:r>
      <w:r w:rsidR="009D0CB6">
        <w:rPr>
          <w:rFonts w:ascii="Times New Roman" w:eastAsia="Batang" w:hAnsi="Times New Roman"/>
          <w:lang w:eastAsia="ko-KR"/>
        </w:rPr>
        <w:t>d</w:t>
      </w:r>
      <w:r w:rsidRPr="002B0A4C">
        <w:rPr>
          <w:rFonts w:ascii="Times New Roman" w:eastAsia="Batang" w:hAnsi="Times New Roman"/>
          <w:lang w:eastAsia="ko-KR"/>
        </w:rPr>
        <w:t xml:space="preserve"> a stronger results framework against which to monitor and report UNDP results. UNDP buil</w:t>
      </w:r>
      <w:r w:rsidR="00D817F4">
        <w:rPr>
          <w:rFonts w:ascii="Times New Roman" w:eastAsia="Batang" w:hAnsi="Times New Roman"/>
          <w:lang w:eastAsia="ko-KR"/>
        </w:rPr>
        <w:t>t</w:t>
      </w:r>
      <w:r w:rsidRPr="002B0A4C">
        <w:rPr>
          <w:rFonts w:ascii="Times New Roman" w:eastAsia="Batang" w:hAnsi="Times New Roman"/>
          <w:lang w:eastAsia="ko-KR"/>
        </w:rPr>
        <w:t xml:space="preserve"> on the significant efforts to date with regard to </w:t>
      </w:r>
      <w:r w:rsidR="00E37C46">
        <w:rPr>
          <w:rFonts w:ascii="Times New Roman" w:eastAsia="Batang" w:hAnsi="Times New Roman"/>
          <w:lang w:eastAsia="ko-KR"/>
        </w:rPr>
        <w:t xml:space="preserve">key areas such as </w:t>
      </w:r>
      <w:r w:rsidRPr="002B0A4C">
        <w:rPr>
          <w:rFonts w:ascii="Times New Roman" w:eastAsia="Batang" w:hAnsi="Times New Roman"/>
          <w:lang w:eastAsia="ko-KR"/>
        </w:rPr>
        <w:t>gender and capacity development, to ensure that lessons from mainstreaming and integrated programming, including for more sustainable results</w:t>
      </w:r>
      <w:r w:rsidR="00E37C46">
        <w:rPr>
          <w:rFonts w:ascii="Times New Roman" w:eastAsia="Batang" w:hAnsi="Times New Roman"/>
          <w:lang w:eastAsia="ko-KR"/>
        </w:rPr>
        <w:t>, are full</w:t>
      </w:r>
      <w:r w:rsidR="00D817F4">
        <w:rPr>
          <w:rFonts w:ascii="Times New Roman" w:eastAsia="Batang" w:hAnsi="Times New Roman"/>
          <w:lang w:eastAsia="ko-KR"/>
        </w:rPr>
        <w:t>y</w:t>
      </w:r>
      <w:r w:rsidR="00E37C46">
        <w:rPr>
          <w:rFonts w:ascii="Times New Roman" w:eastAsia="Batang" w:hAnsi="Times New Roman"/>
          <w:lang w:eastAsia="ko-KR"/>
        </w:rPr>
        <w:t xml:space="preserve"> absorbed and factored into new programming</w:t>
      </w:r>
      <w:r w:rsidRPr="002B0A4C">
        <w:rPr>
          <w:rFonts w:ascii="Times New Roman" w:eastAsia="Batang" w:hAnsi="Times New Roman"/>
          <w:lang w:eastAsia="ko-KR"/>
        </w:rPr>
        <w:t xml:space="preserve">.  </w:t>
      </w:r>
      <w:r w:rsidR="002E33EB" w:rsidRPr="002E33EB">
        <w:rPr>
          <w:rFonts w:ascii="Times New Roman" w:eastAsia="Batang" w:hAnsi="Times New Roman"/>
          <w:lang w:eastAsia="ko-KR"/>
        </w:rPr>
        <w:t xml:space="preserve">UNDP committed to implement </w:t>
      </w:r>
      <w:r w:rsidR="002E33EB">
        <w:rPr>
          <w:rFonts w:ascii="Times New Roman" w:eastAsia="Batang" w:hAnsi="Times New Roman"/>
          <w:lang w:eastAsia="ko-KR"/>
        </w:rPr>
        <w:t>11</w:t>
      </w:r>
      <w:r w:rsidR="002E33EB" w:rsidRPr="002E33EB">
        <w:rPr>
          <w:rFonts w:ascii="Times New Roman" w:eastAsia="Batang" w:hAnsi="Times New Roman"/>
          <w:lang w:eastAsia="ko-KR"/>
        </w:rPr>
        <w:t xml:space="preserve"> key actions, of which </w:t>
      </w:r>
      <w:r w:rsidR="002E33EB">
        <w:rPr>
          <w:rFonts w:ascii="Times New Roman" w:eastAsia="Batang" w:hAnsi="Times New Roman"/>
          <w:lang w:eastAsia="ko-KR"/>
        </w:rPr>
        <w:t>9</w:t>
      </w:r>
      <w:r w:rsidR="002E33EB" w:rsidRPr="002E33EB">
        <w:rPr>
          <w:rFonts w:ascii="Times New Roman" w:eastAsia="Batang" w:hAnsi="Times New Roman"/>
          <w:lang w:eastAsia="ko-KR"/>
        </w:rPr>
        <w:t xml:space="preserve"> (or 8</w:t>
      </w:r>
      <w:r w:rsidR="002E33EB">
        <w:rPr>
          <w:rFonts w:ascii="Times New Roman" w:eastAsia="Batang" w:hAnsi="Times New Roman"/>
          <w:lang w:eastAsia="ko-KR"/>
        </w:rPr>
        <w:t>2</w:t>
      </w:r>
      <w:r w:rsidR="002E33EB" w:rsidRPr="002E33EB">
        <w:rPr>
          <w:rFonts w:ascii="Times New Roman" w:eastAsia="Batang" w:hAnsi="Times New Roman"/>
          <w:lang w:eastAsia="ko-KR"/>
        </w:rPr>
        <w:t xml:space="preserve">%) had been completed as of end March 2015. </w:t>
      </w:r>
      <w:r w:rsidRPr="002B0A4C">
        <w:rPr>
          <w:rFonts w:ascii="Times New Roman" w:eastAsia="Batang" w:hAnsi="Times New Roman"/>
          <w:lang w:eastAsia="ko-KR"/>
        </w:rPr>
        <w:t>UNDP ensure</w:t>
      </w:r>
      <w:r w:rsidR="002B0A4C">
        <w:rPr>
          <w:rFonts w:ascii="Times New Roman" w:eastAsia="Batang" w:hAnsi="Times New Roman"/>
          <w:lang w:eastAsia="ko-KR"/>
        </w:rPr>
        <w:t>d</w:t>
      </w:r>
      <w:r w:rsidRPr="002B0A4C">
        <w:rPr>
          <w:rFonts w:ascii="Times New Roman" w:eastAsia="Batang" w:hAnsi="Times New Roman"/>
          <w:lang w:eastAsia="ko-KR"/>
        </w:rPr>
        <w:t xml:space="preserve"> </w:t>
      </w:r>
      <w:r w:rsidR="00E37C46">
        <w:rPr>
          <w:rFonts w:ascii="Times New Roman" w:eastAsia="Batang" w:hAnsi="Times New Roman"/>
          <w:lang w:eastAsia="ko-KR"/>
        </w:rPr>
        <w:t xml:space="preserve">a </w:t>
      </w:r>
      <w:r w:rsidRPr="002B0A4C">
        <w:rPr>
          <w:rFonts w:ascii="Times New Roman" w:eastAsia="Batang" w:hAnsi="Times New Roman"/>
          <w:lang w:eastAsia="ko-KR"/>
        </w:rPr>
        <w:t>smooth</w:t>
      </w:r>
      <w:r w:rsidR="00E37C46">
        <w:rPr>
          <w:rFonts w:ascii="Times New Roman" w:eastAsia="Batang" w:hAnsi="Times New Roman"/>
          <w:lang w:eastAsia="ko-KR"/>
        </w:rPr>
        <w:t xml:space="preserve"> and</w:t>
      </w:r>
      <w:r w:rsidRPr="002B0A4C">
        <w:rPr>
          <w:rFonts w:ascii="Times New Roman" w:eastAsia="Batang" w:hAnsi="Times New Roman"/>
          <w:lang w:eastAsia="ko-KR"/>
        </w:rPr>
        <w:t xml:space="preserve"> </w:t>
      </w:r>
      <w:r w:rsidR="00E37C46">
        <w:rPr>
          <w:rFonts w:ascii="Times New Roman" w:eastAsia="Batang" w:hAnsi="Times New Roman"/>
          <w:lang w:eastAsia="ko-KR"/>
        </w:rPr>
        <w:t xml:space="preserve">effectively </w:t>
      </w:r>
      <w:r w:rsidRPr="002B0A4C">
        <w:rPr>
          <w:rFonts w:ascii="Times New Roman" w:eastAsia="Batang" w:hAnsi="Times New Roman"/>
          <w:lang w:eastAsia="ko-KR"/>
        </w:rPr>
        <w:t xml:space="preserve">managed transition to the new </w:t>
      </w:r>
      <w:r w:rsidR="00E37C46">
        <w:rPr>
          <w:rFonts w:ascii="Times New Roman" w:eastAsia="Batang" w:hAnsi="Times New Roman"/>
          <w:lang w:eastAsia="ko-KR"/>
        </w:rPr>
        <w:t>S</w:t>
      </w:r>
      <w:r w:rsidRPr="002B0A4C">
        <w:rPr>
          <w:rFonts w:ascii="Times New Roman" w:eastAsia="Batang" w:hAnsi="Times New Roman"/>
          <w:lang w:eastAsia="ko-KR"/>
        </w:rPr>
        <w:t xml:space="preserve">trategic </w:t>
      </w:r>
      <w:r w:rsidR="00E37C46">
        <w:rPr>
          <w:rFonts w:ascii="Times New Roman" w:eastAsia="Batang" w:hAnsi="Times New Roman"/>
          <w:lang w:eastAsia="ko-KR"/>
        </w:rPr>
        <w:t>P</w:t>
      </w:r>
      <w:r w:rsidRPr="002B0A4C">
        <w:rPr>
          <w:rFonts w:ascii="Times New Roman" w:eastAsia="Batang" w:hAnsi="Times New Roman"/>
          <w:lang w:eastAsia="ko-KR"/>
        </w:rPr>
        <w:t>lan</w:t>
      </w:r>
      <w:r w:rsidR="00D817F4">
        <w:rPr>
          <w:rFonts w:ascii="Times New Roman" w:eastAsia="Batang" w:hAnsi="Times New Roman"/>
          <w:lang w:eastAsia="ko-KR"/>
        </w:rPr>
        <w:t xml:space="preserve"> (2014-2017)</w:t>
      </w:r>
      <w:r w:rsidRPr="002B0A4C">
        <w:rPr>
          <w:rFonts w:ascii="Times New Roman" w:eastAsia="Batang" w:hAnsi="Times New Roman"/>
          <w:lang w:eastAsia="ko-KR"/>
        </w:rPr>
        <w:t>, and use</w:t>
      </w:r>
      <w:r w:rsidR="002B0A4C">
        <w:rPr>
          <w:rFonts w:ascii="Times New Roman" w:eastAsia="Batang" w:hAnsi="Times New Roman"/>
          <w:lang w:eastAsia="ko-KR"/>
        </w:rPr>
        <w:t>d</w:t>
      </w:r>
      <w:r w:rsidRPr="002B0A4C">
        <w:rPr>
          <w:rFonts w:ascii="Times New Roman" w:eastAsia="Batang" w:hAnsi="Times New Roman"/>
          <w:lang w:eastAsia="ko-KR"/>
        </w:rPr>
        <w:t xml:space="preserve"> the internal strategic planning processes – strengthened under the agenda for </w:t>
      </w:r>
      <w:r w:rsidR="003B52DC" w:rsidRPr="002B0A4C">
        <w:rPr>
          <w:rFonts w:ascii="Times New Roman" w:eastAsia="Batang" w:hAnsi="Times New Roman"/>
          <w:lang w:eastAsia="ko-KR"/>
        </w:rPr>
        <w:t>organizational</w:t>
      </w:r>
      <w:r w:rsidRPr="002B0A4C">
        <w:rPr>
          <w:rFonts w:ascii="Times New Roman" w:eastAsia="Batang" w:hAnsi="Times New Roman"/>
          <w:lang w:eastAsia="ko-KR"/>
        </w:rPr>
        <w:t xml:space="preserve"> change – to </w:t>
      </w:r>
      <w:r w:rsidR="00D817F4">
        <w:rPr>
          <w:rFonts w:ascii="Times New Roman" w:eastAsia="Batang" w:hAnsi="Times New Roman"/>
          <w:lang w:eastAsia="ko-KR"/>
        </w:rPr>
        <w:t>prioritize</w:t>
      </w:r>
      <w:r w:rsidRPr="002B0A4C">
        <w:rPr>
          <w:rFonts w:ascii="Times New Roman" w:eastAsia="Batang" w:hAnsi="Times New Roman"/>
          <w:lang w:eastAsia="ko-KR"/>
        </w:rPr>
        <w:t xml:space="preserve"> </w:t>
      </w:r>
      <w:r w:rsidR="001A6C68" w:rsidRPr="002B0A4C">
        <w:rPr>
          <w:rFonts w:ascii="Times New Roman" w:eastAsia="Batang" w:hAnsi="Times New Roman"/>
          <w:lang w:eastAsia="ko-KR"/>
        </w:rPr>
        <w:t>organizational</w:t>
      </w:r>
      <w:r w:rsidRPr="002B0A4C">
        <w:rPr>
          <w:rFonts w:ascii="Times New Roman" w:eastAsia="Batang" w:hAnsi="Times New Roman"/>
          <w:lang w:eastAsia="ko-KR"/>
        </w:rPr>
        <w:t xml:space="preserve"> effectiveness and efficiency, focusing on performance at the country level.  UNDP</w:t>
      </w:r>
      <w:r w:rsidR="00391FF4">
        <w:rPr>
          <w:rFonts w:ascii="Times New Roman" w:eastAsia="Batang" w:hAnsi="Times New Roman"/>
          <w:lang w:eastAsia="ko-KR"/>
        </w:rPr>
        <w:t>’s</w:t>
      </w:r>
      <w:r w:rsidRPr="002B0A4C">
        <w:rPr>
          <w:rFonts w:ascii="Times New Roman" w:eastAsia="Batang" w:hAnsi="Times New Roman"/>
          <w:lang w:eastAsia="ko-KR"/>
        </w:rPr>
        <w:t xml:space="preserve"> approach explicitly recognize</w:t>
      </w:r>
      <w:r w:rsidR="002B0A4C">
        <w:rPr>
          <w:rFonts w:ascii="Times New Roman" w:eastAsia="Batang" w:hAnsi="Times New Roman"/>
          <w:lang w:eastAsia="ko-KR"/>
        </w:rPr>
        <w:t>d</w:t>
      </w:r>
      <w:r w:rsidRPr="002B0A4C">
        <w:rPr>
          <w:rFonts w:ascii="Times New Roman" w:eastAsia="Batang" w:hAnsi="Times New Roman"/>
          <w:lang w:eastAsia="ko-KR"/>
        </w:rPr>
        <w:t xml:space="preserve"> critical trade-offs related inter alia to being demand-driven, </w:t>
      </w:r>
      <w:r w:rsidR="001A6C68" w:rsidRPr="002B0A4C">
        <w:rPr>
          <w:rFonts w:ascii="Times New Roman" w:eastAsia="Batang" w:hAnsi="Times New Roman"/>
          <w:lang w:eastAsia="ko-KR"/>
        </w:rPr>
        <w:t>decentralized</w:t>
      </w:r>
      <w:r w:rsidRPr="002B0A4C">
        <w:rPr>
          <w:rFonts w:ascii="Times New Roman" w:eastAsia="Batang" w:hAnsi="Times New Roman"/>
          <w:lang w:eastAsia="ko-KR"/>
        </w:rPr>
        <w:t>, and focused on national ownership, results and sustainability, and design</w:t>
      </w:r>
      <w:r w:rsidR="00391FF4">
        <w:rPr>
          <w:rFonts w:ascii="Times New Roman" w:eastAsia="Batang" w:hAnsi="Times New Roman"/>
          <w:lang w:eastAsia="ko-KR"/>
        </w:rPr>
        <w:t>ed</w:t>
      </w:r>
      <w:r w:rsidRPr="002B0A4C">
        <w:rPr>
          <w:rFonts w:ascii="Times New Roman" w:eastAsia="Batang" w:hAnsi="Times New Roman"/>
          <w:lang w:eastAsia="ko-KR"/>
        </w:rPr>
        <w:t xml:space="preserve"> intern</w:t>
      </w:r>
      <w:r w:rsidR="00F70F2F">
        <w:rPr>
          <w:rFonts w:ascii="Times New Roman" w:eastAsia="Batang" w:hAnsi="Times New Roman"/>
          <w:lang w:eastAsia="ko-KR"/>
        </w:rPr>
        <w:t xml:space="preserve">al strategies to address </w:t>
      </w:r>
      <w:r w:rsidR="00391FF4">
        <w:rPr>
          <w:rFonts w:ascii="Times New Roman" w:eastAsia="Batang" w:hAnsi="Times New Roman"/>
          <w:lang w:eastAsia="ko-KR"/>
        </w:rPr>
        <w:t>those trade-offs</w:t>
      </w:r>
      <w:r w:rsidR="00F70F2F">
        <w:rPr>
          <w:rFonts w:ascii="Times New Roman" w:eastAsia="Batang" w:hAnsi="Times New Roman"/>
          <w:lang w:eastAsia="ko-KR"/>
        </w:rPr>
        <w:t xml:space="preserve">. </w:t>
      </w:r>
      <w:r w:rsidRPr="002B0A4C">
        <w:rPr>
          <w:rFonts w:ascii="Times New Roman" w:eastAsia="Batang" w:hAnsi="Times New Roman"/>
          <w:lang w:eastAsia="ko-KR"/>
        </w:rPr>
        <w:t>UNDP also use</w:t>
      </w:r>
      <w:r w:rsidR="00D817F4">
        <w:rPr>
          <w:rFonts w:ascii="Times New Roman" w:eastAsia="Batang" w:hAnsi="Times New Roman"/>
          <w:lang w:eastAsia="ko-KR"/>
        </w:rPr>
        <w:t>s</w:t>
      </w:r>
      <w:r w:rsidRPr="002B0A4C">
        <w:rPr>
          <w:rFonts w:ascii="Times New Roman" w:eastAsia="Batang" w:hAnsi="Times New Roman"/>
          <w:lang w:eastAsia="ko-KR"/>
        </w:rPr>
        <w:t xml:space="preserve"> the new integrated results and resources framework </w:t>
      </w:r>
      <w:r w:rsidR="00391FF4">
        <w:rPr>
          <w:rFonts w:ascii="Times New Roman" w:eastAsia="Batang" w:hAnsi="Times New Roman"/>
          <w:lang w:eastAsia="ko-KR"/>
        </w:rPr>
        <w:t xml:space="preserve">of the new Strategic Plan </w:t>
      </w:r>
      <w:r w:rsidRPr="002B0A4C">
        <w:rPr>
          <w:rFonts w:ascii="Times New Roman" w:eastAsia="Batang" w:hAnsi="Times New Roman"/>
          <w:lang w:eastAsia="ko-KR"/>
        </w:rPr>
        <w:t>to underpin a more robust reflection on the relationship between results and resources.</w:t>
      </w:r>
    </w:p>
    <w:p w:rsidR="008B4102" w:rsidRDefault="008B4102" w:rsidP="008B4102">
      <w:pPr>
        <w:tabs>
          <w:tab w:val="left" w:pos="360"/>
        </w:tabs>
        <w:spacing w:after="0" w:line="240" w:lineRule="auto"/>
        <w:contextualSpacing/>
        <w:jc w:val="both"/>
        <w:rPr>
          <w:rFonts w:ascii="Times New Roman" w:eastAsia="Batang" w:hAnsi="Times New Roman"/>
          <w:lang w:eastAsia="ko-KR"/>
        </w:rPr>
      </w:pPr>
    </w:p>
    <w:p w:rsidR="008B4102" w:rsidRPr="008B4102" w:rsidRDefault="008B4102" w:rsidP="008B4102">
      <w:pPr>
        <w:tabs>
          <w:tab w:val="left" w:pos="360"/>
        </w:tabs>
        <w:spacing w:after="0" w:line="240" w:lineRule="auto"/>
        <w:contextualSpacing/>
        <w:jc w:val="both"/>
        <w:rPr>
          <w:rFonts w:ascii="Times New Roman" w:eastAsia="Batang" w:hAnsi="Times New Roman"/>
          <w:b/>
          <w:lang w:eastAsia="ko-KR"/>
        </w:rPr>
      </w:pPr>
      <w:r>
        <w:rPr>
          <w:rFonts w:ascii="Times New Roman" w:eastAsia="Batang" w:hAnsi="Times New Roman"/>
          <w:b/>
          <w:lang w:eastAsia="ko-KR"/>
        </w:rPr>
        <w:t>Thematic E</w:t>
      </w:r>
      <w:r w:rsidRPr="008B4102">
        <w:rPr>
          <w:rFonts w:ascii="Times New Roman" w:eastAsia="Batang" w:hAnsi="Times New Roman"/>
          <w:b/>
          <w:lang w:eastAsia="ko-KR"/>
        </w:rPr>
        <w:t>valuations</w:t>
      </w:r>
    </w:p>
    <w:p w:rsidR="00560D19" w:rsidRDefault="008B4102" w:rsidP="0067034D">
      <w:pPr>
        <w:tabs>
          <w:tab w:val="left" w:pos="360"/>
        </w:tabs>
        <w:spacing w:after="0" w:line="240" w:lineRule="auto"/>
        <w:contextualSpacing/>
        <w:jc w:val="both"/>
        <w:rPr>
          <w:rFonts w:ascii="Times New Roman" w:eastAsia="Batang" w:hAnsi="Times New Roman"/>
          <w:lang w:eastAsia="ko-KR"/>
        </w:rPr>
      </w:pPr>
      <w:r>
        <w:rPr>
          <w:rFonts w:ascii="Times New Roman" w:eastAsia="Batang" w:hAnsi="Times New Roman"/>
          <w:lang w:eastAsia="ko-KR"/>
        </w:rPr>
        <w:t xml:space="preserve"> </w:t>
      </w:r>
    </w:p>
    <w:p w:rsidR="00B02159" w:rsidRPr="0067034D" w:rsidRDefault="00B02159" w:rsidP="00B02159">
      <w:pPr>
        <w:tabs>
          <w:tab w:val="left" w:pos="360"/>
        </w:tabs>
        <w:spacing w:after="0" w:line="240" w:lineRule="auto"/>
        <w:contextualSpacing/>
        <w:jc w:val="both"/>
        <w:rPr>
          <w:rFonts w:ascii="Times New Roman" w:eastAsia="Batang" w:hAnsi="Times New Roman"/>
          <w:i/>
          <w:lang w:eastAsia="ko-KR"/>
        </w:rPr>
      </w:pPr>
      <w:r>
        <w:rPr>
          <w:rFonts w:ascii="Times New Roman" w:eastAsia="Batang" w:hAnsi="Times New Roman"/>
          <w:i/>
          <w:lang w:eastAsia="ko-KR"/>
        </w:rPr>
        <w:t>Status of Management Response commitments for thematic evaluations completed in 2012</w:t>
      </w:r>
      <w:r w:rsidRPr="0067034D">
        <w:rPr>
          <w:rFonts w:ascii="Times New Roman" w:eastAsia="Batang" w:hAnsi="Times New Roman"/>
          <w:i/>
          <w:lang w:eastAsia="ko-KR"/>
        </w:rPr>
        <w:t>:</w:t>
      </w:r>
    </w:p>
    <w:p w:rsidR="00B02159" w:rsidRPr="00560D19" w:rsidRDefault="00B02159" w:rsidP="0067034D">
      <w:pPr>
        <w:tabs>
          <w:tab w:val="left" w:pos="360"/>
        </w:tabs>
        <w:spacing w:after="0" w:line="240" w:lineRule="auto"/>
        <w:contextualSpacing/>
        <w:jc w:val="both"/>
        <w:rPr>
          <w:rFonts w:ascii="Times New Roman" w:eastAsia="Batang" w:hAnsi="Times New Roman"/>
          <w:lang w:eastAsia="ko-KR"/>
        </w:rPr>
      </w:pPr>
    </w:p>
    <w:p w:rsidR="00560D19" w:rsidRPr="00560D19" w:rsidRDefault="00560D19" w:rsidP="0067034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560D19">
        <w:rPr>
          <w:rFonts w:ascii="Times New Roman" w:eastAsia="Batang" w:hAnsi="Times New Roman"/>
          <w:lang w:eastAsia="ko-KR"/>
        </w:rPr>
        <w:t xml:space="preserve">The </w:t>
      </w:r>
      <w:r w:rsidRPr="002B0A4C">
        <w:rPr>
          <w:rFonts w:ascii="Times New Roman" w:eastAsia="Batang" w:hAnsi="Times New Roman"/>
          <w:b/>
          <w:lang w:eastAsia="ko-KR"/>
        </w:rPr>
        <w:t>Evaluation of UNDP</w:t>
      </w:r>
      <w:r w:rsidR="00391FF4">
        <w:rPr>
          <w:rFonts w:ascii="Times New Roman" w:eastAsia="Batang" w:hAnsi="Times New Roman"/>
          <w:b/>
          <w:lang w:eastAsia="ko-KR"/>
        </w:rPr>
        <w:t xml:space="preserve"> support</w:t>
      </w:r>
      <w:r w:rsidRPr="002B0A4C">
        <w:rPr>
          <w:rFonts w:ascii="Times New Roman" w:eastAsia="Batang" w:hAnsi="Times New Roman"/>
          <w:b/>
          <w:lang w:eastAsia="ko-KR"/>
        </w:rPr>
        <w:t xml:space="preserve"> to strengthening electoral systems and processes</w:t>
      </w:r>
      <w:r w:rsidRPr="00560D19">
        <w:rPr>
          <w:rFonts w:ascii="Times New Roman" w:eastAsia="Batang" w:hAnsi="Times New Roman"/>
          <w:lang w:eastAsia="ko-KR"/>
        </w:rPr>
        <w:t xml:space="preserve"> provided a comprehensive and positive review of UNDP</w:t>
      </w:r>
      <w:r w:rsidR="00391FF4">
        <w:rPr>
          <w:rFonts w:ascii="Times New Roman" w:eastAsia="Batang" w:hAnsi="Times New Roman"/>
          <w:lang w:eastAsia="ko-KR"/>
        </w:rPr>
        <w:t>’s</w:t>
      </w:r>
      <w:r w:rsidRPr="00560D19">
        <w:rPr>
          <w:rFonts w:ascii="Times New Roman" w:eastAsia="Batang" w:hAnsi="Times New Roman"/>
          <w:lang w:eastAsia="ko-KR"/>
        </w:rPr>
        <w:t xml:space="preserve"> role and achievements in electoral assistance. At the same time, the evaluation pointed to certain areas where UNDP </w:t>
      </w:r>
      <w:r w:rsidR="00391FF4">
        <w:rPr>
          <w:rFonts w:ascii="Times New Roman" w:eastAsia="Batang" w:hAnsi="Times New Roman"/>
          <w:lang w:eastAsia="ko-KR"/>
        </w:rPr>
        <w:t>needed to</w:t>
      </w:r>
      <w:r w:rsidR="00391FF4" w:rsidRPr="00560D19">
        <w:rPr>
          <w:rFonts w:ascii="Times New Roman" w:eastAsia="Batang" w:hAnsi="Times New Roman"/>
          <w:lang w:eastAsia="ko-KR"/>
        </w:rPr>
        <w:t xml:space="preserve"> </w:t>
      </w:r>
      <w:r w:rsidRPr="00560D19">
        <w:rPr>
          <w:rFonts w:ascii="Times New Roman" w:eastAsia="Batang" w:hAnsi="Times New Roman"/>
          <w:lang w:eastAsia="ko-KR"/>
        </w:rPr>
        <w:t xml:space="preserve">strengthen its impact. </w:t>
      </w:r>
      <w:r w:rsidR="006634A0" w:rsidRPr="006634A0">
        <w:rPr>
          <w:rFonts w:ascii="Times New Roman" w:eastAsia="Batang" w:hAnsi="Times New Roman"/>
          <w:lang w:eastAsia="ko-KR"/>
        </w:rPr>
        <w:t>UNDP committed to implement</w:t>
      </w:r>
      <w:r w:rsidR="00D817F4">
        <w:rPr>
          <w:rFonts w:ascii="Times New Roman" w:eastAsia="Batang" w:hAnsi="Times New Roman"/>
          <w:lang w:eastAsia="ko-KR"/>
        </w:rPr>
        <w:t>ing</w:t>
      </w:r>
      <w:r w:rsidR="006634A0" w:rsidRPr="006634A0">
        <w:rPr>
          <w:rFonts w:ascii="Times New Roman" w:eastAsia="Batang" w:hAnsi="Times New Roman"/>
          <w:lang w:eastAsia="ko-KR"/>
        </w:rPr>
        <w:t xml:space="preserve"> 2</w:t>
      </w:r>
      <w:r w:rsidR="006634A0">
        <w:rPr>
          <w:rFonts w:ascii="Times New Roman" w:eastAsia="Batang" w:hAnsi="Times New Roman"/>
          <w:lang w:eastAsia="ko-KR"/>
        </w:rPr>
        <w:t>6</w:t>
      </w:r>
      <w:r w:rsidR="006634A0" w:rsidRPr="006634A0">
        <w:rPr>
          <w:rFonts w:ascii="Times New Roman" w:eastAsia="Batang" w:hAnsi="Times New Roman"/>
          <w:lang w:eastAsia="ko-KR"/>
        </w:rPr>
        <w:t xml:space="preserve"> key actions, of which </w:t>
      </w:r>
      <w:r w:rsidR="006634A0">
        <w:rPr>
          <w:rFonts w:ascii="Times New Roman" w:eastAsia="Batang" w:hAnsi="Times New Roman"/>
          <w:lang w:eastAsia="ko-KR"/>
        </w:rPr>
        <w:t>19</w:t>
      </w:r>
      <w:r w:rsidR="006634A0" w:rsidRPr="006634A0">
        <w:rPr>
          <w:rFonts w:ascii="Times New Roman" w:eastAsia="Batang" w:hAnsi="Times New Roman"/>
          <w:lang w:eastAsia="ko-KR"/>
        </w:rPr>
        <w:t xml:space="preserve"> (or 7</w:t>
      </w:r>
      <w:r w:rsidR="006634A0">
        <w:rPr>
          <w:rFonts w:ascii="Times New Roman" w:eastAsia="Batang" w:hAnsi="Times New Roman"/>
          <w:lang w:eastAsia="ko-KR"/>
        </w:rPr>
        <w:t>3</w:t>
      </w:r>
      <w:r w:rsidR="006634A0" w:rsidRPr="006634A0">
        <w:rPr>
          <w:rFonts w:ascii="Times New Roman" w:eastAsia="Batang" w:hAnsi="Times New Roman"/>
          <w:lang w:eastAsia="ko-KR"/>
        </w:rPr>
        <w:t xml:space="preserve">%) had been completed as of end March 2015. </w:t>
      </w:r>
      <w:r w:rsidRPr="00560D19">
        <w:rPr>
          <w:rFonts w:ascii="Times New Roman" w:eastAsia="Batang" w:hAnsi="Times New Roman"/>
          <w:lang w:eastAsia="ko-KR"/>
        </w:rPr>
        <w:t xml:space="preserve">UNDP has taken several steps to address the recommendations, including measures to improve coordination and lessons learned between regional and country levels and across regional bureaux, </w:t>
      </w:r>
      <w:r w:rsidR="00391FF4">
        <w:rPr>
          <w:rFonts w:ascii="Times New Roman" w:eastAsia="Batang" w:hAnsi="Times New Roman"/>
          <w:lang w:eastAsia="ko-KR"/>
        </w:rPr>
        <w:t>ensure</w:t>
      </w:r>
      <w:r w:rsidR="00391FF4" w:rsidRPr="00560D19">
        <w:rPr>
          <w:rFonts w:ascii="Times New Roman" w:eastAsia="Batang" w:hAnsi="Times New Roman"/>
          <w:lang w:eastAsia="ko-KR"/>
        </w:rPr>
        <w:t xml:space="preserve"> </w:t>
      </w:r>
      <w:r w:rsidRPr="00560D19">
        <w:rPr>
          <w:rFonts w:ascii="Times New Roman" w:eastAsia="Batang" w:hAnsi="Times New Roman"/>
          <w:lang w:eastAsia="ko-KR"/>
        </w:rPr>
        <w:t xml:space="preserve">the availability of electoral policies and guidance, as well as </w:t>
      </w:r>
      <w:r w:rsidR="00391FF4">
        <w:rPr>
          <w:rFonts w:ascii="Times New Roman" w:eastAsia="Batang" w:hAnsi="Times New Roman"/>
          <w:lang w:eastAsia="ko-KR"/>
        </w:rPr>
        <w:t>provide</w:t>
      </w:r>
      <w:r w:rsidR="00391FF4" w:rsidRPr="00560D19">
        <w:rPr>
          <w:rFonts w:ascii="Times New Roman" w:eastAsia="Batang" w:hAnsi="Times New Roman"/>
          <w:lang w:eastAsia="ko-KR"/>
        </w:rPr>
        <w:t xml:space="preserve"> </w:t>
      </w:r>
      <w:r w:rsidRPr="00560D19">
        <w:rPr>
          <w:rFonts w:ascii="Times New Roman" w:eastAsia="Batang" w:hAnsi="Times New Roman"/>
          <w:lang w:eastAsia="ko-KR"/>
        </w:rPr>
        <w:t xml:space="preserve">induction courses </w:t>
      </w:r>
      <w:r w:rsidR="00391FF4">
        <w:rPr>
          <w:rFonts w:ascii="Times New Roman" w:eastAsia="Batang" w:hAnsi="Times New Roman"/>
          <w:lang w:eastAsia="ko-KR"/>
        </w:rPr>
        <w:t>that include</w:t>
      </w:r>
      <w:r w:rsidR="00391FF4" w:rsidRPr="00560D19">
        <w:rPr>
          <w:rFonts w:ascii="Times New Roman" w:eastAsia="Batang" w:hAnsi="Times New Roman"/>
          <w:lang w:eastAsia="ko-KR"/>
        </w:rPr>
        <w:t xml:space="preserve"> </w:t>
      </w:r>
      <w:r w:rsidRPr="00560D19">
        <w:rPr>
          <w:rFonts w:ascii="Times New Roman" w:eastAsia="Batang" w:hAnsi="Times New Roman"/>
          <w:lang w:eastAsia="ko-KR"/>
        </w:rPr>
        <w:t>session</w:t>
      </w:r>
      <w:r w:rsidR="00391FF4">
        <w:rPr>
          <w:rFonts w:ascii="Times New Roman" w:eastAsia="Batang" w:hAnsi="Times New Roman"/>
          <w:lang w:eastAsia="ko-KR"/>
        </w:rPr>
        <w:t>s</w:t>
      </w:r>
      <w:r w:rsidRPr="00560D19">
        <w:rPr>
          <w:rFonts w:ascii="Times New Roman" w:eastAsia="Batang" w:hAnsi="Times New Roman"/>
          <w:lang w:eastAsia="ko-KR"/>
        </w:rPr>
        <w:t xml:space="preserve"> on electoral assistance and the role of the UN Department for Political Affairs. Two lessons learned studies </w:t>
      </w:r>
      <w:r w:rsidR="00CF136E">
        <w:rPr>
          <w:rFonts w:ascii="Times New Roman" w:eastAsia="Batang" w:hAnsi="Times New Roman"/>
          <w:lang w:eastAsia="ko-KR"/>
        </w:rPr>
        <w:lastRenderedPageBreak/>
        <w:t xml:space="preserve">were completed </w:t>
      </w:r>
      <w:r w:rsidRPr="00560D19">
        <w:rPr>
          <w:rFonts w:ascii="Times New Roman" w:eastAsia="Batang" w:hAnsi="Times New Roman"/>
          <w:lang w:eastAsia="ko-KR"/>
        </w:rPr>
        <w:t>on the longer-term impact of UNDP electoral assistance and on gender mainstreaming in electoral assistance</w:t>
      </w:r>
      <w:r w:rsidR="006B64C1">
        <w:rPr>
          <w:rFonts w:ascii="Times New Roman" w:eastAsia="Batang" w:hAnsi="Times New Roman"/>
          <w:lang w:eastAsia="ko-KR"/>
        </w:rPr>
        <w:t xml:space="preserve">, along with </w:t>
      </w:r>
      <w:r w:rsidR="000C32F5">
        <w:rPr>
          <w:rFonts w:ascii="Times New Roman" w:eastAsia="Batang" w:hAnsi="Times New Roman"/>
          <w:lang w:eastAsia="ko-KR"/>
        </w:rPr>
        <w:t>encouraging</w:t>
      </w:r>
      <w:r w:rsidRPr="00560D19">
        <w:rPr>
          <w:rFonts w:ascii="Times New Roman" w:eastAsia="Batang" w:hAnsi="Times New Roman"/>
          <w:lang w:eastAsia="ko-KR"/>
        </w:rPr>
        <w:t xml:space="preserve"> South-South peer exchanges</w:t>
      </w:r>
      <w:r w:rsidR="006B64C1">
        <w:rPr>
          <w:rFonts w:ascii="Times New Roman" w:eastAsia="Batang" w:hAnsi="Times New Roman"/>
          <w:lang w:eastAsia="ko-KR"/>
        </w:rPr>
        <w:t>.</w:t>
      </w:r>
      <w:r w:rsidRPr="00560D19">
        <w:rPr>
          <w:rFonts w:ascii="Times New Roman" w:eastAsia="Batang" w:hAnsi="Times New Roman"/>
          <w:lang w:eastAsia="ko-KR"/>
        </w:rPr>
        <w:t xml:space="preserve"> </w:t>
      </w:r>
    </w:p>
    <w:p w:rsidR="00560D19" w:rsidRPr="00560D19" w:rsidRDefault="00560D19" w:rsidP="0067034D">
      <w:pPr>
        <w:tabs>
          <w:tab w:val="left" w:pos="360"/>
        </w:tabs>
        <w:spacing w:after="0" w:line="240" w:lineRule="auto"/>
        <w:contextualSpacing/>
        <w:jc w:val="both"/>
        <w:rPr>
          <w:rFonts w:ascii="Times New Roman" w:eastAsia="Batang" w:hAnsi="Times New Roman"/>
          <w:lang w:eastAsia="ko-KR"/>
        </w:rPr>
      </w:pPr>
    </w:p>
    <w:p w:rsidR="000C32F5" w:rsidRDefault="00560D19" w:rsidP="005D6EAF">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F70F2F">
        <w:rPr>
          <w:rFonts w:ascii="Times New Roman" w:eastAsia="Batang" w:hAnsi="Times New Roman"/>
          <w:lang w:eastAsia="ko-KR"/>
        </w:rPr>
        <w:t xml:space="preserve">The </w:t>
      </w:r>
      <w:r w:rsidRPr="00F70F2F">
        <w:rPr>
          <w:rFonts w:ascii="Times New Roman" w:eastAsia="Batang" w:hAnsi="Times New Roman"/>
          <w:b/>
          <w:lang w:eastAsia="ko-KR"/>
        </w:rPr>
        <w:t>Evaluation of UNDP partnerships with global funds and philanthropic foundations</w:t>
      </w:r>
      <w:r w:rsidRPr="00F70F2F">
        <w:rPr>
          <w:rFonts w:ascii="Times New Roman" w:eastAsia="Batang" w:hAnsi="Times New Roman"/>
          <w:lang w:eastAsia="ko-KR"/>
        </w:rPr>
        <w:t xml:space="preserve"> recognized that </w:t>
      </w:r>
      <w:r w:rsidR="00391FF4">
        <w:rPr>
          <w:rFonts w:ascii="Times New Roman" w:eastAsia="Batang" w:hAnsi="Times New Roman"/>
          <w:lang w:eastAsia="ko-KR"/>
        </w:rPr>
        <w:t xml:space="preserve">partnering </w:t>
      </w:r>
      <w:r w:rsidRPr="00F70F2F">
        <w:rPr>
          <w:rFonts w:ascii="Times New Roman" w:eastAsia="Batang" w:hAnsi="Times New Roman"/>
          <w:lang w:eastAsia="ko-KR"/>
        </w:rPr>
        <w:t>with global funds is strategically important to UNDP in b</w:t>
      </w:r>
      <w:r w:rsidR="00F70F2F" w:rsidRPr="00F70F2F">
        <w:rPr>
          <w:rFonts w:ascii="Times New Roman" w:eastAsia="Batang" w:hAnsi="Times New Roman"/>
          <w:lang w:eastAsia="ko-KR"/>
        </w:rPr>
        <w:t xml:space="preserve">udgetary and substantive terms. </w:t>
      </w:r>
      <w:r w:rsidRPr="00F70F2F">
        <w:rPr>
          <w:rFonts w:ascii="Times New Roman" w:eastAsia="Batang" w:hAnsi="Times New Roman"/>
          <w:lang w:eastAsia="ko-KR"/>
        </w:rPr>
        <w:t xml:space="preserve">It </w:t>
      </w:r>
      <w:r w:rsidR="00391FF4" w:rsidRPr="00F70F2F">
        <w:rPr>
          <w:rFonts w:ascii="Times New Roman" w:eastAsia="Batang" w:hAnsi="Times New Roman"/>
          <w:lang w:eastAsia="ko-KR"/>
        </w:rPr>
        <w:t>establishe</w:t>
      </w:r>
      <w:r w:rsidR="00391FF4">
        <w:rPr>
          <w:rFonts w:ascii="Times New Roman" w:eastAsia="Batang" w:hAnsi="Times New Roman"/>
          <w:lang w:eastAsia="ko-KR"/>
        </w:rPr>
        <w:t>d</w:t>
      </w:r>
      <w:r w:rsidR="00391FF4" w:rsidRPr="00F70F2F">
        <w:rPr>
          <w:rFonts w:ascii="Times New Roman" w:eastAsia="Batang" w:hAnsi="Times New Roman"/>
          <w:lang w:eastAsia="ko-KR"/>
        </w:rPr>
        <w:t xml:space="preserve"> </w:t>
      </w:r>
      <w:r w:rsidRPr="00F70F2F">
        <w:rPr>
          <w:rFonts w:ascii="Times New Roman" w:eastAsia="Batang" w:hAnsi="Times New Roman"/>
          <w:lang w:eastAsia="ko-KR"/>
        </w:rPr>
        <w:t xml:space="preserve">that UNDP </w:t>
      </w:r>
      <w:r w:rsidR="00391FF4" w:rsidRPr="00F70F2F">
        <w:rPr>
          <w:rFonts w:ascii="Times New Roman" w:eastAsia="Batang" w:hAnsi="Times New Roman"/>
          <w:lang w:eastAsia="ko-KR"/>
        </w:rPr>
        <w:t>ha</w:t>
      </w:r>
      <w:r w:rsidR="00391FF4">
        <w:rPr>
          <w:rFonts w:ascii="Times New Roman" w:eastAsia="Batang" w:hAnsi="Times New Roman"/>
          <w:lang w:eastAsia="ko-KR"/>
        </w:rPr>
        <w:t>d</w:t>
      </w:r>
      <w:r w:rsidR="00391FF4" w:rsidRPr="00F70F2F">
        <w:rPr>
          <w:rFonts w:ascii="Times New Roman" w:eastAsia="Batang" w:hAnsi="Times New Roman"/>
          <w:lang w:eastAsia="ko-KR"/>
        </w:rPr>
        <w:t xml:space="preserve"> </w:t>
      </w:r>
      <w:r w:rsidRPr="00F70F2F">
        <w:rPr>
          <w:rFonts w:ascii="Times New Roman" w:eastAsia="Batang" w:hAnsi="Times New Roman"/>
          <w:lang w:eastAsia="ko-KR"/>
        </w:rPr>
        <w:t>demonstrated its ability to perform effectively, to meet the rigorous standards set by funds, and to develop innovative approaches to development and administrative challenges.  In the management response, UNDP committed to tak</w:t>
      </w:r>
      <w:r w:rsidR="00D817F4">
        <w:rPr>
          <w:rFonts w:ascii="Times New Roman" w:eastAsia="Batang" w:hAnsi="Times New Roman"/>
          <w:lang w:eastAsia="ko-KR"/>
        </w:rPr>
        <w:t>ing</w:t>
      </w:r>
      <w:r w:rsidRPr="00F70F2F">
        <w:rPr>
          <w:rFonts w:ascii="Times New Roman" w:eastAsia="Batang" w:hAnsi="Times New Roman"/>
          <w:lang w:eastAsia="ko-KR"/>
        </w:rPr>
        <w:t xml:space="preserve"> action in the following general areas: </w:t>
      </w:r>
      <w:r w:rsidR="00391FF4">
        <w:rPr>
          <w:rFonts w:ascii="Times New Roman" w:eastAsia="Batang" w:hAnsi="Times New Roman"/>
          <w:lang w:eastAsia="ko-KR"/>
        </w:rPr>
        <w:t>i)</w:t>
      </w:r>
      <w:r w:rsidRPr="00F70F2F">
        <w:rPr>
          <w:rFonts w:ascii="Times New Roman" w:eastAsia="Batang" w:hAnsi="Times New Roman"/>
          <w:lang w:eastAsia="ko-KR"/>
        </w:rPr>
        <w:t xml:space="preserve"> supporting national development priorities; </w:t>
      </w:r>
      <w:r w:rsidR="00391FF4">
        <w:rPr>
          <w:rFonts w:ascii="Times New Roman" w:eastAsia="Batang" w:hAnsi="Times New Roman"/>
          <w:lang w:eastAsia="ko-KR"/>
        </w:rPr>
        <w:t xml:space="preserve">ii) </w:t>
      </w:r>
      <w:r w:rsidRPr="00F70F2F">
        <w:rPr>
          <w:rFonts w:ascii="Times New Roman" w:eastAsia="Batang" w:hAnsi="Times New Roman"/>
          <w:lang w:eastAsia="ko-KR"/>
        </w:rPr>
        <w:t>consistent engagement to mainstream a human development perspective and develop national capacit</w:t>
      </w:r>
      <w:r w:rsidR="00D817F4">
        <w:rPr>
          <w:rFonts w:ascii="Times New Roman" w:eastAsia="Batang" w:hAnsi="Times New Roman"/>
          <w:lang w:eastAsia="ko-KR"/>
        </w:rPr>
        <w:t>ies</w:t>
      </w:r>
      <w:r w:rsidRPr="00F70F2F">
        <w:rPr>
          <w:rFonts w:ascii="Times New Roman" w:eastAsia="Batang" w:hAnsi="Times New Roman"/>
          <w:lang w:eastAsia="ko-KR"/>
        </w:rPr>
        <w:t xml:space="preserve">; </w:t>
      </w:r>
      <w:r w:rsidR="00391FF4">
        <w:rPr>
          <w:rFonts w:ascii="Times New Roman" w:eastAsia="Batang" w:hAnsi="Times New Roman"/>
          <w:lang w:eastAsia="ko-KR"/>
        </w:rPr>
        <w:t xml:space="preserve">iii) </w:t>
      </w:r>
      <w:r w:rsidRPr="00F70F2F">
        <w:rPr>
          <w:rFonts w:ascii="Times New Roman" w:eastAsia="Batang" w:hAnsi="Times New Roman"/>
          <w:lang w:eastAsia="ko-KR"/>
        </w:rPr>
        <w:t xml:space="preserve">greater information sharing and knowledge management; </w:t>
      </w:r>
      <w:r w:rsidR="00391FF4">
        <w:rPr>
          <w:rFonts w:ascii="Times New Roman" w:eastAsia="Batang" w:hAnsi="Times New Roman"/>
          <w:lang w:eastAsia="ko-KR"/>
        </w:rPr>
        <w:t xml:space="preserve">iv) </w:t>
      </w:r>
      <w:r w:rsidRPr="00F70F2F">
        <w:rPr>
          <w:rFonts w:ascii="Times New Roman" w:eastAsia="Batang" w:hAnsi="Times New Roman"/>
          <w:lang w:eastAsia="ko-KR"/>
        </w:rPr>
        <w:t xml:space="preserve">development of a partnership strategy for engagement with philanthropic foundations; and </w:t>
      </w:r>
      <w:r w:rsidR="00391FF4">
        <w:rPr>
          <w:rFonts w:ascii="Times New Roman" w:eastAsia="Batang" w:hAnsi="Times New Roman"/>
          <w:lang w:eastAsia="ko-KR"/>
        </w:rPr>
        <w:t xml:space="preserve">v) </w:t>
      </w:r>
      <w:r w:rsidRPr="00F70F2F">
        <w:rPr>
          <w:rFonts w:ascii="Times New Roman" w:eastAsia="Batang" w:hAnsi="Times New Roman"/>
          <w:lang w:eastAsia="ko-KR"/>
        </w:rPr>
        <w:t xml:space="preserve">finding solutions to operational and procedural bottlenecks. </w:t>
      </w:r>
      <w:r w:rsidR="00377626" w:rsidRPr="00F70F2F">
        <w:rPr>
          <w:rFonts w:ascii="Times New Roman" w:eastAsia="Batang" w:hAnsi="Times New Roman"/>
          <w:lang w:eastAsia="ko-KR"/>
        </w:rPr>
        <w:t>UNDP committed to implement</w:t>
      </w:r>
      <w:r w:rsidR="00D817F4">
        <w:rPr>
          <w:rFonts w:ascii="Times New Roman" w:eastAsia="Batang" w:hAnsi="Times New Roman"/>
          <w:lang w:eastAsia="ko-KR"/>
        </w:rPr>
        <w:t>ing</w:t>
      </w:r>
      <w:r w:rsidR="00377626" w:rsidRPr="00F70F2F">
        <w:rPr>
          <w:rFonts w:ascii="Times New Roman" w:eastAsia="Batang" w:hAnsi="Times New Roman"/>
          <w:lang w:eastAsia="ko-KR"/>
        </w:rPr>
        <w:t xml:space="preserve"> 17 key actions, of which 14 (or 82%) had been completed as of end March 2015. </w:t>
      </w:r>
      <w:r w:rsidRPr="00F70F2F">
        <w:rPr>
          <w:rFonts w:ascii="Times New Roman" w:eastAsia="Batang" w:hAnsi="Times New Roman"/>
          <w:lang w:eastAsia="ko-KR"/>
        </w:rPr>
        <w:t xml:space="preserve">Following up on the action plan for the UNDP strategy for engagement with philanthropic organizations, the Bureau for External Relations and Advocacy (BERA) and BDP, </w:t>
      </w:r>
      <w:r w:rsidR="00391FF4" w:rsidRPr="00F70F2F">
        <w:rPr>
          <w:rFonts w:ascii="Times New Roman" w:eastAsia="Batang" w:hAnsi="Times New Roman"/>
          <w:lang w:eastAsia="ko-KR"/>
        </w:rPr>
        <w:t>initiated a strategic dialogue, in line with the evaluation’s recommendation</w:t>
      </w:r>
      <w:r w:rsidR="00D817F4">
        <w:rPr>
          <w:rFonts w:ascii="Times New Roman" w:eastAsia="Batang" w:hAnsi="Times New Roman"/>
          <w:lang w:eastAsia="ko-KR"/>
        </w:rPr>
        <w:t>s</w:t>
      </w:r>
      <w:r w:rsidR="00391FF4">
        <w:rPr>
          <w:rFonts w:ascii="Times New Roman" w:eastAsia="Batang" w:hAnsi="Times New Roman"/>
          <w:lang w:eastAsia="ko-KR"/>
        </w:rPr>
        <w:t xml:space="preserve">, </w:t>
      </w:r>
      <w:r w:rsidR="00D817F4">
        <w:rPr>
          <w:rFonts w:ascii="Times New Roman" w:eastAsia="Batang" w:hAnsi="Times New Roman"/>
          <w:lang w:eastAsia="ko-KR"/>
        </w:rPr>
        <w:t xml:space="preserve">and </w:t>
      </w:r>
      <w:r w:rsidR="00391FF4">
        <w:rPr>
          <w:rFonts w:ascii="Times New Roman" w:eastAsia="Batang" w:hAnsi="Times New Roman"/>
          <w:lang w:eastAsia="ko-KR"/>
        </w:rPr>
        <w:t xml:space="preserve">in consultation with </w:t>
      </w:r>
      <w:r w:rsidRPr="00F70F2F">
        <w:rPr>
          <w:rFonts w:ascii="Times New Roman" w:eastAsia="Batang" w:hAnsi="Times New Roman"/>
          <w:lang w:eastAsia="ko-KR"/>
        </w:rPr>
        <w:t>partners</w:t>
      </w:r>
      <w:r w:rsidR="00391FF4">
        <w:rPr>
          <w:rFonts w:ascii="Times New Roman" w:eastAsia="Batang" w:hAnsi="Times New Roman"/>
          <w:lang w:eastAsia="ko-KR"/>
        </w:rPr>
        <w:t xml:space="preserve"> such as </w:t>
      </w:r>
      <w:r w:rsidRPr="00F70F2F">
        <w:rPr>
          <w:rFonts w:ascii="Times New Roman" w:eastAsia="Batang" w:hAnsi="Times New Roman"/>
          <w:lang w:eastAsia="ko-KR"/>
        </w:rPr>
        <w:t xml:space="preserve">UN </w:t>
      </w:r>
      <w:r w:rsidR="00C44F2D">
        <w:rPr>
          <w:rFonts w:ascii="Times New Roman" w:eastAsia="Batang" w:hAnsi="Times New Roman"/>
          <w:lang w:eastAsia="ko-KR"/>
        </w:rPr>
        <w:t>DESA</w:t>
      </w:r>
      <w:r w:rsidRPr="00F70F2F">
        <w:rPr>
          <w:rFonts w:ascii="Times New Roman" w:eastAsia="Batang" w:hAnsi="Times New Roman"/>
          <w:lang w:eastAsia="ko-KR"/>
        </w:rPr>
        <w:t xml:space="preserve">, </w:t>
      </w:r>
      <w:r w:rsidR="00C44F2D">
        <w:rPr>
          <w:rFonts w:ascii="Times New Roman" w:eastAsia="Batang" w:hAnsi="Times New Roman"/>
          <w:lang w:eastAsia="ko-KR"/>
        </w:rPr>
        <w:t>OECD</w:t>
      </w:r>
      <w:r w:rsidRPr="00F70F2F">
        <w:rPr>
          <w:rFonts w:ascii="Times New Roman" w:eastAsia="Batang" w:hAnsi="Times New Roman"/>
          <w:lang w:eastAsia="ko-KR"/>
        </w:rPr>
        <w:t>, Worldwide Initiatives for Grantmakers Support (WINGS) and the Rockefeller Foundation</w:t>
      </w:r>
      <w:r w:rsidR="00391FF4">
        <w:rPr>
          <w:rFonts w:ascii="Times New Roman" w:eastAsia="Batang" w:hAnsi="Times New Roman"/>
          <w:lang w:eastAsia="ko-KR"/>
        </w:rPr>
        <w:t>.</w:t>
      </w:r>
      <w:r w:rsidR="00F70F2F" w:rsidRPr="00F70F2F">
        <w:rPr>
          <w:rFonts w:ascii="Times New Roman" w:eastAsia="Batang" w:hAnsi="Times New Roman"/>
          <w:lang w:eastAsia="ko-KR"/>
        </w:rPr>
        <w:t xml:space="preserve"> </w:t>
      </w:r>
    </w:p>
    <w:p w:rsidR="00B02159" w:rsidRDefault="00B02159" w:rsidP="00B02159">
      <w:pPr>
        <w:tabs>
          <w:tab w:val="left" w:pos="360"/>
        </w:tabs>
        <w:spacing w:after="0" w:line="240" w:lineRule="auto"/>
        <w:contextualSpacing/>
        <w:jc w:val="both"/>
        <w:rPr>
          <w:rFonts w:ascii="Times New Roman" w:eastAsia="Batang" w:hAnsi="Times New Roman"/>
          <w:lang w:eastAsia="ko-KR"/>
        </w:rPr>
      </w:pPr>
    </w:p>
    <w:p w:rsidR="00B02159" w:rsidRPr="00B02159" w:rsidRDefault="00B02159" w:rsidP="00B02159">
      <w:pPr>
        <w:tabs>
          <w:tab w:val="left" w:pos="360"/>
        </w:tabs>
        <w:spacing w:after="0" w:line="240" w:lineRule="auto"/>
        <w:contextualSpacing/>
        <w:jc w:val="both"/>
        <w:rPr>
          <w:rFonts w:ascii="Times New Roman" w:eastAsia="Batang" w:hAnsi="Times New Roman"/>
          <w:i/>
          <w:lang w:eastAsia="ko-KR"/>
        </w:rPr>
      </w:pPr>
      <w:r>
        <w:rPr>
          <w:rFonts w:ascii="Times New Roman" w:eastAsia="Batang" w:hAnsi="Times New Roman"/>
          <w:i/>
          <w:lang w:eastAsia="ko-KR"/>
        </w:rPr>
        <w:t>Status of Management Response commitments</w:t>
      </w:r>
      <w:r w:rsidRPr="0067034D">
        <w:rPr>
          <w:rFonts w:ascii="Times New Roman" w:eastAsia="Batang" w:hAnsi="Times New Roman"/>
          <w:i/>
          <w:lang w:eastAsia="ko-KR"/>
        </w:rPr>
        <w:t xml:space="preserve"> for </w:t>
      </w:r>
      <w:r>
        <w:rPr>
          <w:rFonts w:ascii="Times New Roman" w:eastAsia="Batang" w:hAnsi="Times New Roman"/>
          <w:i/>
          <w:lang w:eastAsia="ko-KR"/>
        </w:rPr>
        <w:t>thematic</w:t>
      </w:r>
      <w:r w:rsidRPr="0067034D">
        <w:rPr>
          <w:rFonts w:ascii="Times New Roman" w:eastAsia="Batang" w:hAnsi="Times New Roman"/>
          <w:i/>
          <w:lang w:eastAsia="ko-KR"/>
        </w:rPr>
        <w:t xml:space="preserve"> evaluations completed in 2013:</w:t>
      </w:r>
    </w:p>
    <w:p w:rsidR="00B02159" w:rsidRDefault="00B02159" w:rsidP="00B02159">
      <w:pPr>
        <w:tabs>
          <w:tab w:val="left" w:pos="360"/>
        </w:tabs>
        <w:spacing w:after="0" w:line="240" w:lineRule="auto"/>
        <w:contextualSpacing/>
        <w:jc w:val="both"/>
        <w:rPr>
          <w:rFonts w:ascii="Times New Roman" w:eastAsia="Batang" w:hAnsi="Times New Roman"/>
          <w:lang w:eastAsia="ko-KR"/>
        </w:rPr>
      </w:pPr>
    </w:p>
    <w:p w:rsidR="00B02159" w:rsidRDefault="00B02159" w:rsidP="00B02159">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2D73E0">
        <w:rPr>
          <w:rFonts w:ascii="Times New Roman" w:eastAsia="Batang" w:hAnsi="Times New Roman"/>
          <w:lang w:eastAsia="ko-KR"/>
        </w:rPr>
        <w:t xml:space="preserve">In response to the 10 recommendations of the </w:t>
      </w:r>
      <w:r w:rsidRPr="00D7414B">
        <w:rPr>
          <w:rFonts w:ascii="Times New Roman" w:eastAsia="Batang" w:hAnsi="Times New Roman"/>
          <w:b/>
          <w:lang w:eastAsia="ko-KR"/>
        </w:rPr>
        <w:t xml:space="preserve">Evaluation of UNDP support </w:t>
      </w:r>
      <w:r>
        <w:rPr>
          <w:rFonts w:ascii="Times New Roman" w:eastAsia="Batang" w:hAnsi="Times New Roman"/>
          <w:b/>
          <w:lang w:eastAsia="ko-KR"/>
        </w:rPr>
        <w:t xml:space="preserve">to </w:t>
      </w:r>
      <w:r w:rsidRPr="00D7414B">
        <w:rPr>
          <w:rFonts w:ascii="Times New Roman" w:eastAsia="Batang" w:hAnsi="Times New Roman"/>
          <w:b/>
          <w:lang w:eastAsia="ko-KR"/>
        </w:rPr>
        <w:t>conflict-affected countries in the context of United Nations peace operations</w:t>
      </w:r>
      <w:r w:rsidRPr="002D73E0">
        <w:rPr>
          <w:rFonts w:ascii="Times New Roman" w:eastAsia="Batang" w:hAnsi="Times New Roman"/>
          <w:lang w:eastAsia="ko-KR"/>
        </w:rPr>
        <w:t>, UNDP committed to implement</w:t>
      </w:r>
      <w:r>
        <w:rPr>
          <w:rFonts w:ascii="Times New Roman" w:eastAsia="Batang" w:hAnsi="Times New Roman"/>
          <w:lang w:eastAsia="ko-KR"/>
        </w:rPr>
        <w:t>ing</w:t>
      </w:r>
      <w:r w:rsidRPr="002D73E0">
        <w:rPr>
          <w:rFonts w:ascii="Times New Roman" w:eastAsia="Batang" w:hAnsi="Times New Roman"/>
          <w:lang w:eastAsia="ko-KR"/>
        </w:rPr>
        <w:t xml:space="preserve"> 32 key actions, of which 2</w:t>
      </w:r>
      <w:r w:rsidR="002E07B0">
        <w:rPr>
          <w:rFonts w:ascii="Times New Roman" w:eastAsia="Batang" w:hAnsi="Times New Roman"/>
          <w:lang w:eastAsia="ko-KR"/>
        </w:rPr>
        <w:t xml:space="preserve">6 </w:t>
      </w:r>
      <w:r>
        <w:rPr>
          <w:rFonts w:ascii="Times New Roman" w:eastAsia="Batang" w:hAnsi="Times New Roman"/>
          <w:lang w:eastAsia="ko-KR"/>
        </w:rPr>
        <w:t xml:space="preserve">(or </w:t>
      </w:r>
      <w:r w:rsidR="002E07B0">
        <w:rPr>
          <w:rFonts w:ascii="Times New Roman" w:eastAsia="Batang" w:hAnsi="Times New Roman"/>
          <w:lang w:eastAsia="ko-KR"/>
        </w:rPr>
        <w:t>81</w:t>
      </w:r>
      <w:r>
        <w:rPr>
          <w:rFonts w:ascii="Times New Roman" w:eastAsia="Batang" w:hAnsi="Times New Roman"/>
          <w:lang w:eastAsia="ko-KR"/>
        </w:rPr>
        <w:t xml:space="preserve">%) </w:t>
      </w:r>
      <w:r w:rsidRPr="002D73E0">
        <w:rPr>
          <w:rFonts w:ascii="Times New Roman" w:eastAsia="Batang" w:hAnsi="Times New Roman"/>
          <w:lang w:eastAsia="ko-KR"/>
        </w:rPr>
        <w:t xml:space="preserve">had been </w:t>
      </w:r>
      <w:r>
        <w:rPr>
          <w:rFonts w:ascii="Times New Roman" w:eastAsia="Batang" w:hAnsi="Times New Roman"/>
          <w:lang w:eastAsia="ko-KR"/>
        </w:rPr>
        <w:t xml:space="preserve">completed </w:t>
      </w:r>
      <w:r w:rsidRPr="002D73E0">
        <w:rPr>
          <w:rFonts w:ascii="Times New Roman" w:eastAsia="Batang" w:hAnsi="Times New Roman"/>
          <w:lang w:eastAsia="ko-KR"/>
        </w:rPr>
        <w:t xml:space="preserve">as of end </w:t>
      </w:r>
      <w:r>
        <w:rPr>
          <w:rFonts w:ascii="Times New Roman" w:eastAsia="Batang" w:hAnsi="Times New Roman"/>
          <w:lang w:eastAsia="ko-KR"/>
        </w:rPr>
        <w:t>March 2015</w:t>
      </w:r>
      <w:r w:rsidRPr="002D73E0">
        <w:rPr>
          <w:rFonts w:ascii="Times New Roman" w:eastAsia="Batang" w:hAnsi="Times New Roman"/>
          <w:lang w:eastAsia="ko-KR"/>
        </w:rPr>
        <w:t xml:space="preserve">. UNDP has revised its conflict-related development analysis (CDA) tool and piloted its application in </w:t>
      </w:r>
      <w:r>
        <w:rPr>
          <w:rFonts w:ascii="Times New Roman" w:eastAsia="Batang" w:hAnsi="Times New Roman"/>
          <w:lang w:eastAsia="ko-KR"/>
        </w:rPr>
        <w:t>crisis-affected countries</w:t>
      </w:r>
      <w:r w:rsidRPr="002D73E0">
        <w:rPr>
          <w:rFonts w:ascii="Times New Roman" w:eastAsia="Batang" w:hAnsi="Times New Roman"/>
          <w:lang w:eastAsia="ko-KR"/>
        </w:rPr>
        <w:t xml:space="preserve">. </w:t>
      </w:r>
      <w:r w:rsidR="002E07B0">
        <w:rPr>
          <w:rFonts w:ascii="Times New Roman" w:eastAsia="Batang" w:hAnsi="Times New Roman"/>
          <w:lang w:eastAsia="ko-KR"/>
        </w:rPr>
        <w:t>UNDP undertook systematic conflict analysis in Myanmar, Yemen, Afghanistan</w:t>
      </w:r>
      <w:r w:rsidR="009D050F">
        <w:rPr>
          <w:rFonts w:ascii="Times New Roman" w:eastAsia="Batang" w:hAnsi="Times New Roman"/>
          <w:lang w:eastAsia="ko-KR"/>
        </w:rPr>
        <w:t>, and establis</w:t>
      </w:r>
      <w:r w:rsidR="002E07B0">
        <w:rPr>
          <w:rFonts w:ascii="Times New Roman" w:eastAsia="Batang" w:hAnsi="Times New Roman"/>
          <w:lang w:eastAsia="ko-KR"/>
        </w:rPr>
        <w:t>h</w:t>
      </w:r>
      <w:r w:rsidR="009D050F">
        <w:rPr>
          <w:rFonts w:ascii="Times New Roman" w:eastAsia="Batang" w:hAnsi="Times New Roman"/>
          <w:lang w:eastAsia="ko-KR"/>
        </w:rPr>
        <w:t>ed Early Warning/Early Actio</w:t>
      </w:r>
      <w:r w:rsidR="002E07B0">
        <w:rPr>
          <w:rFonts w:ascii="Times New Roman" w:eastAsia="Batang" w:hAnsi="Times New Roman"/>
          <w:lang w:eastAsia="ko-KR"/>
        </w:rPr>
        <w:t>n system</w:t>
      </w:r>
      <w:r w:rsidR="009D050F">
        <w:rPr>
          <w:rFonts w:ascii="Times New Roman" w:eastAsia="Batang" w:hAnsi="Times New Roman"/>
          <w:lang w:eastAsia="ko-KR"/>
        </w:rPr>
        <w:t>s</w:t>
      </w:r>
      <w:r w:rsidR="002E07B0">
        <w:rPr>
          <w:rFonts w:ascii="Times New Roman" w:eastAsia="Batang" w:hAnsi="Times New Roman"/>
          <w:lang w:eastAsia="ko-KR"/>
        </w:rPr>
        <w:t xml:space="preserve">. </w:t>
      </w:r>
      <w:r w:rsidRPr="002D73E0">
        <w:rPr>
          <w:rFonts w:ascii="Times New Roman" w:eastAsia="Batang" w:hAnsi="Times New Roman"/>
          <w:lang w:eastAsia="ko-KR"/>
        </w:rPr>
        <w:t>UNDP reach</w:t>
      </w:r>
      <w:r>
        <w:rPr>
          <w:rFonts w:ascii="Times New Roman" w:eastAsia="Batang" w:hAnsi="Times New Roman"/>
          <w:lang w:eastAsia="ko-KR"/>
        </w:rPr>
        <w:t>ed</w:t>
      </w:r>
      <w:r w:rsidRPr="002D73E0">
        <w:rPr>
          <w:rFonts w:ascii="Times New Roman" w:eastAsia="Batang" w:hAnsi="Times New Roman"/>
          <w:lang w:eastAsia="ko-KR"/>
        </w:rPr>
        <w:t xml:space="preserve"> out to UN agencies and partners to forge synergies between the CDA and other conflict analysis and assessment tools such as post-conflict needs assessments and the New Deal fragility assessments. </w:t>
      </w:r>
      <w:r w:rsidR="009D050F">
        <w:rPr>
          <w:rFonts w:ascii="Times New Roman" w:eastAsia="Batang" w:hAnsi="Times New Roman"/>
          <w:lang w:eastAsia="ko-KR"/>
        </w:rPr>
        <w:t xml:space="preserve">Also, </w:t>
      </w:r>
      <w:r w:rsidR="002E07B0">
        <w:rPr>
          <w:rFonts w:ascii="Times New Roman" w:eastAsia="Batang" w:hAnsi="Times New Roman"/>
          <w:lang w:eastAsia="ko-KR"/>
        </w:rPr>
        <w:t xml:space="preserve">UNDP contributed to the revision of guidelines on </w:t>
      </w:r>
      <w:r w:rsidR="009D050F">
        <w:rPr>
          <w:rFonts w:ascii="Times New Roman" w:eastAsia="Batang" w:hAnsi="Times New Roman"/>
          <w:lang w:eastAsia="ko-KR"/>
        </w:rPr>
        <w:t xml:space="preserve">the UN Integrated Mission </w:t>
      </w:r>
      <w:r w:rsidR="002E07B0">
        <w:rPr>
          <w:rFonts w:ascii="Times New Roman" w:eastAsia="Batang" w:hAnsi="Times New Roman"/>
          <w:lang w:eastAsia="ko-KR"/>
        </w:rPr>
        <w:t>Planning</w:t>
      </w:r>
      <w:r w:rsidR="009D050F">
        <w:rPr>
          <w:rFonts w:ascii="Times New Roman" w:eastAsia="Batang" w:hAnsi="Times New Roman"/>
          <w:lang w:eastAsia="ko-KR"/>
        </w:rPr>
        <w:t xml:space="preserve"> underlining</w:t>
      </w:r>
      <w:r w:rsidR="002E07B0">
        <w:rPr>
          <w:rFonts w:ascii="Times New Roman" w:eastAsia="Batang" w:hAnsi="Times New Roman"/>
          <w:lang w:eastAsia="ko-KR"/>
        </w:rPr>
        <w:t xml:space="preserve"> UNDP</w:t>
      </w:r>
      <w:r w:rsidR="009D050F">
        <w:rPr>
          <w:rFonts w:ascii="Times New Roman" w:eastAsia="Batang" w:hAnsi="Times New Roman"/>
          <w:lang w:eastAsia="ko-KR"/>
        </w:rPr>
        <w:t>’s</w:t>
      </w:r>
      <w:r w:rsidR="002E07B0">
        <w:rPr>
          <w:rFonts w:ascii="Times New Roman" w:eastAsia="Batang" w:hAnsi="Times New Roman"/>
          <w:lang w:eastAsia="ko-KR"/>
        </w:rPr>
        <w:t xml:space="preserve"> cen</w:t>
      </w:r>
      <w:r w:rsidR="009D050F">
        <w:rPr>
          <w:rFonts w:ascii="Times New Roman" w:eastAsia="Batang" w:hAnsi="Times New Roman"/>
          <w:lang w:eastAsia="ko-KR"/>
        </w:rPr>
        <w:t>tral role in planning processes.</w:t>
      </w:r>
      <w:r w:rsidR="002E07B0">
        <w:rPr>
          <w:rFonts w:ascii="Times New Roman" w:eastAsia="Batang" w:hAnsi="Times New Roman"/>
          <w:lang w:eastAsia="ko-KR"/>
        </w:rPr>
        <w:t xml:space="preserve"> </w:t>
      </w:r>
      <w:r w:rsidRPr="002D73E0">
        <w:rPr>
          <w:rFonts w:ascii="Times New Roman" w:eastAsia="Batang" w:hAnsi="Times New Roman"/>
          <w:lang w:eastAsia="ko-KR"/>
        </w:rPr>
        <w:t xml:space="preserve">Based on lessons learned in 15 countries, UNDP has developed guidance notes with practical suggestions for the design, planning and implementation of post-crisis recovery programmes. The Multi-Partner Trust Fund Office, in cooperation with the Peacebuilding Support Office, </w:t>
      </w:r>
      <w:r w:rsidR="009D050F">
        <w:rPr>
          <w:rFonts w:ascii="Times New Roman" w:eastAsia="Batang" w:hAnsi="Times New Roman"/>
          <w:lang w:eastAsia="ko-KR"/>
        </w:rPr>
        <w:t>conducted</w:t>
      </w:r>
      <w:r w:rsidRPr="002D73E0">
        <w:rPr>
          <w:rFonts w:ascii="Times New Roman" w:eastAsia="Batang" w:hAnsi="Times New Roman"/>
          <w:lang w:eastAsia="ko-KR"/>
        </w:rPr>
        <w:t xml:space="preserve"> a mapping exercise of the UN pooled/inter-agency financing mechanisms available in transition countries. The UN-wide policy on integrated mission transition was finalized in February 2013. </w:t>
      </w:r>
    </w:p>
    <w:p w:rsidR="00B02159" w:rsidRDefault="00B02159" w:rsidP="00B02159">
      <w:pPr>
        <w:tabs>
          <w:tab w:val="left" w:pos="360"/>
        </w:tabs>
        <w:spacing w:after="0" w:line="240" w:lineRule="auto"/>
        <w:contextualSpacing/>
        <w:jc w:val="both"/>
        <w:rPr>
          <w:rFonts w:ascii="Times New Roman" w:eastAsia="Batang" w:hAnsi="Times New Roman"/>
          <w:lang w:eastAsia="ko-KR"/>
        </w:rPr>
      </w:pPr>
    </w:p>
    <w:p w:rsidR="00B02159" w:rsidRDefault="00B02159" w:rsidP="009D6947">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F86B76">
        <w:rPr>
          <w:rFonts w:ascii="Times New Roman" w:eastAsia="Batang" w:hAnsi="Times New Roman"/>
          <w:lang w:eastAsia="ko-KR"/>
        </w:rPr>
        <w:t xml:space="preserve">The </w:t>
      </w:r>
      <w:r w:rsidRPr="00F86B76">
        <w:rPr>
          <w:rFonts w:ascii="Times New Roman" w:eastAsia="Batang" w:hAnsi="Times New Roman"/>
          <w:b/>
          <w:lang w:eastAsia="ko-KR"/>
        </w:rPr>
        <w:t>Evaluation of UNDP contribution to poverty reduction</w:t>
      </w:r>
      <w:r w:rsidRPr="00F86B76">
        <w:rPr>
          <w:rFonts w:ascii="Times New Roman" w:eastAsia="Batang" w:hAnsi="Times New Roman"/>
          <w:lang w:eastAsia="ko-KR"/>
        </w:rPr>
        <w:t xml:space="preserve"> found that UNDP took a pragmatic, flexible approach to poverty reduction. It found that, overall UNDP’s approach had advanced the poverty eradication agenda by being country-specific, and had influenced the poverty eradication agenda by introducing a multidimensional human development perspective. The evaluation cited evidence that, “when given the opportunity”, UNDP “effectively supported national efforts aimed at capacity development for evidence-based pro-poor policy making.” In response to 4 recommendations, UNDP committed to implementing 15 key actions, of which 13 (or 87%) had been completed as of end March 2015.  </w:t>
      </w:r>
      <w:r w:rsidR="00C20929" w:rsidRPr="00F86B76">
        <w:rPr>
          <w:rFonts w:ascii="Times New Roman" w:eastAsia="Batang" w:hAnsi="Times New Roman"/>
          <w:lang w:eastAsia="ko-KR"/>
        </w:rPr>
        <w:t>Results-oriented Annual Reports increasingly captured partnerships with civil society and academia</w:t>
      </w:r>
      <w:r w:rsidR="00F204CF" w:rsidRPr="00F86B76">
        <w:rPr>
          <w:rFonts w:ascii="Times New Roman" w:eastAsia="Batang" w:hAnsi="Times New Roman"/>
          <w:lang w:eastAsia="ko-KR"/>
        </w:rPr>
        <w:t>, for instance on the occasions of</w:t>
      </w:r>
      <w:r w:rsidR="00C20929" w:rsidRPr="00F86B76">
        <w:rPr>
          <w:rFonts w:ascii="Times New Roman" w:eastAsia="Batang" w:hAnsi="Times New Roman"/>
          <w:lang w:eastAsia="ko-KR"/>
        </w:rPr>
        <w:t xml:space="preserve"> </w:t>
      </w:r>
      <w:r w:rsidRPr="00F86B76">
        <w:rPr>
          <w:rFonts w:ascii="Times New Roman" w:eastAsia="Batang" w:hAnsi="Times New Roman"/>
          <w:lang w:eastAsia="ko-KR"/>
        </w:rPr>
        <w:t xml:space="preserve">the rollout of the MDG Acceleration Framework (MAF) </w:t>
      </w:r>
      <w:r w:rsidR="00F204CF" w:rsidRPr="00F86B76">
        <w:rPr>
          <w:rFonts w:ascii="Times New Roman" w:eastAsia="Batang" w:hAnsi="Times New Roman"/>
          <w:lang w:eastAsia="ko-KR"/>
        </w:rPr>
        <w:t xml:space="preserve">or in </w:t>
      </w:r>
      <w:r w:rsidRPr="00F86B76">
        <w:rPr>
          <w:rFonts w:ascii="Times New Roman" w:eastAsia="Batang" w:hAnsi="Times New Roman"/>
          <w:lang w:eastAsia="ko-KR"/>
        </w:rPr>
        <w:t xml:space="preserve">the context of the post-2015 development framework discussions, </w:t>
      </w:r>
      <w:r w:rsidR="00F204CF" w:rsidRPr="00F86B76">
        <w:rPr>
          <w:rFonts w:ascii="Times New Roman" w:eastAsia="Batang" w:hAnsi="Times New Roman"/>
          <w:lang w:eastAsia="ko-KR"/>
        </w:rPr>
        <w:t xml:space="preserve">in particular in the </w:t>
      </w:r>
      <w:r w:rsidRPr="00F86B76">
        <w:rPr>
          <w:rFonts w:ascii="Times New Roman" w:eastAsia="Batang" w:hAnsi="Times New Roman"/>
          <w:lang w:eastAsia="ko-KR"/>
        </w:rPr>
        <w:t>national, thematic and global consultations and outreach efforts through the MyWorld initiative.</w:t>
      </w:r>
      <w:r w:rsidR="00F86B76" w:rsidRPr="00F86B76">
        <w:rPr>
          <w:rFonts w:ascii="Times New Roman" w:eastAsia="Batang" w:hAnsi="Times New Roman"/>
          <w:lang w:eastAsia="ko-KR"/>
        </w:rPr>
        <w:t xml:space="preserve"> </w:t>
      </w:r>
      <w:r w:rsidR="009D6947">
        <w:rPr>
          <w:rFonts w:ascii="Times New Roman" w:eastAsia="Batang" w:hAnsi="Times New Roman"/>
          <w:lang w:eastAsia="ko-KR"/>
        </w:rPr>
        <w:t xml:space="preserve">According to the Strategic Plan (2014-2017) and the Integrated Results and Resources Framework (IRRF), UNDP committed itself to </w:t>
      </w:r>
      <w:r w:rsidR="003B7340">
        <w:rPr>
          <w:rFonts w:ascii="Times New Roman" w:eastAsia="Batang" w:hAnsi="Times New Roman"/>
          <w:lang w:eastAsia="ko-KR"/>
        </w:rPr>
        <w:t xml:space="preserve">supporting through all its work global efforts deployed for simultaneous eradication of poverty and significant reduction in inequality and exclusion.  </w:t>
      </w:r>
      <w:r w:rsidR="009D6947">
        <w:rPr>
          <w:rFonts w:ascii="Times New Roman" w:eastAsia="Batang" w:hAnsi="Times New Roman"/>
          <w:lang w:eastAsia="ko-KR"/>
        </w:rPr>
        <w:t xml:space="preserve"> </w:t>
      </w:r>
    </w:p>
    <w:p w:rsidR="00F86B76" w:rsidRDefault="00F86B76" w:rsidP="00F86B76">
      <w:pPr>
        <w:tabs>
          <w:tab w:val="left" w:pos="360"/>
        </w:tabs>
        <w:spacing w:after="0" w:line="240" w:lineRule="auto"/>
        <w:contextualSpacing/>
        <w:jc w:val="both"/>
        <w:rPr>
          <w:rFonts w:ascii="Times New Roman" w:eastAsia="Batang" w:hAnsi="Times New Roman"/>
          <w:lang w:eastAsia="ko-KR"/>
        </w:rPr>
      </w:pPr>
    </w:p>
    <w:p w:rsidR="007F0D0C" w:rsidRPr="007F0D0C" w:rsidRDefault="00B02159" w:rsidP="007F0D0C">
      <w:pPr>
        <w:numPr>
          <w:ilvl w:val="0"/>
          <w:numId w:val="9"/>
        </w:numPr>
        <w:tabs>
          <w:tab w:val="left" w:pos="360"/>
        </w:tabs>
        <w:spacing w:after="0" w:line="240" w:lineRule="auto"/>
        <w:ind w:left="0" w:firstLine="0"/>
        <w:rPr>
          <w:rFonts w:ascii="Times New Roman" w:eastAsia="Batang" w:hAnsi="Times New Roman"/>
          <w:lang w:val="en-GB" w:eastAsia="ko-KR"/>
        </w:rPr>
      </w:pPr>
      <w:r w:rsidRPr="00C44F2D">
        <w:rPr>
          <w:rFonts w:ascii="Times New Roman" w:eastAsia="Batang" w:hAnsi="Times New Roman"/>
          <w:b/>
          <w:lang w:eastAsia="ko-KR"/>
        </w:rPr>
        <w:lastRenderedPageBreak/>
        <w:t>Evaluation of UNDP c</w:t>
      </w:r>
      <w:r w:rsidR="007F0D0C">
        <w:rPr>
          <w:rFonts w:ascii="Times New Roman" w:eastAsia="Batang" w:hAnsi="Times New Roman"/>
          <w:b/>
          <w:lang w:eastAsia="ko-KR"/>
        </w:rPr>
        <w:t>ontribution to South-South and Triangular C</w:t>
      </w:r>
      <w:r w:rsidRPr="00C44F2D">
        <w:rPr>
          <w:rFonts w:ascii="Times New Roman" w:eastAsia="Batang" w:hAnsi="Times New Roman"/>
          <w:b/>
          <w:lang w:eastAsia="ko-KR"/>
        </w:rPr>
        <w:t>ooperation</w:t>
      </w:r>
      <w:r w:rsidRPr="00C44F2D">
        <w:rPr>
          <w:rFonts w:ascii="Times New Roman" w:eastAsia="Batang" w:hAnsi="Times New Roman"/>
          <w:lang w:eastAsia="ko-KR"/>
        </w:rPr>
        <w:t xml:space="preserve">: UNDP management response to </w:t>
      </w:r>
      <w:r>
        <w:rPr>
          <w:rFonts w:ascii="Times New Roman" w:eastAsia="Batang" w:hAnsi="Times New Roman"/>
          <w:lang w:eastAsia="ko-KR"/>
        </w:rPr>
        <w:t>this</w:t>
      </w:r>
      <w:r w:rsidRPr="00C44F2D">
        <w:rPr>
          <w:rFonts w:ascii="Times New Roman" w:eastAsia="Batang" w:hAnsi="Times New Roman"/>
          <w:lang w:eastAsia="ko-KR"/>
        </w:rPr>
        <w:t xml:space="preserve"> evaluation provides substantial evidence of UNDP support to South-South and </w:t>
      </w:r>
      <w:r w:rsidR="007F0D0C">
        <w:rPr>
          <w:rFonts w:ascii="Times New Roman" w:eastAsia="Batang" w:hAnsi="Times New Roman"/>
          <w:lang w:eastAsia="ko-KR"/>
        </w:rPr>
        <w:t>T</w:t>
      </w:r>
      <w:r w:rsidRPr="00C44F2D">
        <w:rPr>
          <w:rFonts w:ascii="Times New Roman" w:eastAsia="Batang" w:hAnsi="Times New Roman"/>
          <w:lang w:eastAsia="ko-KR"/>
        </w:rPr>
        <w:t xml:space="preserve">riangular </w:t>
      </w:r>
      <w:r w:rsidR="007F0D0C">
        <w:rPr>
          <w:rFonts w:ascii="Times New Roman" w:eastAsia="Batang" w:hAnsi="Times New Roman"/>
          <w:lang w:eastAsia="ko-KR"/>
        </w:rPr>
        <w:t>C</w:t>
      </w:r>
      <w:r w:rsidRPr="00C44F2D">
        <w:rPr>
          <w:rFonts w:ascii="Times New Roman" w:eastAsia="Batang" w:hAnsi="Times New Roman"/>
          <w:lang w:eastAsia="ko-KR"/>
        </w:rPr>
        <w:t>ooperation at country, regional and global levels across all focus areas of the current strategic plan through partnerships, knowledge sharing, policy, programme and operational support. In response to 5 recommendations, UNDP committed to implement</w:t>
      </w:r>
      <w:r>
        <w:rPr>
          <w:rFonts w:ascii="Times New Roman" w:eastAsia="Batang" w:hAnsi="Times New Roman"/>
          <w:lang w:eastAsia="ko-KR"/>
        </w:rPr>
        <w:t>ing</w:t>
      </w:r>
      <w:r w:rsidRPr="00C44F2D">
        <w:rPr>
          <w:rFonts w:ascii="Times New Roman" w:eastAsia="Batang" w:hAnsi="Times New Roman"/>
          <w:lang w:eastAsia="ko-KR"/>
        </w:rPr>
        <w:t xml:space="preserve"> 21 key actions, of which 18 (or 85%) had been completed as of end March 2015. The South-South and triangular cooperation </w:t>
      </w:r>
      <w:r>
        <w:rPr>
          <w:rFonts w:ascii="Times New Roman" w:eastAsia="Batang" w:hAnsi="Times New Roman"/>
          <w:lang w:eastAsia="ko-KR"/>
        </w:rPr>
        <w:t xml:space="preserve">was </w:t>
      </w:r>
      <w:r w:rsidRPr="00C44F2D">
        <w:rPr>
          <w:rFonts w:ascii="Times New Roman" w:eastAsia="Batang" w:hAnsi="Times New Roman"/>
          <w:lang w:eastAsia="ko-KR"/>
        </w:rPr>
        <w:t xml:space="preserve">embedded in the 2014-2017 Strategic Plan as </w:t>
      </w:r>
      <w:r>
        <w:rPr>
          <w:rFonts w:ascii="Times New Roman" w:eastAsia="Batang" w:hAnsi="Times New Roman"/>
          <w:lang w:eastAsia="ko-KR"/>
        </w:rPr>
        <w:t xml:space="preserve">a </w:t>
      </w:r>
      <w:r w:rsidRPr="00C44F2D">
        <w:rPr>
          <w:rFonts w:ascii="Times New Roman" w:eastAsia="Batang" w:hAnsi="Times New Roman"/>
          <w:lang w:eastAsia="ko-KR"/>
        </w:rPr>
        <w:t>core way of working, and integrated into the new approved global programme and fiv</w:t>
      </w:r>
      <w:r w:rsidR="007F0D0C">
        <w:rPr>
          <w:rFonts w:ascii="Times New Roman" w:eastAsia="Batang" w:hAnsi="Times New Roman"/>
          <w:lang w:eastAsia="ko-KR"/>
        </w:rPr>
        <w:t>e regional programmes. The new Strategic P</w:t>
      </w:r>
      <w:r w:rsidRPr="00C44F2D">
        <w:rPr>
          <w:rFonts w:ascii="Times New Roman" w:eastAsia="Batang" w:hAnsi="Times New Roman"/>
          <w:lang w:eastAsia="ko-KR"/>
        </w:rPr>
        <w:t xml:space="preserve">lan </w:t>
      </w:r>
      <w:r w:rsidR="007F0D0C">
        <w:rPr>
          <w:rFonts w:ascii="Times New Roman" w:eastAsia="Batang" w:hAnsi="Times New Roman"/>
          <w:lang w:eastAsia="ko-KR"/>
        </w:rPr>
        <w:t>Integrated R</w:t>
      </w:r>
      <w:r w:rsidRPr="00C44F2D">
        <w:rPr>
          <w:rFonts w:ascii="Times New Roman" w:eastAsia="Batang" w:hAnsi="Times New Roman"/>
          <w:lang w:eastAsia="ko-KR"/>
        </w:rPr>
        <w:t xml:space="preserve">esults </w:t>
      </w:r>
      <w:r w:rsidR="007F0D0C">
        <w:rPr>
          <w:rFonts w:ascii="Times New Roman" w:eastAsia="Batang" w:hAnsi="Times New Roman"/>
          <w:lang w:eastAsia="ko-KR"/>
        </w:rPr>
        <w:t>and Resources F</w:t>
      </w:r>
      <w:r w:rsidRPr="00C44F2D">
        <w:rPr>
          <w:rFonts w:ascii="Times New Roman" w:eastAsia="Batang" w:hAnsi="Times New Roman"/>
          <w:lang w:eastAsia="ko-KR"/>
        </w:rPr>
        <w:t>ramework</w:t>
      </w:r>
      <w:r w:rsidR="007F0D0C">
        <w:rPr>
          <w:rFonts w:ascii="Times New Roman" w:eastAsia="Batang" w:hAnsi="Times New Roman"/>
          <w:lang w:eastAsia="ko-KR"/>
        </w:rPr>
        <w:t xml:space="preserve"> (IRRF)</w:t>
      </w:r>
      <w:r w:rsidRPr="00C44F2D">
        <w:rPr>
          <w:rFonts w:ascii="Times New Roman" w:eastAsia="Batang" w:hAnsi="Times New Roman"/>
          <w:lang w:eastAsia="ko-KR"/>
        </w:rPr>
        <w:t xml:space="preserve"> in</w:t>
      </w:r>
      <w:r w:rsidR="007F0D0C">
        <w:rPr>
          <w:rFonts w:ascii="Times New Roman" w:eastAsia="Batang" w:hAnsi="Times New Roman"/>
          <w:lang w:eastAsia="ko-KR"/>
        </w:rPr>
        <w:t xml:space="preserve">cludes 4 output indicators and 1 </w:t>
      </w:r>
      <w:r w:rsidRPr="00C44F2D">
        <w:rPr>
          <w:rFonts w:ascii="Times New Roman" w:eastAsia="Batang" w:hAnsi="Times New Roman"/>
          <w:lang w:eastAsia="ko-KR"/>
        </w:rPr>
        <w:t>organizational effectiveness indicator for</w:t>
      </w:r>
      <w:r w:rsidR="007F0D0C">
        <w:rPr>
          <w:rFonts w:ascii="Times New Roman" w:eastAsia="Batang" w:hAnsi="Times New Roman"/>
          <w:lang w:eastAsia="ko-KR"/>
        </w:rPr>
        <w:t xml:space="preserve"> measuring South-South and Triangular C</w:t>
      </w:r>
      <w:r w:rsidRPr="00C44F2D">
        <w:rPr>
          <w:rFonts w:ascii="Times New Roman" w:eastAsia="Batang" w:hAnsi="Times New Roman"/>
          <w:lang w:eastAsia="ko-KR"/>
        </w:rPr>
        <w:t xml:space="preserve">ooperation. </w:t>
      </w:r>
      <w:r w:rsidR="007F0D0C" w:rsidRPr="007F0D0C">
        <w:rPr>
          <w:rFonts w:ascii="Times New Roman" w:eastAsia="Batang" w:hAnsi="Times New Roman"/>
          <w:lang w:val="en-GB" w:eastAsia="ko-KR"/>
        </w:rPr>
        <w:t xml:space="preserve">The Results-Oriented Annual Report (ROAR) has a distinct section on South-South and triangular cooperation asking reporting units to present initiatives and modalities in which SSC was used in programmes at global, regional and country levels.  UNDP has ensured the mainstreaming of South-South and Triangular Cooperation into Country Project Document (CPD) guidelines. Newly developed CPDs in 2014 have consistently integrated South-South and triangular cooperation initiatives and approaches for programme implementation. Similarly, changes have been adopted to allow for multi-country South-South and triangular cooperation projects, common results framework, and cost-recovery mechanisms, A new cost-sharing template has been developed for South-South and triangular cooperation contributions to accommodate both financial and in-kind contributions.  </w:t>
      </w:r>
    </w:p>
    <w:p w:rsidR="00F70F2F" w:rsidRDefault="00F70F2F" w:rsidP="00F70F2F">
      <w:pPr>
        <w:tabs>
          <w:tab w:val="left" w:pos="360"/>
        </w:tabs>
        <w:spacing w:after="0" w:line="240" w:lineRule="auto"/>
        <w:contextualSpacing/>
        <w:jc w:val="both"/>
        <w:rPr>
          <w:rFonts w:ascii="Times New Roman" w:eastAsia="Batang" w:hAnsi="Times New Roman"/>
          <w:lang w:eastAsia="ko-KR"/>
        </w:rPr>
      </w:pPr>
    </w:p>
    <w:p w:rsidR="008B4102" w:rsidRPr="008B4102" w:rsidRDefault="00C53151" w:rsidP="008B4102">
      <w:pPr>
        <w:tabs>
          <w:tab w:val="left" w:pos="360"/>
        </w:tabs>
        <w:spacing w:after="0" w:line="240" w:lineRule="auto"/>
        <w:contextualSpacing/>
        <w:jc w:val="both"/>
        <w:rPr>
          <w:rFonts w:ascii="Times New Roman" w:eastAsia="Batang" w:hAnsi="Times New Roman"/>
          <w:b/>
          <w:lang w:eastAsia="ko-KR"/>
        </w:rPr>
      </w:pPr>
      <w:r>
        <w:rPr>
          <w:rFonts w:ascii="Times New Roman" w:eastAsia="Batang" w:hAnsi="Times New Roman"/>
          <w:b/>
          <w:lang w:eastAsia="ko-KR"/>
        </w:rPr>
        <w:t>Evaluation of Global Programme</w:t>
      </w:r>
    </w:p>
    <w:p w:rsidR="008B4102" w:rsidRPr="00F70F2F" w:rsidRDefault="008B4102" w:rsidP="00F70F2F">
      <w:pPr>
        <w:tabs>
          <w:tab w:val="left" w:pos="360"/>
        </w:tabs>
        <w:spacing w:after="0" w:line="240" w:lineRule="auto"/>
        <w:contextualSpacing/>
        <w:jc w:val="both"/>
        <w:rPr>
          <w:rFonts w:ascii="Times New Roman" w:eastAsia="Batang" w:hAnsi="Times New Roman"/>
          <w:lang w:eastAsia="ko-KR"/>
        </w:rPr>
      </w:pPr>
    </w:p>
    <w:p w:rsidR="00560D19" w:rsidRPr="0024168A" w:rsidRDefault="00560D19" w:rsidP="000B75A6">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24168A">
        <w:rPr>
          <w:rFonts w:ascii="Times New Roman" w:eastAsia="Batang" w:hAnsi="Times New Roman"/>
          <w:b/>
          <w:lang w:eastAsia="ko-KR"/>
        </w:rPr>
        <w:t>The Evaluation of the fourth UNDP Global Programme</w:t>
      </w:r>
      <w:r w:rsidRPr="0024168A">
        <w:rPr>
          <w:rFonts w:ascii="Times New Roman" w:eastAsia="Batang" w:hAnsi="Times New Roman"/>
          <w:lang w:eastAsia="ko-KR"/>
        </w:rPr>
        <w:t xml:space="preserve"> </w:t>
      </w:r>
      <w:r w:rsidR="00A6361B" w:rsidRPr="00A6361B">
        <w:rPr>
          <w:rFonts w:ascii="Times New Roman" w:eastAsia="Batang" w:hAnsi="Times New Roman"/>
          <w:i/>
          <w:lang w:eastAsia="ko-KR"/>
        </w:rPr>
        <w:t>(completed in 2012)</w:t>
      </w:r>
      <w:r w:rsidR="00A6361B">
        <w:rPr>
          <w:rFonts w:ascii="Times New Roman" w:eastAsia="Batang" w:hAnsi="Times New Roman"/>
          <w:i/>
          <w:lang w:eastAsia="ko-KR"/>
        </w:rPr>
        <w:t xml:space="preserve"> </w:t>
      </w:r>
      <w:r w:rsidRPr="0024168A">
        <w:rPr>
          <w:rFonts w:ascii="Times New Roman" w:eastAsia="Batang" w:hAnsi="Times New Roman"/>
          <w:lang w:eastAsia="ko-KR"/>
        </w:rPr>
        <w:t xml:space="preserve">acknowledges that the </w:t>
      </w:r>
      <w:r w:rsidR="00EF4F21">
        <w:rPr>
          <w:rFonts w:ascii="Times New Roman" w:eastAsia="Batang" w:hAnsi="Times New Roman"/>
          <w:lang w:eastAsia="ko-KR"/>
        </w:rPr>
        <w:t xml:space="preserve">contribution of the </w:t>
      </w:r>
      <w:r w:rsidRPr="0024168A">
        <w:rPr>
          <w:rFonts w:ascii="Times New Roman" w:eastAsia="Batang" w:hAnsi="Times New Roman"/>
          <w:lang w:eastAsia="ko-KR"/>
        </w:rPr>
        <w:t xml:space="preserve">programme was important </w:t>
      </w:r>
      <w:r w:rsidR="00EF4F21">
        <w:rPr>
          <w:rFonts w:ascii="Times New Roman" w:eastAsia="Batang" w:hAnsi="Times New Roman"/>
          <w:lang w:eastAsia="ko-KR"/>
        </w:rPr>
        <w:t>for</w:t>
      </w:r>
      <w:r w:rsidR="00EF4F21" w:rsidRPr="0024168A">
        <w:rPr>
          <w:rFonts w:ascii="Times New Roman" w:eastAsia="Batang" w:hAnsi="Times New Roman"/>
          <w:lang w:eastAsia="ko-KR"/>
        </w:rPr>
        <w:t xml:space="preserve"> </w:t>
      </w:r>
      <w:r w:rsidRPr="0024168A">
        <w:rPr>
          <w:rFonts w:ascii="Times New Roman" w:eastAsia="Batang" w:hAnsi="Times New Roman"/>
          <w:lang w:eastAsia="ko-KR"/>
        </w:rPr>
        <w:t xml:space="preserve">global policy debates and </w:t>
      </w:r>
      <w:r w:rsidR="00D817F4">
        <w:rPr>
          <w:rFonts w:ascii="Times New Roman" w:eastAsia="Batang" w:hAnsi="Times New Roman"/>
          <w:lang w:eastAsia="ko-KR"/>
        </w:rPr>
        <w:t xml:space="preserve">for </w:t>
      </w:r>
      <w:r w:rsidRPr="0024168A">
        <w:rPr>
          <w:rFonts w:ascii="Times New Roman" w:eastAsia="Batang" w:hAnsi="Times New Roman"/>
          <w:lang w:eastAsia="ko-KR"/>
        </w:rPr>
        <w:t>shaping multilateral forums, using cross-country evidence and articulating proposals for the 2010 High-Level Plenary M</w:t>
      </w:r>
      <w:r w:rsidR="00140951">
        <w:rPr>
          <w:rFonts w:ascii="Times New Roman" w:eastAsia="Batang" w:hAnsi="Times New Roman"/>
          <w:lang w:eastAsia="ko-KR"/>
        </w:rPr>
        <w:t xml:space="preserve">eeting of the General Assembly. </w:t>
      </w:r>
      <w:r w:rsidRPr="0024168A">
        <w:rPr>
          <w:rFonts w:ascii="Times New Roman" w:eastAsia="Batang" w:hAnsi="Times New Roman"/>
          <w:lang w:eastAsia="ko-KR"/>
        </w:rPr>
        <w:t xml:space="preserve">The evaluation found that cross-practice work </w:t>
      </w:r>
      <w:r w:rsidR="00EF4F21">
        <w:rPr>
          <w:rFonts w:ascii="Times New Roman" w:eastAsia="Batang" w:hAnsi="Times New Roman"/>
          <w:lang w:eastAsia="ko-KR"/>
        </w:rPr>
        <w:t>had</w:t>
      </w:r>
      <w:r w:rsidR="00EF4F21" w:rsidRPr="0024168A">
        <w:rPr>
          <w:rFonts w:ascii="Times New Roman" w:eastAsia="Batang" w:hAnsi="Times New Roman"/>
          <w:lang w:eastAsia="ko-KR"/>
        </w:rPr>
        <w:t xml:space="preserve"> </w:t>
      </w:r>
      <w:r w:rsidRPr="0024168A">
        <w:rPr>
          <w:rFonts w:ascii="Times New Roman" w:eastAsia="Batang" w:hAnsi="Times New Roman"/>
          <w:lang w:eastAsia="ko-KR"/>
        </w:rPr>
        <w:t xml:space="preserve">improved in the key thematic areas, </w:t>
      </w:r>
      <w:r w:rsidR="00EF4F21">
        <w:rPr>
          <w:rFonts w:ascii="Times New Roman" w:eastAsia="Batang" w:hAnsi="Times New Roman"/>
          <w:lang w:eastAsia="ko-KR"/>
        </w:rPr>
        <w:t>despite some</w:t>
      </w:r>
      <w:r w:rsidRPr="0024168A">
        <w:rPr>
          <w:rFonts w:ascii="Times New Roman" w:eastAsia="Batang" w:hAnsi="Times New Roman"/>
          <w:lang w:eastAsia="ko-KR"/>
        </w:rPr>
        <w:t xml:space="preserve"> limitations in systematically promoting and institutionalizing </w:t>
      </w:r>
      <w:r w:rsidR="00EF4F21">
        <w:rPr>
          <w:rFonts w:ascii="Times New Roman" w:eastAsia="Batang" w:hAnsi="Times New Roman"/>
          <w:lang w:eastAsia="ko-KR"/>
        </w:rPr>
        <w:t>such</w:t>
      </w:r>
      <w:r w:rsidRPr="0024168A">
        <w:rPr>
          <w:rFonts w:ascii="Times New Roman" w:eastAsia="Batang" w:hAnsi="Times New Roman"/>
          <w:lang w:eastAsia="ko-KR"/>
        </w:rPr>
        <w:t xml:space="preserve"> work. As the evaluation </w:t>
      </w:r>
      <w:r w:rsidR="00EF4F21" w:rsidRPr="0024168A">
        <w:rPr>
          <w:rFonts w:ascii="Times New Roman" w:eastAsia="Batang" w:hAnsi="Times New Roman"/>
          <w:lang w:eastAsia="ko-KR"/>
        </w:rPr>
        <w:t>note</w:t>
      </w:r>
      <w:r w:rsidR="00EF4F21">
        <w:rPr>
          <w:rFonts w:ascii="Times New Roman" w:eastAsia="Batang" w:hAnsi="Times New Roman"/>
          <w:lang w:eastAsia="ko-KR"/>
        </w:rPr>
        <w:t>d</w:t>
      </w:r>
      <w:r w:rsidRPr="0024168A">
        <w:rPr>
          <w:rFonts w:ascii="Times New Roman" w:eastAsia="Batang" w:hAnsi="Times New Roman"/>
          <w:lang w:eastAsia="ko-KR"/>
        </w:rPr>
        <w:t xml:space="preserve">, some activities lent more to cross-practice collaboration than others. The </w:t>
      </w:r>
      <w:r w:rsidR="00420484">
        <w:rPr>
          <w:rFonts w:ascii="Times New Roman" w:eastAsia="Batang" w:hAnsi="Times New Roman"/>
          <w:lang w:eastAsia="ko-KR"/>
        </w:rPr>
        <w:t xml:space="preserve">new </w:t>
      </w:r>
      <w:r w:rsidRPr="0024168A">
        <w:rPr>
          <w:rFonts w:ascii="Times New Roman" w:eastAsia="Batang" w:hAnsi="Times New Roman"/>
          <w:lang w:eastAsia="ko-KR"/>
        </w:rPr>
        <w:t>Global Programme provide</w:t>
      </w:r>
      <w:r w:rsidR="00420484">
        <w:rPr>
          <w:rFonts w:ascii="Times New Roman" w:eastAsia="Batang" w:hAnsi="Times New Roman"/>
          <w:lang w:eastAsia="ko-KR"/>
        </w:rPr>
        <w:t>s</w:t>
      </w:r>
      <w:r w:rsidRPr="0024168A">
        <w:rPr>
          <w:rFonts w:ascii="Times New Roman" w:eastAsia="Batang" w:hAnsi="Times New Roman"/>
          <w:lang w:eastAsia="ko-KR"/>
        </w:rPr>
        <w:t xml:space="preserve"> better and more integrated programme-focused policy advice to be more effective in helping countries respond to increasingly complex and interconnected development challenges. </w:t>
      </w:r>
      <w:r w:rsidR="00377626" w:rsidRPr="0024168A">
        <w:rPr>
          <w:rFonts w:ascii="Times New Roman" w:eastAsia="Batang" w:hAnsi="Times New Roman"/>
          <w:lang w:eastAsia="ko-KR"/>
        </w:rPr>
        <w:t>UNDP committed to implement</w:t>
      </w:r>
      <w:r w:rsidR="00D817F4">
        <w:rPr>
          <w:rFonts w:ascii="Times New Roman" w:eastAsia="Batang" w:hAnsi="Times New Roman"/>
          <w:lang w:eastAsia="ko-KR"/>
        </w:rPr>
        <w:t>ing</w:t>
      </w:r>
      <w:r w:rsidR="00377626" w:rsidRPr="0024168A">
        <w:rPr>
          <w:rFonts w:ascii="Times New Roman" w:eastAsia="Batang" w:hAnsi="Times New Roman"/>
          <w:lang w:eastAsia="ko-KR"/>
        </w:rPr>
        <w:t xml:space="preserve"> 2</w:t>
      </w:r>
      <w:r w:rsidR="00432A44" w:rsidRPr="0024168A">
        <w:rPr>
          <w:rFonts w:ascii="Times New Roman" w:eastAsia="Batang" w:hAnsi="Times New Roman"/>
          <w:lang w:eastAsia="ko-KR"/>
        </w:rPr>
        <w:t>4</w:t>
      </w:r>
      <w:r w:rsidR="00377626" w:rsidRPr="0024168A">
        <w:rPr>
          <w:rFonts w:ascii="Times New Roman" w:eastAsia="Batang" w:hAnsi="Times New Roman"/>
          <w:lang w:eastAsia="ko-KR"/>
        </w:rPr>
        <w:t xml:space="preserve"> key actions, of which </w:t>
      </w:r>
      <w:r w:rsidR="007162ED">
        <w:rPr>
          <w:rFonts w:ascii="Times New Roman" w:eastAsia="Batang" w:hAnsi="Times New Roman"/>
          <w:lang w:eastAsia="ko-KR"/>
        </w:rPr>
        <w:t>1</w:t>
      </w:r>
      <w:r w:rsidR="00432A44" w:rsidRPr="0024168A">
        <w:rPr>
          <w:rFonts w:ascii="Times New Roman" w:eastAsia="Batang" w:hAnsi="Times New Roman"/>
          <w:lang w:eastAsia="ko-KR"/>
        </w:rPr>
        <w:t>7</w:t>
      </w:r>
      <w:r w:rsidR="00377626" w:rsidRPr="0024168A">
        <w:rPr>
          <w:rFonts w:ascii="Times New Roman" w:eastAsia="Batang" w:hAnsi="Times New Roman"/>
          <w:lang w:eastAsia="ko-KR"/>
        </w:rPr>
        <w:t xml:space="preserve"> (or</w:t>
      </w:r>
      <w:r w:rsidR="001A50D8">
        <w:rPr>
          <w:rFonts w:ascii="Times New Roman" w:eastAsia="Batang" w:hAnsi="Times New Roman"/>
          <w:lang w:eastAsia="ko-KR"/>
        </w:rPr>
        <w:t xml:space="preserve"> </w:t>
      </w:r>
      <w:r w:rsidR="007162ED">
        <w:rPr>
          <w:rFonts w:ascii="Times New Roman" w:eastAsia="Batang" w:hAnsi="Times New Roman"/>
          <w:lang w:eastAsia="ko-KR"/>
        </w:rPr>
        <w:t>7</w:t>
      </w:r>
      <w:r w:rsidR="000A3393" w:rsidRPr="0024168A">
        <w:rPr>
          <w:rFonts w:ascii="Times New Roman" w:eastAsia="Batang" w:hAnsi="Times New Roman"/>
          <w:lang w:eastAsia="ko-KR"/>
        </w:rPr>
        <w:t>0</w:t>
      </w:r>
      <w:r w:rsidR="00377626" w:rsidRPr="0024168A">
        <w:rPr>
          <w:rFonts w:ascii="Times New Roman" w:eastAsia="Batang" w:hAnsi="Times New Roman"/>
          <w:lang w:eastAsia="ko-KR"/>
        </w:rPr>
        <w:t>%) had been completed as of end March 2015</w:t>
      </w:r>
      <w:r w:rsidR="000A3393" w:rsidRPr="0024168A">
        <w:rPr>
          <w:rFonts w:ascii="Times New Roman" w:eastAsia="Batang" w:hAnsi="Times New Roman"/>
          <w:lang w:eastAsia="ko-KR"/>
        </w:rPr>
        <w:t>.</w:t>
      </w:r>
      <w:r w:rsidR="0024168A">
        <w:rPr>
          <w:rFonts w:ascii="Times New Roman" w:eastAsia="Batang" w:hAnsi="Times New Roman"/>
          <w:lang w:eastAsia="ko-KR"/>
        </w:rPr>
        <w:t xml:space="preserve"> </w:t>
      </w:r>
    </w:p>
    <w:p w:rsidR="00560D19" w:rsidRPr="00560D19" w:rsidRDefault="00560D19" w:rsidP="0067034D">
      <w:pPr>
        <w:tabs>
          <w:tab w:val="left" w:pos="360"/>
        </w:tabs>
        <w:spacing w:after="0" w:line="240" w:lineRule="auto"/>
        <w:contextualSpacing/>
        <w:jc w:val="both"/>
        <w:rPr>
          <w:rFonts w:ascii="Times New Roman" w:eastAsia="Batang" w:hAnsi="Times New Roman"/>
          <w:lang w:eastAsia="ko-KR"/>
        </w:rPr>
      </w:pPr>
    </w:p>
    <w:p w:rsidR="00560D19" w:rsidRPr="008B4102" w:rsidRDefault="008B4102" w:rsidP="00B86F2A">
      <w:pPr>
        <w:tabs>
          <w:tab w:val="left" w:pos="360"/>
        </w:tabs>
        <w:spacing w:after="0" w:line="240" w:lineRule="auto"/>
        <w:contextualSpacing/>
        <w:jc w:val="both"/>
        <w:rPr>
          <w:rFonts w:ascii="Times New Roman" w:eastAsia="Batang" w:hAnsi="Times New Roman"/>
          <w:b/>
          <w:lang w:eastAsia="ko-KR"/>
        </w:rPr>
      </w:pPr>
      <w:r>
        <w:rPr>
          <w:rFonts w:ascii="Times New Roman" w:eastAsia="Batang" w:hAnsi="Times New Roman"/>
          <w:b/>
          <w:lang w:eastAsia="ko-KR"/>
        </w:rPr>
        <w:t>Evaluation of Regional P</w:t>
      </w:r>
      <w:r w:rsidR="00560D19" w:rsidRPr="008B4102">
        <w:rPr>
          <w:rFonts w:ascii="Times New Roman" w:eastAsia="Batang" w:hAnsi="Times New Roman"/>
          <w:b/>
          <w:lang w:eastAsia="ko-KR"/>
        </w:rPr>
        <w:t>rogrammes</w:t>
      </w:r>
      <w:r w:rsidR="00EF4F21" w:rsidRPr="008B4102">
        <w:rPr>
          <w:rFonts w:ascii="Times New Roman" w:eastAsia="Batang" w:hAnsi="Times New Roman"/>
          <w:b/>
          <w:lang w:eastAsia="ko-KR"/>
        </w:rPr>
        <w:t xml:space="preserve"> </w:t>
      </w:r>
    </w:p>
    <w:p w:rsidR="00560D19" w:rsidRDefault="00560D19" w:rsidP="0067034D">
      <w:pPr>
        <w:tabs>
          <w:tab w:val="left" w:pos="360"/>
        </w:tabs>
        <w:spacing w:after="0" w:line="240" w:lineRule="auto"/>
        <w:contextualSpacing/>
        <w:jc w:val="both"/>
        <w:rPr>
          <w:rFonts w:ascii="Times New Roman" w:eastAsia="Batang" w:hAnsi="Times New Roman"/>
          <w:lang w:eastAsia="ko-KR"/>
        </w:rPr>
      </w:pPr>
    </w:p>
    <w:p w:rsidR="00A6361B" w:rsidRPr="0067034D" w:rsidRDefault="00A6361B" w:rsidP="00A6361B">
      <w:pPr>
        <w:tabs>
          <w:tab w:val="left" w:pos="360"/>
        </w:tabs>
        <w:spacing w:after="0" w:line="240" w:lineRule="auto"/>
        <w:contextualSpacing/>
        <w:jc w:val="both"/>
        <w:rPr>
          <w:rFonts w:ascii="Times New Roman" w:eastAsia="Batang" w:hAnsi="Times New Roman"/>
          <w:i/>
          <w:lang w:eastAsia="ko-KR"/>
        </w:rPr>
      </w:pPr>
      <w:r>
        <w:rPr>
          <w:rFonts w:ascii="Times New Roman" w:eastAsia="Batang" w:hAnsi="Times New Roman"/>
          <w:i/>
          <w:lang w:eastAsia="ko-KR"/>
        </w:rPr>
        <w:t xml:space="preserve">Status of Management Response commitments for </w:t>
      </w:r>
      <w:r w:rsidR="009269D1">
        <w:rPr>
          <w:rFonts w:ascii="Times New Roman" w:eastAsia="Batang" w:hAnsi="Times New Roman"/>
          <w:i/>
          <w:lang w:eastAsia="ko-KR"/>
        </w:rPr>
        <w:t>evaluations of Regional Programmes</w:t>
      </w:r>
      <w:r>
        <w:rPr>
          <w:rFonts w:ascii="Times New Roman" w:eastAsia="Batang" w:hAnsi="Times New Roman"/>
          <w:i/>
          <w:lang w:eastAsia="ko-KR"/>
        </w:rPr>
        <w:t xml:space="preserve"> completed in 2012</w:t>
      </w:r>
      <w:r w:rsidRPr="0067034D">
        <w:rPr>
          <w:rFonts w:ascii="Times New Roman" w:eastAsia="Batang" w:hAnsi="Times New Roman"/>
          <w:i/>
          <w:lang w:eastAsia="ko-KR"/>
        </w:rPr>
        <w:t>:</w:t>
      </w:r>
    </w:p>
    <w:p w:rsidR="00A6361B" w:rsidRPr="00560D19" w:rsidRDefault="00A6361B" w:rsidP="0067034D">
      <w:pPr>
        <w:tabs>
          <w:tab w:val="left" w:pos="360"/>
        </w:tabs>
        <w:spacing w:after="0" w:line="240" w:lineRule="auto"/>
        <w:contextualSpacing/>
        <w:jc w:val="both"/>
        <w:rPr>
          <w:rFonts w:ascii="Times New Roman" w:eastAsia="Batang" w:hAnsi="Times New Roman"/>
          <w:lang w:eastAsia="ko-KR"/>
        </w:rPr>
      </w:pPr>
    </w:p>
    <w:p w:rsidR="00071A9A" w:rsidRDefault="00560D19" w:rsidP="000C32F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961150">
        <w:rPr>
          <w:rFonts w:ascii="Times New Roman" w:eastAsia="Batang" w:hAnsi="Times New Roman"/>
          <w:b/>
          <w:lang w:eastAsia="ko-KR"/>
        </w:rPr>
        <w:t>The Evaluation of the regional programme for Asia and the Pacific</w:t>
      </w:r>
      <w:r w:rsidRPr="00961150">
        <w:rPr>
          <w:rFonts w:ascii="Times New Roman" w:eastAsia="Batang" w:hAnsi="Times New Roman"/>
          <w:lang w:eastAsia="ko-KR"/>
        </w:rPr>
        <w:t xml:space="preserve"> concluded that the programme was highly relevant, had addressed critical regional development challenges and had made important stri</w:t>
      </w:r>
      <w:r w:rsidRPr="00837457">
        <w:rPr>
          <w:rFonts w:ascii="Times New Roman" w:eastAsia="Batang" w:hAnsi="Times New Roman"/>
          <w:lang w:eastAsia="ko-KR"/>
        </w:rPr>
        <w:t xml:space="preserve">des to incorporate gender mainstreaming into policy, programming and implementation. In line with </w:t>
      </w:r>
      <w:r w:rsidR="00B128FE">
        <w:rPr>
          <w:rFonts w:ascii="Times New Roman" w:eastAsia="Batang" w:hAnsi="Times New Roman"/>
          <w:lang w:eastAsia="ko-KR"/>
        </w:rPr>
        <w:t xml:space="preserve">the </w:t>
      </w:r>
      <w:r w:rsidRPr="00837457">
        <w:rPr>
          <w:rFonts w:ascii="Times New Roman" w:eastAsia="Batang" w:hAnsi="Times New Roman"/>
          <w:lang w:eastAsia="ko-KR"/>
        </w:rPr>
        <w:t xml:space="preserve">evaluation recommendations, the new regional programme </w:t>
      </w:r>
      <w:r w:rsidR="00420484">
        <w:rPr>
          <w:rFonts w:ascii="Times New Roman" w:eastAsia="Batang" w:hAnsi="Times New Roman"/>
          <w:lang w:eastAsia="ko-KR"/>
        </w:rPr>
        <w:t>is</w:t>
      </w:r>
      <w:r w:rsidRPr="00837457">
        <w:rPr>
          <w:rFonts w:ascii="Times New Roman" w:eastAsia="Batang" w:hAnsi="Times New Roman"/>
          <w:lang w:eastAsia="ko-KR"/>
        </w:rPr>
        <w:t xml:space="preserve"> </w:t>
      </w:r>
      <w:r w:rsidRPr="001E3782">
        <w:rPr>
          <w:rFonts w:ascii="Times New Roman" w:eastAsia="Batang" w:hAnsi="Times New Roman"/>
          <w:lang w:eastAsia="ko-KR"/>
        </w:rPr>
        <w:t>implemented through a more institutionalized cross-practice approach</w:t>
      </w:r>
      <w:r w:rsidR="00420484">
        <w:rPr>
          <w:rFonts w:ascii="Times New Roman" w:eastAsia="Batang" w:hAnsi="Times New Roman"/>
          <w:lang w:eastAsia="ko-KR"/>
        </w:rPr>
        <w:t>,</w:t>
      </w:r>
      <w:r w:rsidRPr="001E3782">
        <w:rPr>
          <w:rFonts w:ascii="Times New Roman" w:eastAsia="Batang" w:hAnsi="Times New Roman"/>
          <w:lang w:eastAsia="ko-KR"/>
        </w:rPr>
        <w:t xml:space="preserve"> drawing from opportunities such as South-South cooperation. </w:t>
      </w:r>
    </w:p>
    <w:p w:rsidR="000C32F5" w:rsidRPr="00961150" w:rsidRDefault="000C32F5" w:rsidP="000C32F5">
      <w:pPr>
        <w:tabs>
          <w:tab w:val="left" w:pos="360"/>
        </w:tabs>
        <w:spacing w:after="0" w:line="240" w:lineRule="auto"/>
        <w:contextualSpacing/>
        <w:jc w:val="both"/>
        <w:rPr>
          <w:rFonts w:ascii="Times New Roman" w:eastAsia="Batang" w:hAnsi="Times New Roman"/>
          <w:lang w:eastAsia="ko-KR"/>
        </w:rPr>
      </w:pPr>
    </w:p>
    <w:p w:rsidR="000C32F5" w:rsidRDefault="00560D19" w:rsidP="000C32F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961150">
        <w:rPr>
          <w:rFonts w:ascii="Times New Roman" w:eastAsia="Batang" w:hAnsi="Times New Roman"/>
          <w:b/>
          <w:lang w:eastAsia="ko-KR"/>
        </w:rPr>
        <w:t>The Evaluation of the Regional Programme for Europe and the Commonwealth of Independent States</w:t>
      </w:r>
      <w:r w:rsidRPr="00837457">
        <w:rPr>
          <w:rFonts w:ascii="Times New Roman" w:eastAsia="Batang" w:hAnsi="Times New Roman"/>
          <w:lang w:eastAsia="ko-KR"/>
        </w:rPr>
        <w:t xml:space="preserve"> con</w:t>
      </w:r>
      <w:r w:rsidR="00351C38">
        <w:rPr>
          <w:rFonts w:ascii="Times New Roman" w:eastAsia="Batang" w:hAnsi="Times New Roman"/>
          <w:lang w:eastAsia="ko-KR"/>
        </w:rPr>
        <w:t>cluded</w:t>
      </w:r>
      <w:r w:rsidRPr="00837457">
        <w:rPr>
          <w:rFonts w:ascii="Times New Roman" w:eastAsia="Batang" w:hAnsi="Times New Roman"/>
          <w:lang w:eastAsia="ko-KR"/>
        </w:rPr>
        <w:t xml:space="preserve"> that the programme </w:t>
      </w:r>
      <w:r w:rsidR="00351C38">
        <w:rPr>
          <w:rFonts w:ascii="Times New Roman" w:eastAsia="Batang" w:hAnsi="Times New Roman"/>
          <w:lang w:eastAsia="ko-KR"/>
        </w:rPr>
        <w:t>had</w:t>
      </w:r>
      <w:r w:rsidRPr="00837457">
        <w:rPr>
          <w:rFonts w:ascii="Times New Roman" w:eastAsia="Batang" w:hAnsi="Times New Roman"/>
          <w:lang w:eastAsia="ko-KR"/>
        </w:rPr>
        <w:t xml:space="preserve"> tangible results in the areas of climate change, social inclusion and local development. </w:t>
      </w:r>
      <w:r w:rsidR="00420484">
        <w:rPr>
          <w:rFonts w:ascii="Times New Roman" w:eastAsia="Batang" w:hAnsi="Times New Roman"/>
          <w:lang w:eastAsia="ko-KR"/>
        </w:rPr>
        <w:t>T</w:t>
      </w:r>
      <w:r w:rsidRPr="001E3782">
        <w:rPr>
          <w:rFonts w:ascii="Times New Roman" w:eastAsia="Batang" w:hAnsi="Times New Roman"/>
          <w:lang w:eastAsia="ko-KR"/>
        </w:rPr>
        <w:t xml:space="preserve">he </w:t>
      </w:r>
      <w:r w:rsidR="00420484">
        <w:rPr>
          <w:rFonts w:ascii="Times New Roman" w:eastAsia="Batang" w:hAnsi="Times New Roman"/>
          <w:lang w:eastAsia="ko-KR"/>
        </w:rPr>
        <w:t>new</w:t>
      </w:r>
      <w:r w:rsidR="00420484" w:rsidRPr="001E3782">
        <w:rPr>
          <w:rFonts w:ascii="Times New Roman" w:eastAsia="Batang" w:hAnsi="Times New Roman"/>
          <w:lang w:eastAsia="ko-KR"/>
        </w:rPr>
        <w:t xml:space="preserve"> </w:t>
      </w:r>
      <w:r w:rsidRPr="001E3782">
        <w:rPr>
          <w:rFonts w:ascii="Times New Roman" w:eastAsia="Batang" w:hAnsi="Times New Roman"/>
          <w:lang w:eastAsia="ko-KR"/>
        </w:rPr>
        <w:t>regional programme is more focused with a li</w:t>
      </w:r>
      <w:r w:rsidR="00351C38">
        <w:rPr>
          <w:rFonts w:ascii="Times New Roman" w:eastAsia="Batang" w:hAnsi="Times New Roman"/>
          <w:lang w:eastAsia="ko-KR"/>
        </w:rPr>
        <w:t xml:space="preserve">mited number of thematic areas, </w:t>
      </w:r>
      <w:r w:rsidRPr="001E3782">
        <w:rPr>
          <w:rFonts w:ascii="Times New Roman" w:eastAsia="Batang" w:hAnsi="Times New Roman"/>
          <w:lang w:eastAsia="ko-KR"/>
        </w:rPr>
        <w:t>tailor</w:t>
      </w:r>
      <w:r w:rsidR="00420484">
        <w:rPr>
          <w:rFonts w:ascii="Times New Roman" w:eastAsia="Batang" w:hAnsi="Times New Roman"/>
          <w:lang w:eastAsia="ko-KR"/>
        </w:rPr>
        <w:t xml:space="preserve">ed </w:t>
      </w:r>
      <w:r w:rsidRPr="001E3782">
        <w:rPr>
          <w:rFonts w:ascii="Times New Roman" w:eastAsia="Batang" w:hAnsi="Times New Roman"/>
          <w:lang w:eastAsia="ko-KR"/>
        </w:rPr>
        <w:t xml:space="preserve">to </w:t>
      </w:r>
      <w:r w:rsidR="00351C38">
        <w:rPr>
          <w:rFonts w:ascii="Times New Roman" w:eastAsia="Batang" w:hAnsi="Times New Roman"/>
          <w:lang w:eastAsia="ko-KR"/>
        </w:rPr>
        <w:t xml:space="preserve">specific sub-regional and country needs. </w:t>
      </w:r>
      <w:r w:rsidR="00723779">
        <w:rPr>
          <w:rFonts w:ascii="Times New Roman" w:eastAsia="Batang" w:hAnsi="Times New Roman"/>
          <w:lang w:eastAsia="ko-KR"/>
        </w:rPr>
        <w:t>T</w:t>
      </w:r>
      <w:r w:rsidRPr="00715B09">
        <w:rPr>
          <w:rFonts w:ascii="Times New Roman" w:eastAsia="Batang" w:hAnsi="Times New Roman"/>
          <w:lang w:eastAsia="ko-KR"/>
        </w:rPr>
        <w:t xml:space="preserve">he programme has largely exceeded its resource mobilization targets, </w:t>
      </w:r>
      <w:r w:rsidR="00723779">
        <w:rPr>
          <w:rFonts w:ascii="Times New Roman" w:eastAsia="Batang" w:hAnsi="Times New Roman"/>
          <w:lang w:eastAsia="ko-KR"/>
        </w:rPr>
        <w:t xml:space="preserve">hence </w:t>
      </w:r>
      <w:r w:rsidRPr="00715B09">
        <w:rPr>
          <w:rFonts w:ascii="Times New Roman" w:eastAsia="Batang" w:hAnsi="Times New Roman"/>
          <w:lang w:eastAsia="ko-KR"/>
        </w:rPr>
        <w:t>the recommendation related to funding gaps is regarded as pa</w:t>
      </w:r>
      <w:r w:rsidR="00723779">
        <w:rPr>
          <w:rFonts w:ascii="Times New Roman" w:eastAsia="Batang" w:hAnsi="Times New Roman"/>
          <w:lang w:eastAsia="ko-KR"/>
        </w:rPr>
        <w:t>rtially relevant.</w:t>
      </w:r>
    </w:p>
    <w:p w:rsidR="00560D19" w:rsidRPr="00961150" w:rsidRDefault="00560D19" w:rsidP="000C32F5">
      <w:pPr>
        <w:tabs>
          <w:tab w:val="left" w:pos="360"/>
        </w:tabs>
        <w:spacing w:after="0" w:line="240" w:lineRule="auto"/>
        <w:contextualSpacing/>
        <w:jc w:val="both"/>
        <w:rPr>
          <w:rFonts w:ascii="Times New Roman" w:eastAsia="Batang" w:hAnsi="Times New Roman"/>
          <w:lang w:eastAsia="ko-KR"/>
        </w:rPr>
      </w:pPr>
      <w:r w:rsidRPr="000C32F5">
        <w:rPr>
          <w:rFonts w:ascii="Times New Roman" w:eastAsia="Batang" w:hAnsi="Times New Roman"/>
          <w:lang w:eastAsia="ko-KR"/>
        </w:rPr>
        <w:t xml:space="preserve"> </w:t>
      </w:r>
    </w:p>
    <w:p w:rsidR="00560D19" w:rsidRPr="00560D19" w:rsidRDefault="00560D19" w:rsidP="0067034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67034D">
        <w:rPr>
          <w:rFonts w:ascii="Times New Roman" w:eastAsia="Batang" w:hAnsi="Times New Roman"/>
          <w:b/>
          <w:lang w:eastAsia="ko-KR"/>
        </w:rPr>
        <w:t>The Evaluation of the regional programme for Latin America and the Caribbean</w:t>
      </w:r>
      <w:r w:rsidRPr="00560D19">
        <w:rPr>
          <w:rFonts w:ascii="Times New Roman" w:eastAsia="Batang" w:hAnsi="Times New Roman"/>
          <w:lang w:eastAsia="ko-KR"/>
        </w:rPr>
        <w:t xml:space="preserve"> </w:t>
      </w:r>
      <w:r w:rsidR="006F04F7">
        <w:rPr>
          <w:rFonts w:ascii="Times New Roman" w:eastAsia="Batang" w:hAnsi="Times New Roman"/>
          <w:lang w:eastAsia="ko-KR"/>
        </w:rPr>
        <w:t>concluded the</w:t>
      </w:r>
      <w:r w:rsidRPr="00560D19">
        <w:rPr>
          <w:rFonts w:ascii="Times New Roman" w:eastAsia="Batang" w:hAnsi="Times New Roman"/>
          <w:lang w:eastAsia="ko-KR"/>
        </w:rPr>
        <w:t xml:space="preserve"> programme to be relevant and effective in terms of contributions made in the region, generation of knowledge, positioning for South-South cooperation and mobilization of resources for country offices. The </w:t>
      </w:r>
      <w:r w:rsidR="00420484">
        <w:rPr>
          <w:rFonts w:ascii="Times New Roman" w:eastAsia="Batang" w:hAnsi="Times New Roman"/>
          <w:lang w:eastAsia="ko-KR"/>
        </w:rPr>
        <w:t xml:space="preserve">new </w:t>
      </w:r>
      <w:r w:rsidRPr="00560D19">
        <w:rPr>
          <w:rFonts w:ascii="Times New Roman" w:eastAsia="Batang" w:hAnsi="Times New Roman"/>
          <w:lang w:eastAsia="ko-KR"/>
        </w:rPr>
        <w:t>regional programme focus</w:t>
      </w:r>
      <w:r w:rsidR="00420484">
        <w:rPr>
          <w:rFonts w:ascii="Times New Roman" w:eastAsia="Batang" w:hAnsi="Times New Roman"/>
          <w:lang w:eastAsia="ko-KR"/>
        </w:rPr>
        <w:t>es</w:t>
      </w:r>
      <w:r w:rsidRPr="00560D19">
        <w:rPr>
          <w:rFonts w:ascii="Times New Roman" w:eastAsia="Batang" w:hAnsi="Times New Roman"/>
          <w:lang w:eastAsia="ko-KR"/>
        </w:rPr>
        <w:t xml:space="preserve"> on a limited number of strategic issues related to sustainable development </w:t>
      </w:r>
      <w:r w:rsidRPr="00560D19">
        <w:rPr>
          <w:rFonts w:ascii="Times New Roman" w:eastAsia="Batang" w:hAnsi="Times New Roman"/>
          <w:lang w:eastAsia="ko-KR"/>
        </w:rPr>
        <w:lastRenderedPageBreak/>
        <w:t xml:space="preserve">and resilience, </w:t>
      </w:r>
      <w:r w:rsidR="00C854ED">
        <w:rPr>
          <w:rFonts w:ascii="Times New Roman" w:eastAsia="Batang" w:hAnsi="Times New Roman"/>
          <w:lang w:eastAsia="ko-KR"/>
        </w:rPr>
        <w:t>with the</w:t>
      </w:r>
      <w:r w:rsidRPr="00560D19">
        <w:rPr>
          <w:rFonts w:ascii="Times New Roman" w:eastAsia="Batang" w:hAnsi="Times New Roman"/>
          <w:lang w:eastAsia="ko-KR"/>
        </w:rPr>
        <w:t xml:space="preserve"> main emphasis on increasing policy and technical advice, capacity development, knowledge brokering and partnership building. The programme retain</w:t>
      </w:r>
      <w:r w:rsidR="00420484">
        <w:rPr>
          <w:rFonts w:ascii="Times New Roman" w:eastAsia="Batang" w:hAnsi="Times New Roman"/>
          <w:lang w:eastAsia="ko-KR"/>
        </w:rPr>
        <w:t>s</w:t>
      </w:r>
      <w:r w:rsidRPr="00560D19">
        <w:rPr>
          <w:rFonts w:ascii="Times New Roman" w:eastAsia="Batang" w:hAnsi="Times New Roman"/>
          <w:lang w:eastAsia="ko-KR"/>
        </w:rPr>
        <w:t xml:space="preserve"> </w:t>
      </w:r>
      <w:r w:rsidR="00D37C39" w:rsidRPr="00560D19">
        <w:rPr>
          <w:rFonts w:ascii="Times New Roman" w:eastAsia="Batang" w:hAnsi="Times New Roman"/>
          <w:lang w:eastAsia="ko-KR"/>
        </w:rPr>
        <w:t>its</w:t>
      </w:r>
      <w:r w:rsidR="00C854ED">
        <w:rPr>
          <w:rFonts w:ascii="Times New Roman" w:eastAsia="Batang" w:hAnsi="Times New Roman"/>
          <w:lang w:eastAsia="ko-KR"/>
        </w:rPr>
        <w:t xml:space="preserve"> support to </w:t>
      </w:r>
      <w:r w:rsidRPr="00560D19">
        <w:rPr>
          <w:rFonts w:ascii="Times New Roman" w:eastAsia="Batang" w:hAnsi="Times New Roman"/>
          <w:lang w:eastAsia="ko-KR"/>
        </w:rPr>
        <w:t>differentiated needs of countries in the region, comprising a large num</w:t>
      </w:r>
      <w:r w:rsidR="00D37C39">
        <w:rPr>
          <w:rFonts w:ascii="Times New Roman" w:eastAsia="Batang" w:hAnsi="Times New Roman"/>
          <w:lang w:eastAsia="ko-KR"/>
        </w:rPr>
        <w:t>ber of middle-income countries</w:t>
      </w:r>
      <w:r w:rsidR="00B06FE2">
        <w:rPr>
          <w:rFonts w:ascii="Times New Roman" w:eastAsia="Batang" w:hAnsi="Times New Roman"/>
          <w:lang w:eastAsia="ko-KR"/>
        </w:rPr>
        <w:t>.</w:t>
      </w:r>
    </w:p>
    <w:p w:rsidR="00560D19" w:rsidRPr="00560D19" w:rsidRDefault="00560D19" w:rsidP="0067034D">
      <w:pPr>
        <w:tabs>
          <w:tab w:val="left" w:pos="360"/>
        </w:tabs>
        <w:spacing w:after="0" w:line="240" w:lineRule="auto"/>
        <w:contextualSpacing/>
        <w:jc w:val="both"/>
        <w:rPr>
          <w:rFonts w:ascii="Times New Roman" w:eastAsia="Batang" w:hAnsi="Times New Roman"/>
          <w:lang w:eastAsia="ko-KR"/>
        </w:rPr>
      </w:pPr>
    </w:p>
    <w:p w:rsidR="00560D19" w:rsidRPr="00560D19" w:rsidRDefault="0025466E" w:rsidP="0067034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25466E">
        <w:rPr>
          <w:rFonts w:ascii="Times New Roman" w:eastAsia="Batang" w:hAnsi="Times New Roman"/>
          <w:b/>
          <w:lang w:eastAsia="ko-KR"/>
        </w:rPr>
        <w:t>The</w:t>
      </w:r>
      <w:r w:rsidR="00560D19" w:rsidRPr="00560D19">
        <w:rPr>
          <w:rFonts w:ascii="Times New Roman" w:eastAsia="Batang" w:hAnsi="Times New Roman"/>
          <w:lang w:eastAsia="ko-KR"/>
        </w:rPr>
        <w:t xml:space="preserve"> </w:t>
      </w:r>
      <w:r w:rsidR="00560D19" w:rsidRPr="0067034D">
        <w:rPr>
          <w:rFonts w:ascii="Times New Roman" w:eastAsia="Batang" w:hAnsi="Times New Roman"/>
          <w:b/>
          <w:lang w:eastAsia="ko-KR"/>
        </w:rPr>
        <w:t>Evaluation of the regional programme for Africa</w:t>
      </w:r>
      <w:r w:rsidR="00560D19" w:rsidRPr="00560D19">
        <w:rPr>
          <w:rFonts w:ascii="Times New Roman" w:eastAsia="Batang" w:hAnsi="Times New Roman"/>
          <w:lang w:eastAsia="ko-KR"/>
        </w:rPr>
        <w:t xml:space="preserve"> </w:t>
      </w:r>
      <w:r>
        <w:rPr>
          <w:rFonts w:ascii="Times New Roman" w:eastAsia="Batang" w:hAnsi="Times New Roman"/>
          <w:lang w:eastAsia="ko-KR"/>
        </w:rPr>
        <w:t>concluded the</w:t>
      </w:r>
      <w:r w:rsidR="00EF4F21">
        <w:rPr>
          <w:rFonts w:ascii="Times New Roman" w:eastAsia="Batang" w:hAnsi="Times New Roman"/>
          <w:lang w:eastAsia="ko-KR"/>
        </w:rPr>
        <w:t xml:space="preserve"> </w:t>
      </w:r>
      <w:r w:rsidR="00560D19" w:rsidRPr="00560D19">
        <w:rPr>
          <w:rFonts w:ascii="Times New Roman" w:eastAsia="Batang" w:hAnsi="Times New Roman"/>
          <w:lang w:eastAsia="ko-KR"/>
        </w:rPr>
        <w:t xml:space="preserve">programme </w:t>
      </w:r>
      <w:r>
        <w:rPr>
          <w:rFonts w:ascii="Times New Roman" w:eastAsia="Batang" w:hAnsi="Times New Roman"/>
          <w:lang w:eastAsia="ko-KR"/>
        </w:rPr>
        <w:t xml:space="preserve">to be </w:t>
      </w:r>
      <w:r w:rsidR="00894307">
        <w:rPr>
          <w:rFonts w:ascii="Times New Roman" w:eastAsia="Batang" w:hAnsi="Times New Roman"/>
          <w:lang w:eastAsia="ko-KR"/>
        </w:rPr>
        <w:t>relevant</w:t>
      </w:r>
      <w:r>
        <w:rPr>
          <w:rFonts w:ascii="Times New Roman" w:eastAsia="Batang" w:hAnsi="Times New Roman"/>
          <w:lang w:eastAsia="ko-KR"/>
        </w:rPr>
        <w:t>, effective</w:t>
      </w:r>
      <w:r w:rsidR="00560D19" w:rsidRPr="00560D19">
        <w:rPr>
          <w:rFonts w:ascii="Times New Roman" w:eastAsia="Batang" w:hAnsi="Times New Roman"/>
          <w:lang w:eastAsia="ko-KR"/>
        </w:rPr>
        <w:t>, strategic</w:t>
      </w:r>
      <w:r>
        <w:rPr>
          <w:rFonts w:ascii="Times New Roman" w:eastAsia="Batang" w:hAnsi="Times New Roman"/>
          <w:lang w:eastAsia="ko-KR"/>
        </w:rPr>
        <w:t>ally positioned and responsive</w:t>
      </w:r>
      <w:r w:rsidR="00560D19" w:rsidRPr="00560D19">
        <w:rPr>
          <w:rFonts w:ascii="Times New Roman" w:eastAsia="Batang" w:hAnsi="Times New Roman"/>
          <w:lang w:eastAsia="ko-KR"/>
        </w:rPr>
        <w:t xml:space="preserve"> to emerging issue</w:t>
      </w:r>
      <w:r>
        <w:rPr>
          <w:rFonts w:ascii="Times New Roman" w:eastAsia="Batang" w:hAnsi="Times New Roman"/>
          <w:lang w:eastAsia="ko-KR"/>
        </w:rPr>
        <w:t>s such as the food crisis</w:t>
      </w:r>
      <w:r w:rsidR="00560D19" w:rsidRPr="00560D19">
        <w:rPr>
          <w:rFonts w:ascii="Times New Roman" w:eastAsia="Batang" w:hAnsi="Times New Roman"/>
          <w:lang w:eastAsia="ko-KR"/>
        </w:rPr>
        <w:t xml:space="preserve">. In </w:t>
      </w:r>
      <w:r w:rsidR="008E22E9">
        <w:rPr>
          <w:rFonts w:ascii="Times New Roman" w:eastAsia="Batang" w:hAnsi="Times New Roman"/>
          <w:lang w:eastAsia="ko-KR"/>
        </w:rPr>
        <w:t xml:space="preserve">line with evaluation recommendations, in the medium term, RBA has committed </w:t>
      </w:r>
      <w:r>
        <w:rPr>
          <w:rFonts w:ascii="Times New Roman" w:eastAsia="Batang" w:hAnsi="Times New Roman"/>
          <w:lang w:eastAsia="ko-KR"/>
        </w:rPr>
        <w:t xml:space="preserve">to </w:t>
      </w:r>
      <w:r w:rsidRPr="00560D19">
        <w:rPr>
          <w:rFonts w:ascii="Times New Roman" w:eastAsia="Batang" w:hAnsi="Times New Roman"/>
          <w:lang w:eastAsia="ko-KR"/>
        </w:rPr>
        <w:t>developing</w:t>
      </w:r>
      <w:r w:rsidR="00560D19" w:rsidRPr="00560D19">
        <w:rPr>
          <w:rFonts w:ascii="Times New Roman" w:eastAsia="Batang" w:hAnsi="Times New Roman"/>
          <w:lang w:eastAsia="ko-KR"/>
        </w:rPr>
        <w:t xml:space="preserve"> innovative ways to support collaboration between regional and global advisory functions that are re</w:t>
      </w:r>
      <w:r>
        <w:rPr>
          <w:rFonts w:ascii="Times New Roman" w:eastAsia="Batang" w:hAnsi="Times New Roman"/>
          <w:lang w:eastAsia="ko-KR"/>
        </w:rPr>
        <w:t xml:space="preserve">sponsive to African priorities; </w:t>
      </w:r>
      <w:r w:rsidR="00560D19" w:rsidRPr="00560D19">
        <w:rPr>
          <w:rFonts w:ascii="Times New Roman" w:eastAsia="Batang" w:hAnsi="Times New Roman"/>
          <w:lang w:eastAsia="ko-KR"/>
        </w:rPr>
        <w:t>giv</w:t>
      </w:r>
      <w:r w:rsidR="00420484">
        <w:rPr>
          <w:rFonts w:ascii="Times New Roman" w:eastAsia="Batang" w:hAnsi="Times New Roman"/>
          <w:lang w:eastAsia="ko-KR"/>
        </w:rPr>
        <w:t>ing</w:t>
      </w:r>
      <w:r w:rsidR="00560D19" w:rsidRPr="00560D19">
        <w:rPr>
          <w:rFonts w:ascii="Times New Roman" w:eastAsia="Batang" w:hAnsi="Times New Roman"/>
          <w:lang w:eastAsia="ko-KR"/>
        </w:rPr>
        <w:t xml:space="preserve"> more attention to African knowledge products d</w:t>
      </w:r>
      <w:r w:rsidR="008E22E9">
        <w:rPr>
          <w:rFonts w:ascii="Times New Roman" w:eastAsia="Batang" w:hAnsi="Times New Roman"/>
          <w:lang w:eastAsia="ko-KR"/>
        </w:rPr>
        <w:t>uring project formulation</w:t>
      </w:r>
      <w:r>
        <w:rPr>
          <w:rFonts w:ascii="Times New Roman" w:eastAsia="Batang" w:hAnsi="Times New Roman"/>
          <w:lang w:eastAsia="ko-KR"/>
        </w:rPr>
        <w:t>;</w:t>
      </w:r>
      <w:r w:rsidR="008E22E9">
        <w:rPr>
          <w:rFonts w:ascii="Times New Roman" w:eastAsia="Batang" w:hAnsi="Times New Roman"/>
          <w:lang w:eastAsia="ko-KR"/>
        </w:rPr>
        <w:t xml:space="preserve"> </w:t>
      </w:r>
      <w:r w:rsidR="00560D19" w:rsidRPr="00560D19">
        <w:rPr>
          <w:rFonts w:ascii="Times New Roman" w:eastAsia="Batang" w:hAnsi="Times New Roman"/>
          <w:lang w:eastAsia="ko-KR"/>
        </w:rPr>
        <w:t>design</w:t>
      </w:r>
      <w:r w:rsidR="00475B11">
        <w:rPr>
          <w:rFonts w:ascii="Times New Roman" w:eastAsia="Batang" w:hAnsi="Times New Roman"/>
          <w:lang w:eastAsia="ko-KR"/>
        </w:rPr>
        <w:t>ing</w:t>
      </w:r>
      <w:r w:rsidR="00560D19" w:rsidRPr="00560D19">
        <w:rPr>
          <w:rFonts w:ascii="Times New Roman" w:eastAsia="Batang" w:hAnsi="Times New Roman"/>
          <w:lang w:eastAsia="ko-KR"/>
        </w:rPr>
        <w:t xml:space="preserve"> a knowledge management and communication strategy to capture good practices in Africa</w:t>
      </w:r>
      <w:r w:rsidR="00101E67">
        <w:rPr>
          <w:rFonts w:ascii="Times New Roman" w:eastAsia="Batang" w:hAnsi="Times New Roman"/>
          <w:lang w:eastAsia="ko-KR"/>
        </w:rPr>
        <w:t xml:space="preserve">; </w:t>
      </w:r>
      <w:r w:rsidR="00560D19" w:rsidRPr="00560D19">
        <w:rPr>
          <w:rFonts w:ascii="Times New Roman" w:eastAsia="Batang" w:hAnsi="Times New Roman"/>
          <w:lang w:eastAsia="ko-KR"/>
        </w:rPr>
        <w:t>and</w:t>
      </w:r>
      <w:r w:rsidR="008E22E9">
        <w:rPr>
          <w:rFonts w:ascii="Times New Roman" w:eastAsia="Batang" w:hAnsi="Times New Roman"/>
          <w:lang w:eastAsia="ko-KR"/>
        </w:rPr>
        <w:t xml:space="preserve"> </w:t>
      </w:r>
      <w:r w:rsidR="00560D19" w:rsidRPr="00560D19">
        <w:rPr>
          <w:rFonts w:ascii="Times New Roman" w:eastAsia="Batang" w:hAnsi="Times New Roman"/>
          <w:lang w:eastAsia="ko-KR"/>
        </w:rPr>
        <w:t>us</w:t>
      </w:r>
      <w:r w:rsidR="00475B11">
        <w:rPr>
          <w:rFonts w:ascii="Times New Roman" w:eastAsia="Batang" w:hAnsi="Times New Roman"/>
          <w:lang w:eastAsia="ko-KR"/>
        </w:rPr>
        <w:t>ing</w:t>
      </w:r>
      <w:r w:rsidR="00560D19" w:rsidRPr="00560D19">
        <w:rPr>
          <w:rFonts w:ascii="Times New Roman" w:eastAsia="Batang" w:hAnsi="Times New Roman"/>
          <w:lang w:eastAsia="ko-KR"/>
        </w:rPr>
        <w:t xml:space="preserve"> successful African pilot projects as the basis for scaling-up global initiatives.</w:t>
      </w:r>
    </w:p>
    <w:p w:rsidR="00560D19" w:rsidRPr="00560D19" w:rsidRDefault="00560D19" w:rsidP="0067034D">
      <w:pPr>
        <w:tabs>
          <w:tab w:val="left" w:pos="360"/>
        </w:tabs>
        <w:spacing w:after="0" w:line="240" w:lineRule="auto"/>
        <w:contextualSpacing/>
        <w:jc w:val="both"/>
        <w:rPr>
          <w:rFonts w:ascii="Times New Roman" w:eastAsia="Batang" w:hAnsi="Times New Roman"/>
          <w:lang w:eastAsia="ko-KR"/>
        </w:rPr>
      </w:pPr>
    </w:p>
    <w:p w:rsidR="00560D19" w:rsidRDefault="00560D19" w:rsidP="007F0D0C">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894307">
        <w:rPr>
          <w:rFonts w:ascii="Times New Roman" w:eastAsia="Batang" w:hAnsi="Times New Roman"/>
          <w:lang w:eastAsia="ko-KR"/>
        </w:rPr>
        <w:t xml:space="preserve">The </w:t>
      </w:r>
      <w:r w:rsidRPr="00894307">
        <w:rPr>
          <w:rFonts w:ascii="Times New Roman" w:eastAsia="Batang" w:hAnsi="Times New Roman"/>
          <w:b/>
          <w:lang w:eastAsia="ko-KR"/>
        </w:rPr>
        <w:t>Evaluation of the regional programme for the Arab States</w:t>
      </w:r>
      <w:r w:rsidRPr="00894307">
        <w:rPr>
          <w:rFonts w:ascii="Times New Roman" w:eastAsia="Batang" w:hAnsi="Times New Roman"/>
          <w:lang w:eastAsia="ko-KR"/>
        </w:rPr>
        <w:t xml:space="preserve"> </w:t>
      </w:r>
      <w:r w:rsidR="00101E67" w:rsidRPr="00894307">
        <w:rPr>
          <w:rFonts w:ascii="Times New Roman" w:eastAsia="Batang" w:hAnsi="Times New Roman"/>
          <w:lang w:eastAsia="ko-KR"/>
        </w:rPr>
        <w:t xml:space="preserve">acknowledged </w:t>
      </w:r>
      <w:r w:rsidRPr="00894307">
        <w:rPr>
          <w:rFonts w:ascii="Times New Roman" w:eastAsia="Batang" w:hAnsi="Times New Roman"/>
          <w:lang w:eastAsia="ko-KR"/>
        </w:rPr>
        <w:t xml:space="preserve">that the programme </w:t>
      </w:r>
      <w:r w:rsidR="00101E67" w:rsidRPr="00894307">
        <w:rPr>
          <w:rFonts w:ascii="Times New Roman" w:eastAsia="Batang" w:hAnsi="Times New Roman"/>
          <w:lang w:eastAsia="ko-KR"/>
        </w:rPr>
        <w:t xml:space="preserve">had </w:t>
      </w:r>
      <w:r w:rsidRPr="00894307">
        <w:rPr>
          <w:rFonts w:ascii="Times New Roman" w:eastAsia="Batang" w:hAnsi="Times New Roman"/>
          <w:lang w:eastAsia="ko-KR"/>
        </w:rPr>
        <w:t>been implemented during a challengi</w:t>
      </w:r>
      <w:r w:rsidR="00894307" w:rsidRPr="00894307">
        <w:rPr>
          <w:rFonts w:ascii="Times New Roman" w:eastAsia="Batang" w:hAnsi="Times New Roman"/>
          <w:lang w:eastAsia="ko-KR"/>
        </w:rPr>
        <w:t>ng time in the region’s history, with</w:t>
      </w:r>
      <w:r w:rsidRPr="00894307">
        <w:rPr>
          <w:rFonts w:ascii="Times New Roman" w:eastAsia="Batang" w:hAnsi="Times New Roman"/>
          <w:lang w:eastAsia="ko-KR"/>
        </w:rPr>
        <w:t xml:space="preserve"> UNDP </w:t>
      </w:r>
      <w:r w:rsidR="00894307" w:rsidRPr="00894307">
        <w:rPr>
          <w:rFonts w:ascii="Times New Roman" w:eastAsia="Batang" w:hAnsi="Times New Roman"/>
          <w:lang w:eastAsia="ko-KR"/>
        </w:rPr>
        <w:t xml:space="preserve">being </w:t>
      </w:r>
      <w:r w:rsidRPr="00894307">
        <w:rPr>
          <w:rFonts w:ascii="Times New Roman" w:eastAsia="Batang" w:hAnsi="Times New Roman"/>
          <w:lang w:eastAsia="ko-KR"/>
        </w:rPr>
        <w:t>among the few aid organizations trying to promote good governance in the region</w:t>
      </w:r>
      <w:r w:rsidR="00894307" w:rsidRPr="00894307">
        <w:rPr>
          <w:rFonts w:ascii="Times New Roman" w:eastAsia="Batang" w:hAnsi="Times New Roman"/>
          <w:lang w:eastAsia="ko-KR"/>
        </w:rPr>
        <w:t xml:space="preserve">. In line with evaluation recommendation to </w:t>
      </w:r>
      <w:r w:rsidRPr="00894307">
        <w:rPr>
          <w:rFonts w:ascii="Times New Roman" w:eastAsia="Batang" w:hAnsi="Times New Roman"/>
          <w:lang w:eastAsia="ko-KR"/>
        </w:rPr>
        <w:t>ada</w:t>
      </w:r>
      <w:r w:rsidR="00894307" w:rsidRPr="00894307">
        <w:rPr>
          <w:rFonts w:ascii="Times New Roman" w:eastAsia="Batang" w:hAnsi="Times New Roman"/>
          <w:lang w:eastAsia="ko-KR"/>
        </w:rPr>
        <w:t>pt to regional transformations, p</w:t>
      </w:r>
      <w:r w:rsidRPr="00894307">
        <w:rPr>
          <w:rFonts w:ascii="Times New Roman" w:eastAsia="Batang" w:hAnsi="Times New Roman"/>
          <w:lang w:eastAsia="ko-KR"/>
        </w:rPr>
        <w:t>articipatory approaches inform</w:t>
      </w:r>
      <w:r w:rsidR="00475B11" w:rsidRPr="00894307">
        <w:rPr>
          <w:rFonts w:ascii="Times New Roman" w:eastAsia="Batang" w:hAnsi="Times New Roman"/>
          <w:lang w:eastAsia="ko-KR"/>
        </w:rPr>
        <w:t>ed</w:t>
      </w:r>
      <w:r w:rsidRPr="00894307">
        <w:rPr>
          <w:rFonts w:ascii="Times New Roman" w:eastAsia="Batang" w:hAnsi="Times New Roman"/>
          <w:lang w:eastAsia="ko-KR"/>
        </w:rPr>
        <w:t xml:space="preserve"> the </w:t>
      </w:r>
      <w:r w:rsidR="00101E67" w:rsidRPr="00894307">
        <w:rPr>
          <w:rFonts w:ascii="Times New Roman" w:eastAsia="Batang" w:hAnsi="Times New Roman"/>
          <w:lang w:eastAsia="ko-KR"/>
        </w:rPr>
        <w:t xml:space="preserve">2014-2017 </w:t>
      </w:r>
      <w:r w:rsidR="00894307" w:rsidRPr="00894307">
        <w:rPr>
          <w:rFonts w:ascii="Times New Roman" w:eastAsia="Batang" w:hAnsi="Times New Roman"/>
          <w:lang w:eastAsia="ko-KR"/>
        </w:rPr>
        <w:t xml:space="preserve">regional programme and built </w:t>
      </w:r>
      <w:r w:rsidRPr="00894307">
        <w:rPr>
          <w:rFonts w:ascii="Times New Roman" w:eastAsia="Batang" w:hAnsi="Times New Roman"/>
          <w:lang w:eastAsia="ko-KR"/>
        </w:rPr>
        <w:t xml:space="preserve">upon successfully established networks between governmental and non-governmental stakeholders (e.g. the Arab anti-corruption and integrity network). Resilience </w:t>
      </w:r>
      <w:r w:rsidR="00475B11" w:rsidRPr="00894307">
        <w:rPr>
          <w:rFonts w:ascii="Times New Roman" w:eastAsia="Batang" w:hAnsi="Times New Roman"/>
          <w:lang w:eastAsia="ko-KR"/>
        </w:rPr>
        <w:t>is a</w:t>
      </w:r>
      <w:r w:rsidR="00894307">
        <w:rPr>
          <w:rFonts w:ascii="Times New Roman" w:eastAsia="Batang" w:hAnsi="Times New Roman"/>
          <w:lang w:eastAsia="ko-KR"/>
        </w:rPr>
        <w:t xml:space="preserve"> cross-cutting theme, </w:t>
      </w:r>
      <w:r w:rsidRPr="00894307">
        <w:rPr>
          <w:rFonts w:ascii="Times New Roman" w:eastAsia="Batang" w:hAnsi="Times New Roman"/>
          <w:lang w:eastAsia="ko-KR"/>
        </w:rPr>
        <w:t>and inclusion</w:t>
      </w:r>
      <w:r w:rsidR="00894307">
        <w:rPr>
          <w:rFonts w:ascii="Times New Roman" w:eastAsia="Batang" w:hAnsi="Times New Roman"/>
          <w:lang w:eastAsia="ko-KR"/>
        </w:rPr>
        <w:t xml:space="preserve"> (targeting of youth and gender)</w:t>
      </w:r>
      <w:r w:rsidRPr="00894307">
        <w:rPr>
          <w:rFonts w:ascii="Times New Roman" w:eastAsia="Batang" w:hAnsi="Times New Roman"/>
          <w:lang w:eastAsia="ko-KR"/>
        </w:rPr>
        <w:t xml:space="preserve"> </w:t>
      </w:r>
      <w:r w:rsidR="00475B11" w:rsidRPr="00894307">
        <w:rPr>
          <w:rFonts w:ascii="Times New Roman" w:eastAsia="Batang" w:hAnsi="Times New Roman"/>
          <w:lang w:eastAsia="ko-KR"/>
        </w:rPr>
        <w:t>is</w:t>
      </w:r>
      <w:r w:rsidR="00894307">
        <w:rPr>
          <w:rFonts w:ascii="Times New Roman" w:eastAsia="Batang" w:hAnsi="Times New Roman"/>
          <w:lang w:eastAsia="ko-KR"/>
        </w:rPr>
        <w:t xml:space="preserve"> emphasized in all focus areas of the new regional programme.</w:t>
      </w:r>
    </w:p>
    <w:p w:rsidR="00894307" w:rsidRPr="00894307" w:rsidRDefault="00894307" w:rsidP="00894307">
      <w:pPr>
        <w:tabs>
          <w:tab w:val="left" w:pos="360"/>
        </w:tabs>
        <w:spacing w:after="0" w:line="240" w:lineRule="auto"/>
        <w:contextualSpacing/>
        <w:jc w:val="both"/>
        <w:rPr>
          <w:rFonts w:ascii="Times New Roman" w:eastAsia="Batang" w:hAnsi="Times New Roman"/>
          <w:lang w:eastAsia="ko-KR"/>
        </w:rPr>
      </w:pPr>
    </w:p>
    <w:p w:rsidR="00101E67" w:rsidRDefault="00560D19" w:rsidP="005253AF">
      <w:pPr>
        <w:tabs>
          <w:tab w:val="left" w:pos="360"/>
        </w:tabs>
        <w:spacing w:after="0" w:line="240" w:lineRule="auto"/>
        <w:contextualSpacing/>
        <w:jc w:val="both"/>
        <w:rPr>
          <w:rFonts w:ascii="Times New Roman" w:eastAsia="Batang" w:hAnsi="Times New Roman"/>
          <w:lang w:eastAsia="ko-KR"/>
        </w:rPr>
      </w:pPr>
      <w:r w:rsidRPr="009446CC">
        <w:rPr>
          <w:rFonts w:ascii="Times New Roman" w:eastAsia="Batang" w:hAnsi="Times New Roman"/>
          <w:b/>
          <w:lang w:eastAsia="ko-KR"/>
        </w:rPr>
        <w:t>Asses</w:t>
      </w:r>
      <w:r w:rsidRPr="005253AF">
        <w:rPr>
          <w:rFonts w:ascii="Times New Roman" w:eastAsia="Batang" w:hAnsi="Times New Roman"/>
          <w:b/>
          <w:lang w:eastAsia="ko-KR"/>
        </w:rPr>
        <w:t>smen</w:t>
      </w:r>
      <w:r w:rsidR="00B951C0">
        <w:rPr>
          <w:rFonts w:ascii="Times New Roman" w:eastAsia="Batang" w:hAnsi="Times New Roman"/>
          <w:b/>
          <w:lang w:eastAsia="ko-KR"/>
        </w:rPr>
        <w:t>ts of Development R</w:t>
      </w:r>
      <w:r w:rsidR="00B02159">
        <w:rPr>
          <w:rFonts w:ascii="Times New Roman" w:eastAsia="Batang" w:hAnsi="Times New Roman"/>
          <w:b/>
          <w:lang w:eastAsia="ko-KR"/>
        </w:rPr>
        <w:t>esults (ADR)</w:t>
      </w:r>
    </w:p>
    <w:p w:rsidR="00101E67" w:rsidRDefault="00101E67" w:rsidP="005253AF">
      <w:pPr>
        <w:tabs>
          <w:tab w:val="left" w:pos="360"/>
        </w:tabs>
        <w:spacing w:after="0" w:line="240" w:lineRule="auto"/>
        <w:contextualSpacing/>
        <w:jc w:val="both"/>
        <w:rPr>
          <w:rFonts w:ascii="Times New Roman" w:eastAsia="Batang" w:hAnsi="Times New Roman"/>
          <w:lang w:eastAsia="ko-KR"/>
        </w:rPr>
      </w:pPr>
    </w:p>
    <w:p w:rsidR="005640AD" w:rsidRDefault="00B02159" w:rsidP="005253AF">
      <w:pPr>
        <w:tabs>
          <w:tab w:val="left" w:pos="360"/>
        </w:tabs>
        <w:spacing w:after="0" w:line="240" w:lineRule="auto"/>
        <w:contextualSpacing/>
        <w:jc w:val="both"/>
        <w:rPr>
          <w:rFonts w:ascii="Times New Roman" w:eastAsia="Batang" w:hAnsi="Times New Roman"/>
          <w:i/>
          <w:lang w:eastAsia="ko-KR"/>
        </w:rPr>
      </w:pPr>
      <w:r>
        <w:rPr>
          <w:rFonts w:ascii="Times New Roman" w:eastAsia="Batang" w:hAnsi="Times New Roman"/>
          <w:i/>
          <w:lang w:eastAsia="ko-KR"/>
        </w:rPr>
        <w:t xml:space="preserve">Status of Management </w:t>
      </w:r>
      <w:r w:rsidR="00C53151">
        <w:rPr>
          <w:rFonts w:ascii="Times New Roman" w:eastAsia="Batang" w:hAnsi="Times New Roman"/>
          <w:i/>
          <w:lang w:eastAsia="ko-KR"/>
        </w:rPr>
        <w:t xml:space="preserve">Response </w:t>
      </w:r>
      <w:r>
        <w:rPr>
          <w:rFonts w:ascii="Times New Roman" w:eastAsia="Batang" w:hAnsi="Times New Roman"/>
          <w:i/>
          <w:lang w:eastAsia="ko-KR"/>
        </w:rPr>
        <w:t>commitments</w:t>
      </w:r>
      <w:r w:rsidRPr="0067034D">
        <w:rPr>
          <w:rFonts w:ascii="Times New Roman" w:eastAsia="Batang" w:hAnsi="Times New Roman"/>
          <w:i/>
          <w:lang w:eastAsia="ko-KR"/>
        </w:rPr>
        <w:t xml:space="preserve"> for</w:t>
      </w:r>
      <w:r>
        <w:rPr>
          <w:rFonts w:ascii="Times New Roman" w:eastAsia="Batang" w:hAnsi="Times New Roman"/>
          <w:i/>
          <w:lang w:eastAsia="ko-KR"/>
        </w:rPr>
        <w:t xml:space="preserve"> ADRs</w:t>
      </w:r>
      <w:r w:rsidRPr="0067034D">
        <w:rPr>
          <w:rFonts w:ascii="Times New Roman" w:eastAsia="Batang" w:hAnsi="Times New Roman"/>
          <w:i/>
          <w:lang w:eastAsia="ko-KR"/>
        </w:rPr>
        <w:t xml:space="preserve"> </w:t>
      </w:r>
      <w:r>
        <w:rPr>
          <w:rFonts w:ascii="Times New Roman" w:eastAsia="Batang" w:hAnsi="Times New Roman"/>
          <w:i/>
          <w:lang w:eastAsia="ko-KR"/>
        </w:rPr>
        <w:t>completed in 2012</w:t>
      </w:r>
      <w:r w:rsidR="00AD1159">
        <w:rPr>
          <w:rFonts w:ascii="Times New Roman" w:eastAsia="Batang" w:hAnsi="Times New Roman"/>
          <w:i/>
          <w:lang w:eastAsia="ko-KR"/>
        </w:rPr>
        <w:t>:</w:t>
      </w:r>
      <w:r w:rsidR="0037571D">
        <w:rPr>
          <w:rFonts w:ascii="Times New Roman" w:eastAsia="Batang" w:hAnsi="Times New Roman"/>
          <w:i/>
          <w:lang w:eastAsia="ko-KR"/>
        </w:rPr>
        <w:t xml:space="preserve"> </w:t>
      </w:r>
      <w:r w:rsidRPr="00B86F2A">
        <w:rPr>
          <w:rFonts w:ascii="Times New Roman" w:eastAsia="Batang" w:hAnsi="Times New Roman"/>
          <w:i/>
          <w:lang w:eastAsia="ko-KR"/>
        </w:rPr>
        <w:t>(Egypt, Sri Lanka, Paraguay, DRC, UAE, Djibouti, Tunisia, Costa Rica, India, Moldova, Nepal, Pacific Islands)</w:t>
      </w:r>
    </w:p>
    <w:p w:rsidR="00B951C0" w:rsidRPr="005640AD" w:rsidRDefault="00B951C0" w:rsidP="005253AF">
      <w:pPr>
        <w:tabs>
          <w:tab w:val="left" w:pos="360"/>
        </w:tabs>
        <w:spacing w:after="0" w:line="240" w:lineRule="auto"/>
        <w:contextualSpacing/>
        <w:jc w:val="both"/>
        <w:rPr>
          <w:rFonts w:ascii="Times New Roman" w:eastAsia="Batang" w:hAnsi="Times New Roman"/>
          <w:i/>
          <w:lang w:eastAsia="ko-KR"/>
        </w:rPr>
      </w:pPr>
    </w:p>
    <w:p w:rsidR="003C3533" w:rsidRDefault="005C7B55" w:rsidP="00B951C0">
      <w:pPr>
        <w:numPr>
          <w:ilvl w:val="0"/>
          <w:numId w:val="9"/>
        </w:numPr>
        <w:tabs>
          <w:tab w:val="left" w:pos="360"/>
        </w:tabs>
        <w:spacing w:before="240" w:after="0" w:line="240" w:lineRule="auto"/>
        <w:ind w:left="0" w:firstLine="0"/>
        <w:contextualSpacing/>
        <w:jc w:val="both"/>
        <w:rPr>
          <w:rFonts w:ascii="Times New Roman" w:eastAsia="Batang" w:hAnsi="Times New Roman"/>
          <w:lang w:eastAsia="ko-KR"/>
        </w:rPr>
      </w:pPr>
      <w:r w:rsidRPr="000C32F5">
        <w:rPr>
          <w:rFonts w:ascii="Times New Roman" w:eastAsia="Batang" w:hAnsi="Times New Roman"/>
          <w:lang w:eastAsia="ko-KR"/>
        </w:rPr>
        <w:t>Details of how each country office has responded to the ADR recommendations can be found in their respective management responses, which are uploaded in the Evaluation Resource Center database. UNDP management is pleased to note that the ADRs affirm partner perceptions of UNDP as “a valued, respected and key development partner supporting government”, as well as the relevance of the work of the organization to national prior</w:t>
      </w:r>
      <w:r w:rsidR="00EF4CF6">
        <w:rPr>
          <w:rFonts w:ascii="Times New Roman" w:eastAsia="Batang" w:hAnsi="Times New Roman"/>
          <w:lang w:eastAsia="ko-KR"/>
        </w:rPr>
        <w:t>ities and development challenges</w:t>
      </w:r>
      <w:r w:rsidRPr="000C32F5">
        <w:rPr>
          <w:rFonts w:ascii="Times New Roman" w:eastAsia="Batang" w:hAnsi="Times New Roman"/>
          <w:lang w:eastAsia="ko-KR"/>
        </w:rPr>
        <w:t xml:space="preserve">. UNDP notes in particular the positive findings related to UNDP’s contributions to the achievement of the MDGs, and the work of the organization to integrate gender and human rights in programming. </w:t>
      </w:r>
      <w:r w:rsidR="00101E67">
        <w:rPr>
          <w:rFonts w:ascii="Times New Roman" w:eastAsia="Batang" w:hAnsi="Times New Roman"/>
          <w:lang w:eastAsia="ko-KR"/>
        </w:rPr>
        <w:t>With regard to</w:t>
      </w:r>
      <w:r w:rsidR="00101E67" w:rsidRPr="000C32F5">
        <w:rPr>
          <w:rFonts w:ascii="Times New Roman" w:eastAsia="Batang" w:hAnsi="Times New Roman"/>
          <w:lang w:eastAsia="ko-KR"/>
        </w:rPr>
        <w:t xml:space="preserve"> </w:t>
      </w:r>
      <w:r w:rsidRPr="000C32F5">
        <w:rPr>
          <w:rFonts w:ascii="Times New Roman" w:eastAsia="Batang" w:hAnsi="Times New Roman"/>
          <w:lang w:eastAsia="ko-KR"/>
        </w:rPr>
        <w:t>weaknesses and challenges</w:t>
      </w:r>
      <w:r w:rsidR="00EF4CF6">
        <w:rPr>
          <w:rFonts w:ascii="Times New Roman" w:eastAsia="Batang" w:hAnsi="Times New Roman"/>
          <w:lang w:eastAsia="ko-KR"/>
        </w:rPr>
        <w:t xml:space="preserve">, </w:t>
      </w:r>
      <w:r w:rsidRPr="000C32F5">
        <w:rPr>
          <w:rFonts w:ascii="Times New Roman" w:eastAsia="Batang" w:hAnsi="Times New Roman"/>
          <w:lang w:eastAsia="ko-KR"/>
        </w:rPr>
        <w:t xml:space="preserve">UNDP management has taken concrete steps </w:t>
      </w:r>
      <w:r w:rsidR="00101E67" w:rsidRPr="000C32F5">
        <w:rPr>
          <w:rFonts w:ascii="Times New Roman" w:eastAsia="Batang" w:hAnsi="Times New Roman"/>
          <w:lang w:eastAsia="ko-KR"/>
        </w:rPr>
        <w:t xml:space="preserve">over the past three years </w:t>
      </w:r>
      <w:r w:rsidRPr="000C32F5">
        <w:rPr>
          <w:rFonts w:ascii="Times New Roman" w:eastAsia="Batang" w:hAnsi="Times New Roman"/>
          <w:lang w:eastAsia="ko-KR"/>
        </w:rPr>
        <w:t>to address these issues</w:t>
      </w:r>
      <w:r w:rsidR="009446CC" w:rsidRPr="000C32F5">
        <w:rPr>
          <w:rFonts w:ascii="Times New Roman" w:eastAsia="Batang" w:hAnsi="Times New Roman"/>
          <w:lang w:eastAsia="ko-KR"/>
        </w:rPr>
        <w:t xml:space="preserve"> </w:t>
      </w:r>
      <w:r w:rsidRPr="000C32F5">
        <w:rPr>
          <w:rFonts w:ascii="Times New Roman" w:eastAsia="Batang" w:hAnsi="Times New Roman"/>
          <w:lang w:eastAsia="ko-KR"/>
        </w:rPr>
        <w:t>in line with partner government priorities</w:t>
      </w:r>
      <w:r w:rsidR="00F70F2F">
        <w:rPr>
          <w:rFonts w:ascii="Times New Roman" w:eastAsia="Batang" w:hAnsi="Times New Roman"/>
          <w:lang w:eastAsia="ko-KR"/>
        </w:rPr>
        <w:t>.</w:t>
      </w:r>
    </w:p>
    <w:p w:rsidR="00B02159" w:rsidRPr="00B02159" w:rsidRDefault="00B02159" w:rsidP="00B02159">
      <w:pPr>
        <w:tabs>
          <w:tab w:val="left" w:pos="360"/>
        </w:tabs>
        <w:spacing w:after="0" w:line="240" w:lineRule="auto"/>
        <w:contextualSpacing/>
        <w:jc w:val="both"/>
        <w:rPr>
          <w:rFonts w:ascii="Times New Roman" w:eastAsia="Batang" w:hAnsi="Times New Roman"/>
          <w:lang w:eastAsia="ko-KR"/>
        </w:rPr>
      </w:pPr>
    </w:p>
    <w:p w:rsidR="00B951C0" w:rsidRDefault="00B02159" w:rsidP="00B951C0">
      <w:pPr>
        <w:tabs>
          <w:tab w:val="left" w:pos="360"/>
        </w:tabs>
        <w:spacing w:after="0" w:line="240" w:lineRule="auto"/>
        <w:contextualSpacing/>
        <w:jc w:val="both"/>
        <w:rPr>
          <w:rFonts w:ascii="Times New Roman" w:eastAsia="Batang" w:hAnsi="Times New Roman"/>
          <w:i/>
          <w:lang w:eastAsia="ko-KR"/>
        </w:rPr>
      </w:pPr>
      <w:r w:rsidRPr="00B02159">
        <w:rPr>
          <w:rFonts w:ascii="Times New Roman" w:eastAsia="Batang" w:hAnsi="Times New Roman"/>
          <w:i/>
          <w:lang w:eastAsia="ko-KR"/>
        </w:rPr>
        <w:t xml:space="preserve">Status of Management </w:t>
      </w:r>
      <w:r w:rsidR="00C53151">
        <w:rPr>
          <w:rFonts w:ascii="Times New Roman" w:eastAsia="Batang" w:hAnsi="Times New Roman"/>
          <w:i/>
          <w:lang w:eastAsia="ko-KR"/>
        </w:rPr>
        <w:t xml:space="preserve">Response </w:t>
      </w:r>
      <w:r w:rsidRPr="00B02159">
        <w:rPr>
          <w:rFonts w:ascii="Times New Roman" w:eastAsia="Batang" w:hAnsi="Times New Roman"/>
          <w:i/>
          <w:lang w:eastAsia="ko-KR"/>
        </w:rPr>
        <w:t>commitments for ADRs completed in 2013</w:t>
      </w:r>
      <w:r w:rsidR="00AD1159">
        <w:rPr>
          <w:rFonts w:ascii="Times New Roman" w:eastAsia="Batang" w:hAnsi="Times New Roman"/>
          <w:i/>
          <w:lang w:eastAsia="ko-KR"/>
        </w:rPr>
        <w:t>:</w:t>
      </w:r>
      <w:r w:rsidR="0037571D">
        <w:rPr>
          <w:rFonts w:ascii="Times New Roman" w:eastAsia="Batang" w:hAnsi="Times New Roman"/>
          <w:i/>
          <w:lang w:eastAsia="ko-KR"/>
        </w:rPr>
        <w:t xml:space="preserve"> </w:t>
      </w:r>
      <w:r w:rsidR="0077342D" w:rsidRPr="00B02159">
        <w:rPr>
          <w:rFonts w:ascii="Times New Roman" w:eastAsia="Batang" w:hAnsi="Times New Roman"/>
          <w:i/>
          <w:lang w:eastAsia="ko-KR"/>
        </w:rPr>
        <w:t>(</w:t>
      </w:r>
      <w:r w:rsidR="00836248" w:rsidRPr="00B02159">
        <w:rPr>
          <w:rFonts w:ascii="Times New Roman" w:eastAsia="Batang" w:hAnsi="Times New Roman"/>
          <w:i/>
          <w:lang w:eastAsia="ko-KR"/>
        </w:rPr>
        <w:t>Sierra Leone, Timor-Leste, Afghanistan, Kenya, Algeria, Angola, Croatia, Côte d’Ivoire, Niger</w:t>
      </w:r>
      <w:r w:rsidR="0077342D" w:rsidRPr="00B02159">
        <w:rPr>
          <w:rFonts w:ascii="Times New Roman" w:eastAsia="Batang" w:hAnsi="Times New Roman"/>
          <w:i/>
          <w:lang w:eastAsia="ko-KR"/>
        </w:rPr>
        <w:t>)</w:t>
      </w:r>
    </w:p>
    <w:p w:rsidR="00B951C0" w:rsidRDefault="00B951C0" w:rsidP="00B951C0">
      <w:pPr>
        <w:tabs>
          <w:tab w:val="left" w:pos="360"/>
        </w:tabs>
        <w:spacing w:after="0" w:line="240" w:lineRule="auto"/>
        <w:contextualSpacing/>
        <w:jc w:val="both"/>
        <w:rPr>
          <w:rFonts w:ascii="Times New Roman" w:eastAsia="Batang" w:hAnsi="Times New Roman"/>
          <w:i/>
          <w:lang w:eastAsia="ko-KR"/>
        </w:rPr>
      </w:pPr>
    </w:p>
    <w:p w:rsidR="002B0A4C" w:rsidRPr="00B951C0" w:rsidRDefault="00D7414B" w:rsidP="00B951C0">
      <w:pPr>
        <w:numPr>
          <w:ilvl w:val="0"/>
          <w:numId w:val="9"/>
        </w:numPr>
        <w:tabs>
          <w:tab w:val="left" w:pos="360"/>
        </w:tabs>
        <w:spacing w:before="240" w:after="0" w:line="240" w:lineRule="auto"/>
        <w:ind w:left="0" w:firstLine="0"/>
        <w:contextualSpacing/>
        <w:jc w:val="both"/>
        <w:rPr>
          <w:rFonts w:ascii="Times New Roman" w:eastAsia="Batang" w:hAnsi="Times New Roman"/>
          <w:i/>
          <w:lang w:eastAsia="ko-KR"/>
        </w:rPr>
      </w:pPr>
      <w:r w:rsidRPr="00B951C0">
        <w:rPr>
          <w:rFonts w:ascii="Times New Roman" w:eastAsia="Batang" w:hAnsi="Times New Roman"/>
          <w:lang w:eastAsia="ko-KR"/>
        </w:rPr>
        <w:t xml:space="preserve">Details of how each country office has responded to the ADR recommendations can be found in their respective management responses, which are uploaded in the Evaluation Resource Center database. </w:t>
      </w:r>
      <w:r w:rsidR="00836248" w:rsidRPr="00B951C0">
        <w:rPr>
          <w:rFonts w:ascii="Times New Roman" w:eastAsia="Batang" w:hAnsi="Times New Roman"/>
          <w:lang w:eastAsia="ko-KR"/>
        </w:rPr>
        <w:t>UNDP management is pleased to note that the ADRs indicated that UNDP</w:t>
      </w:r>
      <w:r w:rsidR="0077342D" w:rsidRPr="00B951C0">
        <w:rPr>
          <w:rFonts w:ascii="Times New Roman" w:eastAsia="Batang" w:hAnsi="Times New Roman"/>
          <w:lang w:eastAsia="ko-KR"/>
        </w:rPr>
        <w:t>’s</w:t>
      </w:r>
      <w:r w:rsidR="00836248" w:rsidRPr="00B951C0">
        <w:rPr>
          <w:rFonts w:ascii="Times New Roman" w:eastAsia="Batang" w:hAnsi="Times New Roman"/>
          <w:lang w:eastAsia="ko-KR"/>
        </w:rPr>
        <w:t xml:space="preserve"> response to national priorities, in the four of those countries that recently witnessed political and social instability, was “strategic and relevant in the transition from post-conflict scenarios to national context, and from peace-building to development”. UNDP management notes in particular the positive findings related to the ability of the organization to “adapt to the recurrence of conflict by repositioning its support to align with immediate and emerging needs”. This confirms that efforts under the agenda for organizational change aimed at making UNDP more nimble and flexible are bearing fruits. </w:t>
      </w:r>
    </w:p>
    <w:p w:rsidR="00F70F2F" w:rsidRPr="005253AF" w:rsidRDefault="00F70F2F" w:rsidP="00F70F2F">
      <w:pPr>
        <w:tabs>
          <w:tab w:val="left" w:pos="360"/>
        </w:tabs>
        <w:spacing w:after="0" w:line="240" w:lineRule="auto"/>
        <w:contextualSpacing/>
        <w:jc w:val="both"/>
        <w:rPr>
          <w:rFonts w:ascii="Times New Roman" w:eastAsia="Batang" w:hAnsi="Times New Roman"/>
          <w:lang w:eastAsia="ko-KR"/>
        </w:rPr>
      </w:pPr>
    </w:p>
    <w:p w:rsidR="00B0304A" w:rsidRDefault="00B0304A">
      <w:pPr>
        <w:spacing w:after="0" w:line="240" w:lineRule="auto"/>
        <w:rPr>
          <w:rFonts w:ascii="Times New Roman" w:eastAsia="Batang" w:hAnsi="Times New Roman"/>
          <w:i/>
          <w:lang w:eastAsia="ko-KR"/>
        </w:rPr>
      </w:pPr>
      <w:r>
        <w:rPr>
          <w:rFonts w:ascii="Times New Roman" w:eastAsia="Batang" w:hAnsi="Times New Roman"/>
          <w:i/>
          <w:lang w:eastAsia="ko-KR"/>
        </w:rPr>
        <w:br w:type="page"/>
      </w:r>
    </w:p>
    <w:p w:rsidR="00836248" w:rsidRDefault="00AD1159" w:rsidP="00591A11">
      <w:pPr>
        <w:spacing w:after="0" w:line="240" w:lineRule="auto"/>
        <w:rPr>
          <w:rFonts w:ascii="Times New Roman" w:eastAsia="Batang" w:hAnsi="Times New Roman"/>
          <w:i/>
          <w:lang w:eastAsia="ko-KR"/>
        </w:rPr>
      </w:pPr>
      <w:r>
        <w:rPr>
          <w:rFonts w:ascii="Times New Roman" w:eastAsia="Batang" w:hAnsi="Times New Roman"/>
          <w:i/>
          <w:lang w:eastAsia="ko-KR"/>
        </w:rPr>
        <w:lastRenderedPageBreak/>
        <w:t xml:space="preserve">Status of Management </w:t>
      </w:r>
      <w:r w:rsidR="00C53151">
        <w:rPr>
          <w:rFonts w:ascii="Times New Roman" w:eastAsia="Batang" w:hAnsi="Times New Roman"/>
          <w:i/>
          <w:lang w:eastAsia="ko-KR"/>
        </w:rPr>
        <w:t xml:space="preserve">Response </w:t>
      </w:r>
      <w:r w:rsidR="00B02159">
        <w:rPr>
          <w:rFonts w:ascii="Times New Roman" w:eastAsia="Batang" w:hAnsi="Times New Roman"/>
          <w:i/>
          <w:lang w:eastAsia="ko-KR"/>
        </w:rPr>
        <w:t>commitments</w:t>
      </w:r>
      <w:r w:rsidR="00B02159" w:rsidRPr="0067034D">
        <w:rPr>
          <w:rFonts w:ascii="Times New Roman" w:eastAsia="Batang" w:hAnsi="Times New Roman"/>
          <w:i/>
          <w:lang w:eastAsia="ko-KR"/>
        </w:rPr>
        <w:t xml:space="preserve"> for</w:t>
      </w:r>
      <w:r w:rsidR="00B02159">
        <w:rPr>
          <w:rFonts w:ascii="Times New Roman" w:eastAsia="Batang" w:hAnsi="Times New Roman"/>
          <w:i/>
          <w:lang w:eastAsia="ko-KR"/>
        </w:rPr>
        <w:t xml:space="preserve"> ADRs</w:t>
      </w:r>
      <w:r w:rsidR="00B02159" w:rsidRPr="0067034D">
        <w:rPr>
          <w:rFonts w:ascii="Times New Roman" w:eastAsia="Batang" w:hAnsi="Times New Roman"/>
          <w:i/>
          <w:lang w:eastAsia="ko-KR"/>
        </w:rPr>
        <w:t xml:space="preserve"> </w:t>
      </w:r>
      <w:r w:rsidR="00B02159">
        <w:rPr>
          <w:rFonts w:ascii="Times New Roman" w:eastAsia="Batang" w:hAnsi="Times New Roman"/>
          <w:i/>
          <w:lang w:eastAsia="ko-KR"/>
        </w:rPr>
        <w:t>completed in 2014</w:t>
      </w:r>
      <w:r w:rsidR="0037571D">
        <w:rPr>
          <w:rFonts w:ascii="Times New Roman" w:eastAsia="Batang" w:hAnsi="Times New Roman"/>
          <w:i/>
          <w:lang w:eastAsia="ko-KR"/>
        </w:rPr>
        <w:t xml:space="preserve">: </w:t>
      </w:r>
      <w:r w:rsidR="00B02159">
        <w:rPr>
          <w:rFonts w:ascii="Times New Roman" w:eastAsia="Batang" w:hAnsi="Times New Roman"/>
          <w:i/>
          <w:lang w:eastAsia="ko-KR"/>
        </w:rPr>
        <w:t>(Armenia)</w:t>
      </w:r>
    </w:p>
    <w:p w:rsidR="00B02159" w:rsidRDefault="00B02159" w:rsidP="00D7414B">
      <w:pPr>
        <w:tabs>
          <w:tab w:val="left" w:pos="360"/>
        </w:tabs>
        <w:spacing w:after="0" w:line="240" w:lineRule="auto"/>
        <w:contextualSpacing/>
        <w:jc w:val="both"/>
        <w:rPr>
          <w:rFonts w:ascii="Times New Roman" w:eastAsia="Batang" w:hAnsi="Times New Roman"/>
          <w:lang w:eastAsia="ko-KR"/>
        </w:rPr>
      </w:pPr>
    </w:p>
    <w:p w:rsidR="00A65261" w:rsidRDefault="00032849" w:rsidP="00C44F2D">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Pr>
          <w:rFonts w:ascii="Times New Roman" w:eastAsia="Batang" w:hAnsi="Times New Roman"/>
          <w:lang w:eastAsia="ko-KR"/>
        </w:rPr>
        <w:t xml:space="preserve">As per </w:t>
      </w:r>
      <w:r w:rsidR="0077342D">
        <w:rPr>
          <w:rFonts w:ascii="Times New Roman" w:eastAsia="Batang" w:hAnsi="Times New Roman"/>
          <w:lang w:eastAsia="ko-KR"/>
        </w:rPr>
        <w:t xml:space="preserve">the </w:t>
      </w:r>
      <w:r>
        <w:rPr>
          <w:rFonts w:ascii="Times New Roman" w:eastAsia="Batang" w:hAnsi="Times New Roman"/>
          <w:lang w:eastAsia="ko-KR"/>
        </w:rPr>
        <w:t>Annual Report on evaluation, o</w:t>
      </w:r>
      <w:r w:rsidR="002D73E0">
        <w:rPr>
          <w:rFonts w:ascii="Times New Roman" w:eastAsia="Batang" w:hAnsi="Times New Roman"/>
          <w:lang w:eastAsia="ko-KR"/>
        </w:rPr>
        <w:t xml:space="preserve">nly one independent evaluation was completed in 2014, namely the </w:t>
      </w:r>
      <w:r w:rsidR="002D73E0" w:rsidRPr="006859C7">
        <w:rPr>
          <w:rFonts w:ascii="Times New Roman" w:eastAsia="Batang" w:hAnsi="Times New Roman"/>
          <w:b/>
          <w:lang w:eastAsia="ko-KR"/>
        </w:rPr>
        <w:t>Assessment for Development Results in Armenia</w:t>
      </w:r>
      <w:r w:rsidR="002D73E0" w:rsidRPr="0067034D">
        <w:rPr>
          <w:rFonts w:ascii="Times New Roman" w:eastAsia="Batang" w:hAnsi="Times New Roman"/>
          <w:lang w:eastAsia="ko-KR"/>
        </w:rPr>
        <w:t xml:space="preserve">. </w:t>
      </w:r>
      <w:r w:rsidRPr="00032849">
        <w:rPr>
          <w:rFonts w:ascii="Times New Roman" w:eastAsia="Batang" w:hAnsi="Times New Roman"/>
          <w:lang w:eastAsia="ko-KR"/>
        </w:rPr>
        <w:t>UNDP man</w:t>
      </w:r>
      <w:r>
        <w:rPr>
          <w:rFonts w:ascii="Times New Roman" w:eastAsia="Batang" w:hAnsi="Times New Roman"/>
          <w:lang w:eastAsia="ko-KR"/>
        </w:rPr>
        <w:t>a</w:t>
      </w:r>
      <w:r w:rsidRPr="00032849">
        <w:rPr>
          <w:rFonts w:ascii="Times New Roman" w:eastAsia="Batang" w:hAnsi="Times New Roman"/>
          <w:lang w:eastAsia="ko-KR"/>
        </w:rPr>
        <w:t xml:space="preserve">gement is pleased to note that </w:t>
      </w:r>
      <w:r>
        <w:rPr>
          <w:rFonts w:ascii="Times New Roman" w:eastAsia="Batang" w:hAnsi="Times New Roman"/>
          <w:lang w:eastAsia="ko-KR"/>
        </w:rPr>
        <w:t xml:space="preserve">the ADR has indicated that </w:t>
      </w:r>
      <w:r w:rsidRPr="00032849">
        <w:rPr>
          <w:rFonts w:ascii="Times New Roman" w:eastAsia="Batang" w:hAnsi="Times New Roman"/>
          <w:lang w:eastAsia="ko-KR"/>
        </w:rPr>
        <w:t>UNDP has made relevant contributions to national development outcomes in Armenia</w:t>
      </w:r>
      <w:r>
        <w:rPr>
          <w:rFonts w:ascii="Times New Roman" w:eastAsia="Batang" w:hAnsi="Times New Roman"/>
          <w:lang w:eastAsia="ko-KR"/>
        </w:rPr>
        <w:t xml:space="preserve"> </w:t>
      </w:r>
      <w:r w:rsidRPr="0067034D">
        <w:rPr>
          <w:rFonts w:ascii="Times New Roman" w:eastAsia="Batang" w:hAnsi="Times New Roman"/>
          <w:lang w:eastAsia="ko-KR"/>
        </w:rPr>
        <w:t>and worked well with national stakeholders. UNDP took note of the ADR recommendations to</w:t>
      </w:r>
      <w:r w:rsidR="0077342D">
        <w:rPr>
          <w:rFonts w:ascii="Times New Roman" w:eastAsia="Batang" w:hAnsi="Times New Roman"/>
          <w:lang w:eastAsia="ko-KR"/>
        </w:rPr>
        <w:t>: i)</w:t>
      </w:r>
      <w:r w:rsidRPr="0067034D">
        <w:rPr>
          <w:rFonts w:ascii="Times New Roman" w:eastAsia="Batang" w:hAnsi="Times New Roman"/>
          <w:lang w:eastAsia="ko-KR"/>
        </w:rPr>
        <w:t xml:space="preserve"> hold further discussions with Government to redefine a more consultative relationship with regard to strategic prioritization of resources, selection of programme themes and beneficiaries; </w:t>
      </w:r>
      <w:r w:rsidR="0077342D">
        <w:rPr>
          <w:rFonts w:ascii="Times New Roman" w:eastAsia="Batang" w:hAnsi="Times New Roman"/>
          <w:lang w:eastAsia="ko-KR"/>
        </w:rPr>
        <w:t>ii)</w:t>
      </w:r>
      <w:r w:rsidR="0077342D" w:rsidRPr="0067034D">
        <w:rPr>
          <w:rFonts w:ascii="Times New Roman" w:eastAsia="Batang" w:hAnsi="Times New Roman"/>
          <w:lang w:eastAsia="ko-KR"/>
        </w:rPr>
        <w:t xml:space="preserve"> </w:t>
      </w:r>
      <w:r w:rsidRPr="0067034D">
        <w:rPr>
          <w:rFonts w:ascii="Times New Roman" w:eastAsia="Batang" w:hAnsi="Times New Roman"/>
          <w:lang w:eastAsia="ko-KR"/>
        </w:rPr>
        <w:t>define ways to ensure UNDP’s neutrality, efficiency and effectiveness is not compromised</w:t>
      </w:r>
      <w:r w:rsidR="00F75DD5">
        <w:rPr>
          <w:rFonts w:ascii="Times New Roman" w:eastAsia="Batang" w:hAnsi="Times New Roman"/>
          <w:lang w:eastAsia="ko-KR"/>
        </w:rPr>
        <w:t>;</w:t>
      </w:r>
      <w:r w:rsidRPr="0067034D">
        <w:rPr>
          <w:rFonts w:ascii="Times New Roman" w:eastAsia="Batang" w:hAnsi="Times New Roman"/>
          <w:lang w:eastAsia="ko-KR"/>
        </w:rPr>
        <w:t xml:space="preserve"> and </w:t>
      </w:r>
      <w:r w:rsidR="00F75DD5">
        <w:rPr>
          <w:rFonts w:ascii="Times New Roman" w:eastAsia="Batang" w:hAnsi="Times New Roman"/>
          <w:lang w:eastAsia="ko-KR"/>
        </w:rPr>
        <w:t xml:space="preserve">iii) </w:t>
      </w:r>
      <w:r w:rsidRPr="0067034D">
        <w:rPr>
          <w:rFonts w:ascii="Times New Roman" w:eastAsia="Batang" w:hAnsi="Times New Roman"/>
          <w:lang w:eastAsia="ko-KR"/>
        </w:rPr>
        <w:t xml:space="preserve">to allow UNDP to have the flexibility needed to continue to foster innovation, to ensure value for money and to make timely and efficient contributions to sustainable development in Armenia. </w:t>
      </w:r>
      <w:r w:rsidR="005373E9" w:rsidRPr="0067034D">
        <w:rPr>
          <w:rFonts w:ascii="Times New Roman" w:eastAsia="Batang" w:hAnsi="Times New Roman"/>
          <w:lang w:eastAsia="ko-KR"/>
        </w:rPr>
        <w:t>The country programme for Armenia is responding to the ADR recommendations.</w:t>
      </w:r>
    </w:p>
    <w:p w:rsidR="009D0CB6" w:rsidRPr="005640AD" w:rsidRDefault="009D0CB6" w:rsidP="009D0CB6">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B0304A">
      <w:pPr>
        <w:numPr>
          <w:ilvl w:val="0"/>
          <w:numId w:val="25"/>
        </w:numPr>
        <w:tabs>
          <w:tab w:val="left" w:pos="0"/>
        </w:tabs>
        <w:ind w:hanging="1530"/>
        <w:contextualSpacing/>
        <w:rPr>
          <w:rFonts w:ascii="Times New Roman" w:eastAsia="Batang" w:hAnsi="Times New Roman"/>
          <w:b/>
          <w:bCs/>
          <w:lang w:eastAsia="ko-KR"/>
        </w:rPr>
      </w:pPr>
      <w:bookmarkStart w:id="3" w:name="_Toc411596845"/>
      <w:r w:rsidRPr="00AD5D35">
        <w:rPr>
          <w:rFonts w:ascii="Times New Roman" w:eastAsia="Batang" w:hAnsi="Times New Roman"/>
          <w:b/>
          <w:bCs/>
          <w:lang w:eastAsia="ko-KR"/>
        </w:rPr>
        <w:t>Evaluation activities of the United Nations Capital Development Fund</w:t>
      </w:r>
      <w:bookmarkEnd w:id="3"/>
    </w:p>
    <w:p w:rsidR="00C854A7" w:rsidRDefault="00C854A7" w:rsidP="00C854A7">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t xml:space="preserve">UNCDF continued its commitment to evaluation in 2014 commissioning four independent project, programme and thematic evaluations across its portfolio of investments in the Least Developed Countries (LDCs).  In 2015, it will commission at least a further four evaluations assessing the preliminary results of innovative UNCDF interventions in the areas of local finance, clean energy and adaptation to climate change at the local level.  </w:t>
      </w:r>
    </w:p>
    <w:p w:rsidR="00AD5D35" w:rsidRPr="00AD5D35" w:rsidRDefault="00AD5D35" w:rsidP="00AD5D35">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t xml:space="preserve">Management welcomed the findings of completed evaluations in 2014 highlighting concrete improvements in the local government planning and management system in Benin as well as the mixed results of investments supporting improved small-scale agricultural infrastructure at the local level.   They noted the evaluators’ recommendation that such investments be better planned so that they are better linked into the agri-food system at the local level. </w:t>
      </w:r>
    </w:p>
    <w:p w:rsidR="00AD5D35" w:rsidRPr="00AD5D35" w:rsidRDefault="00AD5D35" w:rsidP="00AD5D35">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t xml:space="preserve">UNCDF also welcomed the results of several key external evaluations in 2014 including the thematic evaluation of UNDP’s contribution to the achievement of the MDGs that praised UNCDF’s approach to working through </w:t>
      </w:r>
      <w:r w:rsidR="001A6C68" w:rsidRPr="00AD5D35">
        <w:rPr>
          <w:rFonts w:ascii="Times New Roman" w:eastAsia="Batang" w:hAnsi="Times New Roman"/>
          <w:lang w:eastAsia="ko-KR"/>
        </w:rPr>
        <w:t>decentralized</w:t>
      </w:r>
      <w:r w:rsidRPr="00AD5D35">
        <w:rPr>
          <w:rFonts w:ascii="Times New Roman" w:eastAsia="Batang" w:hAnsi="Times New Roman"/>
          <w:lang w:eastAsia="ko-KR"/>
        </w:rPr>
        <w:t xml:space="preserve"> institutions and concluded that support to local level planning constituted ‘a pathway to impact in its own right</w:t>
      </w:r>
      <w:r w:rsidR="00F75DD5">
        <w:rPr>
          <w:rFonts w:ascii="Times New Roman" w:eastAsia="Batang" w:hAnsi="Times New Roman"/>
          <w:lang w:eastAsia="ko-KR"/>
        </w:rPr>
        <w:t>.</w:t>
      </w:r>
      <w:r w:rsidRPr="00AD5D35">
        <w:rPr>
          <w:rFonts w:ascii="Times New Roman" w:eastAsia="Batang" w:hAnsi="Times New Roman"/>
          <w:lang w:eastAsia="ko-KR"/>
        </w:rPr>
        <w:t xml:space="preserve">’ </w:t>
      </w:r>
      <w:r w:rsidR="00F75DD5">
        <w:rPr>
          <w:rFonts w:ascii="Times New Roman" w:eastAsia="Batang" w:hAnsi="Times New Roman"/>
          <w:lang w:eastAsia="ko-KR"/>
        </w:rPr>
        <w:t>A</w:t>
      </w:r>
      <w:r w:rsidRPr="00AD5D35">
        <w:rPr>
          <w:rFonts w:ascii="Times New Roman" w:eastAsia="Batang" w:hAnsi="Times New Roman"/>
          <w:lang w:eastAsia="ko-KR"/>
        </w:rPr>
        <w:t xml:space="preserve"> mid-term evaluation of two joint UNDP-UNCDF local governance projects in Bangladesh praising UNCDF’s role in piloting an enhanced performance-based grant system, elements of which have been up</w:t>
      </w:r>
      <w:r w:rsidR="00F75DD5">
        <w:rPr>
          <w:rFonts w:ascii="Times New Roman" w:eastAsia="Batang" w:hAnsi="Times New Roman"/>
          <w:lang w:eastAsia="ko-KR"/>
        </w:rPr>
        <w:t>-</w:t>
      </w:r>
      <w:r w:rsidRPr="00AD5D35">
        <w:rPr>
          <w:rFonts w:ascii="Times New Roman" w:eastAsia="Batang" w:hAnsi="Times New Roman"/>
          <w:lang w:eastAsia="ko-KR"/>
        </w:rPr>
        <w:t xml:space="preserve">scaled into national policy through the regulatory framework for local government. The important and ongoing role that these projects have had on a much bigger World Bank-funded programme was also noted. </w:t>
      </w:r>
    </w:p>
    <w:p w:rsidR="00AD5D35" w:rsidRPr="00AD5D35" w:rsidRDefault="00AD5D35" w:rsidP="00AD5D35">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t>Throughout 2014, UNCDF participated in the UNDP Evaluation Policy Review and was encouraged by the reviewers’ conclusion that UNCDF evaluations are “credible”, “offer impartial analysis” and that they are of “appropriate quality” with the four evaluations sampled scoring either “satisfactory” or “highly satisfactory”</w:t>
      </w:r>
      <w:r w:rsidR="00F75DD5">
        <w:rPr>
          <w:rFonts w:ascii="Times New Roman" w:eastAsia="Batang" w:hAnsi="Times New Roman"/>
          <w:lang w:eastAsia="ko-KR"/>
        </w:rPr>
        <w:t xml:space="preserve"> ratings</w:t>
      </w:r>
      <w:r w:rsidRPr="00AD5D35">
        <w:rPr>
          <w:rFonts w:ascii="Times New Roman" w:eastAsia="Batang" w:hAnsi="Times New Roman"/>
          <w:lang w:eastAsia="ko-KR"/>
        </w:rPr>
        <w:t xml:space="preserve">.  UNCDF also welcomed the reviewers’ conclusion that the evaluation function has become an integral part of the management and planning system in recent years, </w:t>
      </w:r>
      <w:r w:rsidR="00F75DD5">
        <w:rPr>
          <w:rFonts w:ascii="Times New Roman" w:eastAsia="Batang" w:hAnsi="Times New Roman"/>
          <w:lang w:eastAsia="ko-KR"/>
        </w:rPr>
        <w:t>thus</w:t>
      </w:r>
      <w:r w:rsidR="00F75DD5" w:rsidRPr="00AD5D35">
        <w:rPr>
          <w:rFonts w:ascii="Times New Roman" w:eastAsia="Batang" w:hAnsi="Times New Roman"/>
          <w:lang w:eastAsia="ko-KR"/>
        </w:rPr>
        <w:t xml:space="preserve"> </w:t>
      </w:r>
      <w:r w:rsidRPr="00AD5D35">
        <w:rPr>
          <w:rFonts w:ascii="Times New Roman" w:eastAsia="Batang" w:hAnsi="Times New Roman"/>
          <w:lang w:eastAsia="ko-KR"/>
        </w:rPr>
        <w:t xml:space="preserve">validating recent efforts to strengthen the </w:t>
      </w:r>
      <w:r w:rsidR="001A6C68" w:rsidRPr="00AD5D35">
        <w:rPr>
          <w:rFonts w:ascii="Times New Roman" w:eastAsia="Batang" w:hAnsi="Times New Roman"/>
          <w:lang w:eastAsia="ko-KR"/>
        </w:rPr>
        <w:t>organization’s</w:t>
      </w:r>
      <w:r w:rsidRPr="00AD5D35">
        <w:rPr>
          <w:rFonts w:ascii="Times New Roman" w:eastAsia="Batang" w:hAnsi="Times New Roman"/>
          <w:lang w:eastAsia="ko-KR"/>
        </w:rPr>
        <w:t xml:space="preserve"> evaluation culture.</w:t>
      </w:r>
    </w:p>
    <w:p w:rsidR="00AD5D35" w:rsidRPr="00AD5D35" w:rsidRDefault="00AD5D35" w:rsidP="00AD5D35">
      <w:pPr>
        <w:tabs>
          <w:tab w:val="left" w:pos="360"/>
        </w:tabs>
        <w:spacing w:after="0" w:line="240" w:lineRule="auto"/>
        <w:contextualSpacing/>
        <w:jc w:val="both"/>
        <w:rPr>
          <w:rFonts w:ascii="Times New Roman" w:eastAsia="Batang" w:hAnsi="Times New Roman"/>
          <w:lang w:eastAsia="ko-KR"/>
        </w:rPr>
      </w:pPr>
    </w:p>
    <w:p w:rsidR="00AD5D35" w:rsidRPr="00AD5D35"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t xml:space="preserve">In 2015, as part of efforts to strengthen evaluation in line with commitments under its Strategic Framework and in anticipation of a revised evaluation policy, UNCDF will revise roles and responsibilities for evaluation, adjust the criteria for evaluation to ensure a more representative sample of UNCDF interventions and seek guidance from the IEO’s Evaluation Advisory Panel on how evaluation practice should evolve in an </w:t>
      </w:r>
      <w:r w:rsidR="001A6C68" w:rsidRPr="00AD5D35">
        <w:rPr>
          <w:rFonts w:ascii="Times New Roman" w:eastAsia="Batang" w:hAnsi="Times New Roman"/>
          <w:lang w:eastAsia="ko-KR"/>
        </w:rPr>
        <w:t>organization</w:t>
      </w:r>
      <w:r w:rsidRPr="00AD5D35">
        <w:rPr>
          <w:rFonts w:ascii="Times New Roman" w:eastAsia="Batang" w:hAnsi="Times New Roman"/>
          <w:lang w:eastAsia="ko-KR"/>
        </w:rPr>
        <w:t xml:space="preserve"> of UNCDF’s size and mandate. As part of this, and following the recommendations of the review, UNCDF has committed to a closer association with the IEO on quality assessment and assurance from 2015. </w:t>
      </w:r>
    </w:p>
    <w:p w:rsidR="00AD5D35" w:rsidRPr="00AD5D35" w:rsidRDefault="00AD5D35" w:rsidP="00AD5D35">
      <w:pPr>
        <w:tabs>
          <w:tab w:val="left" w:pos="360"/>
        </w:tabs>
        <w:spacing w:after="0" w:line="240" w:lineRule="auto"/>
        <w:contextualSpacing/>
        <w:jc w:val="both"/>
        <w:rPr>
          <w:rFonts w:ascii="Times New Roman" w:eastAsia="Batang" w:hAnsi="Times New Roman"/>
          <w:lang w:eastAsia="ko-KR"/>
        </w:rPr>
      </w:pPr>
    </w:p>
    <w:p w:rsidR="00AD5D35" w:rsidRPr="00C44F2D" w:rsidRDefault="00AD5D35" w:rsidP="00AD5D35">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AD5D35">
        <w:rPr>
          <w:rFonts w:ascii="Times New Roman" w:eastAsia="Batang" w:hAnsi="Times New Roman"/>
          <w:lang w:eastAsia="ko-KR"/>
        </w:rPr>
        <w:lastRenderedPageBreak/>
        <w:t xml:space="preserve">Regarding the </w:t>
      </w:r>
      <w:r w:rsidR="001A6C68" w:rsidRPr="00AD5D35">
        <w:rPr>
          <w:rFonts w:ascii="Times New Roman" w:eastAsia="Batang" w:hAnsi="Times New Roman"/>
          <w:lang w:eastAsia="ko-KR"/>
        </w:rPr>
        <w:t>organizational</w:t>
      </w:r>
      <w:r w:rsidRPr="00AD5D35">
        <w:rPr>
          <w:rFonts w:ascii="Times New Roman" w:eastAsia="Batang" w:hAnsi="Times New Roman"/>
          <w:lang w:eastAsia="ko-KR"/>
        </w:rPr>
        <w:t xml:space="preserve"> set up for evaluation going forward, UNCDF reaffirmed the place for a central evaluation function in its structural alignment exercise with three posts set aside: one core – funded Evaluation Specialist and two non-core-funded Evaluation Officers. Efforts are ongoing to secure funding for these posts. Taken together, this will help ensure that UNCDF can meet its commitments under the revised Policy as well as the target for evaluation in the Integrated Results and Resources Matrix of six external evaluations per year by 2017. </w:t>
      </w:r>
    </w:p>
    <w:p w:rsidR="009D0CB6" w:rsidRDefault="009D0CB6" w:rsidP="006859C7">
      <w:pPr>
        <w:pStyle w:val="ColorfulShading-Accent31"/>
        <w:tabs>
          <w:tab w:val="left" w:pos="360"/>
        </w:tabs>
        <w:spacing w:after="0" w:line="240" w:lineRule="auto"/>
        <w:ind w:left="0"/>
        <w:jc w:val="both"/>
        <w:rPr>
          <w:rFonts w:ascii="Times New Roman" w:eastAsia="Batang" w:hAnsi="Times New Roman"/>
          <w:lang w:eastAsia="ko-KR"/>
        </w:rPr>
      </w:pPr>
    </w:p>
    <w:p w:rsidR="00AD5D35" w:rsidRPr="00AD5D35" w:rsidRDefault="00AD5D35" w:rsidP="00B0304A">
      <w:pPr>
        <w:numPr>
          <w:ilvl w:val="0"/>
          <w:numId w:val="25"/>
        </w:numPr>
        <w:tabs>
          <w:tab w:val="left" w:pos="90"/>
        </w:tabs>
        <w:ind w:hanging="1440"/>
        <w:contextualSpacing/>
        <w:rPr>
          <w:rFonts w:ascii="Times New Roman" w:eastAsia="Batang" w:hAnsi="Times New Roman"/>
          <w:b/>
          <w:bCs/>
          <w:lang w:eastAsia="ko-KR"/>
        </w:rPr>
      </w:pPr>
      <w:bookmarkStart w:id="4" w:name="_Toc411596847"/>
      <w:r w:rsidRPr="00AD5D35">
        <w:rPr>
          <w:rFonts w:ascii="Times New Roman" w:eastAsia="Batang" w:hAnsi="Times New Roman"/>
          <w:b/>
          <w:bCs/>
          <w:lang w:eastAsia="ko-KR"/>
        </w:rPr>
        <w:t>Evaluation activities of the United Nations Volunteers</w:t>
      </w:r>
      <w:bookmarkEnd w:id="4"/>
    </w:p>
    <w:p w:rsidR="00C452CA" w:rsidRDefault="00C452CA" w:rsidP="00C452CA">
      <w:pPr>
        <w:tabs>
          <w:tab w:val="left" w:pos="360"/>
        </w:tabs>
        <w:spacing w:after="0" w:line="240" w:lineRule="auto"/>
        <w:contextualSpacing/>
        <w:jc w:val="both"/>
        <w:rPr>
          <w:rFonts w:ascii="Times New Roman" w:eastAsia="Batang" w:hAnsi="Times New Roman"/>
          <w:lang w:eastAsia="ko-KR"/>
        </w:rPr>
      </w:pPr>
    </w:p>
    <w:p w:rsidR="00C452CA" w:rsidRPr="00C452CA" w:rsidRDefault="00C452CA" w:rsidP="00C452CA">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C452CA">
        <w:rPr>
          <w:rFonts w:ascii="Times New Roman" w:eastAsia="Batang" w:hAnsi="Times New Roman"/>
          <w:lang w:eastAsia="ko-KR"/>
        </w:rPr>
        <w:t xml:space="preserve">UNV has made strengthening of the evaluation function a corporate priority for 2015, in order to implement the commitments reflected in its 2014-2017 Strategic Framework. To this effect, dedicated evaluation capacity will be situated in the new Results Management Support Section, as part of the Results Based Management initiative, which will see an overall strengthening of systems, tools and practices at all levels of the organization.  </w:t>
      </w:r>
    </w:p>
    <w:p w:rsidR="00C452CA" w:rsidRDefault="00C452CA" w:rsidP="00C452CA">
      <w:pPr>
        <w:tabs>
          <w:tab w:val="left" w:pos="360"/>
        </w:tabs>
        <w:spacing w:after="0" w:line="240" w:lineRule="auto"/>
        <w:contextualSpacing/>
        <w:jc w:val="both"/>
        <w:rPr>
          <w:rFonts w:ascii="Times New Roman" w:eastAsia="Batang" w:hAnsi="Times New Roman"/>
          <w:lang w:eastAsia="ko-KR"/>
        </w:rPr>
      </w:pPr>
    </w:p>
    <w:p w:rsidR="00C452CA" w:rsidRDefault="00C452CA" w:rsidP="00C452CA">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C452CA">
        <w:rPr>
          <w:rFonts w:ascii="Times New Roman" w:eastAsia="Batang" w:hAnsi="Times New Roman"/>
          <w:lang w:eastAsia="ko-KR"/>
        </w:rPr>
        <w:t xml:space="preserve">In order to enhance </w:t>
      </w:r>
      <w:r w:rsidR="007823B0">
        <w:rPr>
          <w:rFonts w:ascii="Times New Roman" w:eastAsia="Batang" w:hAnsi="Times New Roman"/>
          <w:lang w:eastAsia="ko-KR"/>
        </w:rPr>
        <w:t xml:space="preserve">the </w:t>
      </w:r>
      <w:r w:rsidRPr="00C452CA">
        <w:rPr>
          <w:rFonts w:ascii="Times New Roman" w:eastAsia="Batang" w:hAnsi="Times New Roman"/>
          <w:lang w:eastAsia="ko-KR"/>
        </w:rPr>
        <w:t>use of evaluations for better accountability, UNV’s monitoring systems are being strengthened to improve systematic oversight of the implementation of evaluation recommendations, through the use of the Evaluation Resource Center platform. To enable greater use of evaluations for learning around the linkages between volunteerism and development results, a dissemination and communication strategy will be developed for major evaluations in close collaboration with the UNV’s Volunteer Knowledge and Innovation Section. Further, staff learning and training in the area of Results-Based Management, including monitoring and evaluation, will be carried out in 2015.</w:t>
      </w:r>
    </w:p>
    <w:p w:rsidR="00C452CA" w:rsidRDefault="00C452CA" w:rsidP="00C452CA">
      <w:pPr>
        <w:tabs>
          <w:tab w:val="left" w:pos="360"/>
        </w:tabs>
        <w:spacing w:after="0" w:line="240" w:lineRule="auto"/>
        <w:contextualSpacing/>
        <w:jc w:val="both"/>
        <w:rPr>
          <w:rFonts w:ascii="Times New Roman" w:eastAsia="Batang" w:hAnsi="Times New Roman"/>
          <w:lang w:eastAsia="ko-KR"/>
        </w:rPr>
      </w:pPr>
    </w:p>
    <w:p w:rsidR="00AD5D35" w:rsidRPr="00C452CA" w:rsidRDefault="00C452CA" w:rsidP="00C452CA">
      <w:pPr>
        <w:numPr>
          <w:ilvl w:val="0"/>
          <w:numId w:val="9"/>
        </w:numPr>
        <w:tabs>
          <w:tab w:val="left" w:pos="360"/>
        </w:tabs>
        <w:spacing w:after="0" w:line="240" w:lineRule="auto"/>
        <w:ind w:left="0" w:firstLine="0"/>
        <w:contextualSpacing/>
        <w:jc w:val="both"/>
        <w:rPr>
          <w:rFonts w:ascii="Times New Roman" w:eastAsia="Batang" w:hAnsi="Times New Roman"/>
          <w:lang w:eastAsia="ko-KR"/>
        </w:rPr>
      </w:pPr>
      <w:r w:rsidRPr="00C452CA">
        <w:rPr>
          <w:rFonts w:ascii="Times New Roman" w:eastAsia="Batang" w:hAnsi="Times New Roman"/>
          <w:lang w:eastAsia="ko-KR"/>
        </w:rPr>
        <w:t>Capturing the contribution of volunteers and volunteerism to improved development results is indeed a challenge. In this regard, UNV is seeking to partner with the IEO in order to leverage quality technical expertise to assure the quality of UNV-commissioned evaluations. At the same time, UNV has initiated discussions with UNDP Programme units and other UN partners with whom decentralized evaluations of joint programmes can be undertaken more systematically within a defined evaluation plan. The latter will also take into account the Results and Resources Frameworks of UNV’s new Global Programmes to ensure a balanced mix of evaluations to improve the way we are able to measure results.</w:t>
      </w:r>
    </w:p>
    <w:p w:rsidR="00A65261" w:rsidRDefault="00A65261" w:rsidP="00D754E4">
      <w:pPr>
        <w:pStyle w:val="ColorfulShading-Accent31"/>
        <w:tabs>
          <w:tab w:val="left" w:pos="360"/>
        </w:tabs>
        <w:spacing w:after="0" w:line="240" w:lineRule="auto"/>
        <w:jc w:val="both"/>
        <w:rPr>
          <w:rFonts w:ascii="Times New Roman" w:eastAsia="Batang" w:hAnsi="Times New Roman"/>
          <w:lang w:eastAsia="ko-KR"/>
        </w:rPr>
      </w:pPr>
    </w:p>
    <w:p w:rsidR="00A65261" w:rsidRDefault="00A65261" w:rsidP="00D754E4">
      <w:pPr>
        <w:pStyle w:val="ColorfulShading-Accent31"/>
        <w:tabs>
          <w:tab w:val="left" w:pos="360"/>
        </w:tabs>
        <w:spacing w:after="0" w:line="240" w:lineRule="auto"/>
        <w:jc w:val="both"/>
        <w:rPr>
          <w:rFonts w:ascii="Times New Roman" w:eastAsia="Batang" w:hAnsi="Times New Roman"/>
          <w:lang w:eastAsia="ko-KR"/>
        </w:rPr>
      </w:pPr>
    </w:p>
    <w:p w:rsidR="004850B2" w:rsidRDefault="004850B2" w:rsidP="00F152B3">
      <w:pPr>
        <w:tabs>
          <w:tab w:val="left" w:pos="360"/>
        </w:tabs>
        <w:spacing w:line="240" w:lineRule="auto"/>
        <w:rPr>
          <w:rFonts w:ascii="Times New Roman" w:hAnsi="Times New Roman"/>
        </w:rPr>
      </w:pPr>
    </w:p>
    <w:sectPr w:rsidR="004850B2" w:rsidSect="00792C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E0" w:rsidRDefault="00DF15E0" w:rsidP="004A42B7">
      <w:pPr>
        <w:spacing w:after="0" w:line="240" w:lineRule="auto"/>
      </w:pPr>
      <w:r>
        <w:separator/>
      </w:r>
    </w:p>
  </w:endnote>
  <w:endnote w:type="continuationSeparator" w:id="0">
    <w:p w:rsidR="00DF15E0" w:rsidRDefault="00DF15E0" w:rsidP="004A42B7">
      <w:pPr>
        <w:spacing w:after="0" w:line="240" w:lineRule="auto"/>
      </w:pPr>
      <w:r>
        <w:continuationSeparator/>
      </w:r>
    </w:p>
  </w:endnote>
  <w:endnote w:type="continuationNotice" w:id="1">
    <w:p w:rsidR="00DF15E0" w:rsidRDefault="00DF1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47" w:rsidRDefault="009D6947">
    <w:pPr>
      <w:pStyle w:val="Footer"/>
      <w:jc w:val="right"/>
    </w:pPr>
    <w:r>
      <w:fldChar w:fldCharType="begin"/>
    </w:r>
    <w:r>
      <w:instrText xml:space="preserve"> PAGE   \* MERGEFORMAT </w:instrText>
    </w:r>
    <w:r>
      <w:fldChar w:fldCharType="separate"/>
    </w:r>
    <w:r w:rsidR="00C53726">
      <w:rPr>
        <w:noProof/>
      </w:rPr>
      <w:t>3</w:t>
    </w:r>
    <w:r>
      <w:rPr>
        <w:noProof/>
      </w:rPr>
      <w:fldChar w:fldCharType="end"/>
    </w:r>
  </w:p>
  <w:p w:rsidR="009D6947" w:rsidRDefault="009D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E0" w:rsidRDefault="00DF15E0" w:rsidP="004A42B7">
      <w:pPr>
        <w:spacing w:after="0" w:line="240" w:lineRule="auto"/>
      </w:pPr>
      <w:r>
        <w:separator/>
      </w:r>
    </w:p>
  </w:footnote>
  <w:footnote w:type="continuationSeparator" w:id="0">
    <w:p w:rsidR="00DF15E0" w:rsidRDefault="00DF15E0" w:rsidP="004A42B7">
      <w:pPr>
        <w:spacing w:after="0" w:line="240" w:lineRule="auto"/>
      </w:pPr>
      <w:r>
        <w:continuationSeparator/>
      </w:r>
    </w:p>
  </w:footnote>
  <w:footnote w:type="continuationNotice" w:id="1">
    <w:p w:rsidR="00DF15E0" w:rsidRDefault="00DF15E0">
      <w:pPr>
        <w:spacing w:after="0" w:line="240" w:lineRule="auto"/>
      </w:pPr>
    </w:p>
  </w:footnote>
  <w:footnote w:id="2">
    <w:p w:rsidR="009D6947" w:rsidRPr="00B01755" w:rsidRDefault="009D6947" w:rsidP="005B3586">
      <w:pPr>
        <w:pStyle w:val="FootnoteText"/>
        <w:jc w:val="both"/>
        <w:rPr>
          <w:rFonts w:ascii="Times New Roman" w:hAnsi="Times New Roman"/>
          <w:sz w:val="16"/>
          <w:szCs w:val="16"/>
        </w:rPr>
      </w:pPr>
      <w:r w:rsidRPr="00B01755">
        <w:rPr>
          <w:rStyle w:val="FootnoteReference"/>
          <w:rFonts w:ascii="Times New Roman" w:hAnsi="Times New Roman"/>
          <w:sz w:val="16"/>
          <w:szCs w:val="16"/>
        </w:rPr>
        <w:footnoteRef/>
      </w:r>
      <w:r>
        <w:rPr>
          <w:rFonts w:ascii="Times New Roman" w:hAnsi="Times New Roman"/>
          <w:sz w:val="16"/>
          <w:szCs w:val="16"/>
        </w:rPr>
        <w:t xml:space="preserve"> Source:</w:t>
      </w:r>
      <w:r w:rsidRPr="00B01755">
        <w:rPr>
          <w:rFonts w:ascii="Times New Roman" w:hAnsi="Times New Roman"/>
          <w:sz w:val="16"/>
          <w:szCs w:val="16"/>
        </w:rPr>
        <w:t xml:space="preserve"> Annual </w:t>
      </w:r>
      <w:r>
        <w:rPr>
          <w:rFonts w:ascii="Times New Roman" w:hAnsi="Times New Roman"/>
          <w:sz w:val="16"/>
          <w:szCs w:val="16"/>
        </w:rPr>
        <w:t>r</w:t>
      </w:r>
      <w:r w:rsidRPr="00B01755">
        <w:rPr>
          <w:rFonts w:ascii="Times New Roman" w:hAnsi="Times New Roman"/>
          <w:sz w:val="16"/>
          <w:szCs w:val="16"/>
        </w:rPr>
        <w:t>eport</w:t>
      </w:r>
      <w:r>
        <w:rPr>
          <w:rFonts w:ascii="Times New Roman" w:hAnsi="Times New Roman"/>
          <w:sz w:val="16"/>
          <w:szCs w:val="16"/>
        </w:rPr>
        <w:t>s</w:t>
      </w:r>
      <w:r w:rsidRPr="00B01755">
        <w:rPr>
          <w:rFonts w:ascii="Times New Roman" w:hAnsi="Times New Roman"/>
          <w:sz w:val="16"/>
          <w:szCs w:val="16"/>
        </w:rPr>
        <w:t xml:space="preserve"> on </w:t>
      </w:r>
      <w:r>
        <w:rPr>
          <w:rFonts w:ascii="Times New Roman" w:hAnsi="Times New Roman"/>
          <w:sz w:val="16"/>
          <w:szCs w:val="16"/>
        </w:rPr>
        <w:t>e</w:t>
      </w:r>
      <w:r w:rsidRPr="00B01755">
        <w:rPr>
          <w:rFonts w:ascii="Times New Roman" w:hAnsi="Times New Roman"/>
          <w:sz w:val="16"/>
          <w:szCs w:val="16"/>
        </w:rPr>
        <w:t>valuation 2011, 2012,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BED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19F"/>
    <w:multiLevelType w:val="hybridMultilevel"/>
    <w:tmpl w:val="A194199C"/>
    <w:lvl w:ilvl="0" w:tplc="B40E3194">
      <w:start w:val="1"/>
      <w:numFmt w:val="decimal"/>
      <w:lvlText w:val="%1."/>
      <w:lvlJc w:val="left"/>
      <w:pPr>
        <w:ind w:left="387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948"/>
    <w:multiLevelType w:val="hybridMultilevel"/>
    <w:tmpl w:val="D752DC76"/>
    <w:lvl w:ilvl="0" w:tplc="37AE7FAE">
      <w:start w:val="1"/>
      <w:numFmt w:val="bullet"/>
      <w:lvlText w:val="•"/>
      <w:lvlJc w:val="left"/>
      <w:pPr>
        <w:tabs>
          <w:tab w:val="num" w:pos="720"/>
        </w:tabs>
        <w:ind w:left="720" w:hanging="360"/>
      </w:pPr>
      <w:rPr>
        <w:rFonts w:ascii="Arial" w:hAnsi="Arial" w:hint="default"/>
      </w:rPr>
    </w:lvl>
    <w:lvl w:ilvl="1" w:tplc="AED6CCB2" w:tentative="1">
      <w:start w:val="1"/>
      <w:numFmt w:val="bullet"/>
      <w:lvlText w:val="•"/>
      <w:lvlJc w:val="left"/>
      <w:pPr>
        <w:tabs>
          <w:tab w:val="num" w:pos="1440"/>
        </w:tabs>
        <w:ind w:left="1440" w:hanging="360"/>
      </w:pPr>
      <w:rPr>
        <w:rFonts w:ascii="Arial" w:hAnsi="Arial" w:hint="default"/>
      </w:rPr>
    </w:lvl>
    <w:lvl w:ilvl="2" w:tplc="67640046" w:tentative="1">
      <w:start w:val="1"/>
      <w:numFmt w:val="bullet"/>
      <w:lvlText w:val="•"/>
      <w:lvlJc w:val="left"/>
      <w:pPr>
        <w:tabs>
          <w:tab w:val="num" w:pos="2160"/>
        </w:tabs>
        <w:ind w:left="2160" w:hanging="360"/>
      </w:pPr>
      <w:rPr>
        <w:rFonts w:ascii="Arial" w:hAnsi="Arial" w:hint="default"/>
      </w:rPr>
    </w:lvl>
    <w:lvl w:ilvl="3" w:tplc="FF16B494" w:tentative="1">
      <w:start w:val="1"/>
      <w:numFmt w:val="bullet"/>
      <w:lvlText w:val="•"/>
      <w:lvlJc w:val="left"/>
      <w:pPr>
        <w:tabs>
          <w:tab w:val="num" w:pos="2880"/>
        </w:tabs>
        <w:ind w:left="2880" w:hanging="360"/>
      </w:pPr>
      <w:rPr>
        <w:rFonts w:ascii="Arial" w:hAnsi="Arial" w:hint="default"/>
      </w:rPr>
    </w:lvl>
    <w:lvl w:ilvl="4" w:tplc="20CE0492" w:tentative="1">
      <w:start w:val="1"/>
      <w:numFmt w:val="bullet"/>
      <w:lvlText w:val="•"/>
      <w:lvlJc w:val="left"/>
      <w:pPr>
        <w:tabs>
          <w:tab w:val="num" w:pos="3600"/>
        </w:tabs>
        <w:ind w:left="3600" w:hanging="360"/>
      </w:pPr>
      <w:rPr>
        <w:rFonts w:ascii="Arial" w:hAnsi="Arial" w:hint="default"/>
      </w:rPr>
    </w:lvl>
    <w:lvl w:ilvl="5" w:tplc="CBA2AC78" w:tentative="1">
      <w:start w:val="1"/>
      <w:numFmt w:val="bullet"/>
      <w:lvlText w:val="•"/>
      <w:lvlJc w:val="left"/>
      <w:pPr>
        <w:tabs>
          <w:tab w:val="num" w:pos="4320"/>
        </w:tabs>
        <w:ind w:left="4320" w:hanging="360"/>
      </w:pPr>
      <w:rPr>
        <w:rFonts w:ascii="Arial" w:hAnsi="Arial" w:hint="default"/>
      </w:rPr>
    </w:lvl>
    <w:lvl w:ilvl="6" w:tplc="20082D26" w:tentative="1">
      <w:start w:val="1"/>
      <w:numFmt w:val="bullet"/>
      <w:lvlText w:val="•"/>
      <w:lvlJc w:val="left"/>
      <w:pPr>
        <w:tabs>
          <w:tab w:val="num" w:pos="5040"/>
        </w:tabs>
        <w:ind w:left="5040" w:hanging="360"/>
      </w:pPr>
      <w:rPr>
        <w:rFonts w:ascii="Arial" w:hAnsi="Arial" w:hint="default"/>
      </w:rPr>
    </w:lvl>
    <w:lvl w:ilvl="7" w:tplc="792ABADC" w:tentative="1">
      <w:start w:val="1"/>
      <w:numFmt w:val="bullet"/>
      <w:lvlText w:val="•"/>
      <w:lvlJc w:val="left"/>
      <w:pPr>
        <w:tabs>
          <w:tab w:val="num" w:pos="5760"/>
        </w:tabs>
        <w:ind w:left="5760" w:hanging="360"/>
      </w:pPr>
      <w:rPr>
        <w:rFonts w:ascii="Arial" w:hAnsi="Arial" w:hint="default"/>
      </w:rPr>
    </w:lvl>
    <w:lvl w:ilvl="8" w:tplc="FDBE072C" w:tentative="1">
      <w:start w:val="1"/>
      <w:numFmt w:val="bullet"/>
      <w:lvlText w:val="•"/>
      <w:lvlJc w:val="left"/>
      <w:pPr>
        <w:tabs>
          <w:tab w:val="num" w:pos="6480"/>
        </w:tabs>
        <w:ind w:left="6480" w:hanging="360"/>
      </w:pPr>
      <w:rPr>
        <w:rFonts w:ascii="Arial" w:hAnsi="Arial" w:hint="default"/>
      </w:rPr>
    </w:lvl>
  </w:abstractNum>
  <w:abstractNum w:abstractNumId="3">
    <w:nsid w:val="08F37851"/>
    <w:multiLevelType w:val="hybridMultilevel"/>
    <w:tmpl w:val="01EC2894"/>
    <w:lvl w:ilvl="0" w:tplc="B40E3194">
      <w:start w:val="1"/>
      <w:numFmt w:val="decimal"/>
      <w:lvlText w:val="%1."/>
      <w:lvlJc w:val="left"/>
      <w:pPr>
        <w:ind w:left="387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F51B3"/>
    <w:multiLevelType w:val="hybridMultilevel"/>
    <w:tmpl w:val="EA160B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DD4AD4"/>
    <w:multiLevelType w:val="hybridMultilevel"/>
    <w:tmpl w:val="B240B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132CE"/>
    <w:multiLevelType w:val="hybridMultilevel"/>
    <w:tmpl w:val="742C1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0E1C0D"/>
    <w:multiLevelType w:val="hybridMultilevel"/>
    <w:tmpl w:val="1C10EE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80423E"/>
    <w:multiLevelType w:val="hybridMultilevel"/>
    <w:tmpl w:val="D25A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76398"/>
    <w:multiLevelType w:val="hybridMultilevel"/>
    <w:tmpl w:val="3C5CF182"/>
    <w:lvl w:ilvl="0" w:tplc="2EF603C6">
      <w:start w:val="2"/>
      <w:numFmt w:val="bullet"/>
      <w:lvlText w:val=""/>
      <w:lvlJc w:val="left"/>
      <w:pPr>
        <w:ind w:left="1080" w:hanging="360"/>
      </w:pPr>
      <w:rPr>
        <w:rFonts w:ascii="Wingdings" w:eastAsia="Calibri" w:hAnsi="Wingdings"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6A7086"/>
    <w:multiLevelType w:val="hybridMultilevel"/>
    <w:tmpl w:val="0B4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D3EC3"/>
    <w:multiLevelType w:val="hybridMultilevel"/>
    <w:tmpl w:val="F8E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90CF0"/>
    <w:multiLevelType w:val="hybridMultilevel"/>
    <w:tmpl w:val="7A6A9C52"/>
    <w:lvl w:ilvl="0" w:tplc="74C056C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2657E"/>
    <w:multiLevelType w:val="hybridMultilevel"/>
    <w:tmpl w:val="27E02F08"/>
    <w:lvl w:ilvl="0" w:tplc="3BACAD6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700298F0">
      <w:start w:val="1"/>
      <w:numFmt w:val="lowerRoman"/>
      <w:lvlText w:val="%3)"/>
      <w:lvlJc w:val="left"/>
      <w:pPr>
        <w:ind w:left="2880" w:hanging="72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2276B3"/>
    <w:multiLevelType w:val="hybridMultilevel"/>
    <w:tmpl w:val="9AB245F2"/>
    <w:lvl w:ilvl="0" w:tplc="9FDEB790">
      <w:start w:val="1"/>
      <w:numFmt w:val="upperLetter"/>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ABD33F0"/>
    <w:multiLevelType w:val="hybridMultilevel"/>
    <w:tmpl w:val="1C10EE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B07726"/>
    <w:multiLevelType w:val="hybridMultilevel"/>
    <w:tmpl w:val="CE460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4371"/>
    <w:multiLevelType w:val="hybridMultilevel"/>
    <w:tmpl w:val="2D1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B71F4"/>
    <w:multiLevelType w:val="hybridMultilevel"/>
    <w:tmpl w:val="45C4C79A"/>
    <w:lvl w:ilvl="0" w:tplc="29E8FB52">
      <w:start w:val="1"/>
      <w:numFmt w:val="lowerLetter"/>
      <w:lvlText w:val="(%1)"/>
      <w:lvlJc w:val="left"/>
      <w:pPr>
        <w:ind w:left="1627" w:hanging="360"/>
      </w:pPr>
    </w:lvl>
    <w:lvl w:ilvl="1" w:tplc="08090003">
      <w:start w:val="1"/>
      <w:numFmt w:val="bullet"/>
      <w:lvlText w:val="o"/>
      <w:lvlJc w:val="left"/>
      <w:pPr>
        <w:ind w:left="2347" w:hanging="360"/>
      </w:pPr>
      <w:rPr>
        <w:rFonts w:ascii="Courier New" w:hAnsi="Courier New" w:cs="Courier New" w:hint="default"/>
      </w:rPr>
    </w:lvl>
    <w:lvl w:ilvl="2" w:tplc="08090005">
      <w:start w:val="1"/>
      <w:numFmt w:val="bullet"/>
      <w:lvlText w:val=""/>
      <w:lvlJc w:val="left"/>
      <w:pPr>
        <w:ind w:left="3067" w:hanging="360"/>
      </w:pPr>
      <w:rPr>
        <w:rFonts w:ascii="Wingdings" w:hAnsi="Wingdings" w:hint="default"/>
      </w:rPr>
    </w:lvl>
    <w:lvl w:ilvl="3" w:tplc="08090001">
      <w:start w:val="1"/>
      <w:numFmt w:val="bullet"/>
      <w:lvlText w:val=""/>
      <w:lvlJc w:val="left"/>
      <w:pPr>
        <w:ind w:left="3787" w:hanging="360"/>
      </w:pPr>
      <w:rPr>
        <w:rFonts w:ascii="Symbol" w:hAnsi="Symbol" w:hint="default"/>
      </w:rPr>
    </w:lvl>
    <w:lvl w:ilvl="4" w:tplc="08090003">
      <w:start w:val="1"/>
      <w:numFmt w:val="bullet"/>
      <w:lvlText w:val="o"/>
      <w:lvlJc w:val="left"/>
      <w:pPr>
        <w:ind w:left="4507" w:hanging="360"/>
      </w:pPr>
      <w:rPr>
        <w:rFonts w:ascii="Courier New" w:hAnsi="Courier New" w:cs="Courier New" w:hint="default"/>
      </w:rPr>
    </w:lvl>
    <w:lvl w:ilvl="5" w:tplc="08090005">
      <w:start w:val="1"/>
      <w:numFmt w:val="bullet"/>
      <w:lvlText w:val=""/>
      <w:lvlJc w:val="left"/>
      <w:pPr>
        <w:ind w:left="5227" w:hanging="360"/>
      </w:pPr>
      <w:rPr>
        <w:rFonts w:ascii="Wingdings" w:hAnsi="Wingdings" w:hint="default"/>
      </w:rPr>
    </w:lvl>
    <w:lvl w:ilvl="6" w:tplc="08090001">
      <w:start w:val="1"/>
      <w:numFmt w:val="bullet"/>
      <w:lvlText w:val=""/>
      <w:lvlJc w:val="left"/>
      <w:pPr>
        <w:ind w:left="5947" w:hanging="360"/>
      </w:pPr>
      <w:rPr>
        <w:rFonts w:ascii="Symbol" w:hAnsi="Symbol" w:hint="default"/>
      </w:rPr>
    </w:lvl>
    <w:lvl w:ilvl="7" w:tplc="08090003">
      <w:start w:val="1"/>
      <w:numFmt w:val="bullet"/>
      <w:lvlText w:val="o"/>
      <w:lvlJc w:val="left"/>
      <w:pPr>
        <w:ind w:left="6667" w:hanging="360"/>
      </w:pPr>
      <w:rPr>
        <w:rFonts w:ascii="Courier New" w:hAnsi="Courier New" w:cs="Courier New" w:hint="default"/>
      </w:rPr>
    </w:lvl>
    <w:lvl w:ilvl="8" w:tplc="08090005">
      <w:start w:val="1"/>
      <w:numFmt w:val="bullet"/>
      <w:lvlText w:val=""/>
      <w:lvlJc w:val="left"/>
      <w:pPr>
        <w:ind w:left="7387" w:hanging="360"/>
      </w:pPr>
      <w:rPr>
        <w:rFonts w:ascii="Wingdings" w:hAnsi="Wingdings" w:hint="default"/>
      </w:rPr>
    </w:lvl>
  </w:abstractNum>
  <w:abstractNum w:abstractNumId="20">
    <w:nsid w:val="42B019E7"/>
    <w:multiLevelType w:val="hybridMultilevel"/>
    <w:tmpl w:val="42760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213C5"/>
    <w:multiLevelType w:val="hybridMultilevel"/>
    <w:tmpl w:val="9ED2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26DA1"/>
    <w:multiLevelType w:val="hybridMultilevel"/>
    <w:tmpl w:val="A476D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27392"/>
    <w:multiLevelType w:val="hybridMultilevel"/>
    <w:tmpl w:val="9A40340A"/>
    <w:lvl w:ilvl="0" w:tplc="1CCC314C">
      <w:start w:val="1"/>
      <w:numFmt w:val="decimal"/>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4">
    <w:nsid w:val="45D126E5"/>
    <w:multiLevelType w:val="multilevel"/>
    <w:tmpl w:val="BCF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53765"/>
    <w:multiLevelType w:val="hybridMultilevel"/>
    <w:tmpl w:val="F17018B0"/>
    <w:lvl w:ilvl="0" w:tplc="B40E319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33D61"/>
    <w:multiLevelType w:val="hybridMultilevel"/>
    <w:tmpl w:val="4BC6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F5097"/>
    <w:multiLevelType w:val="hybridMultilevel"/>
    <w:tmpl w:val="8F68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9A51ED"/>
    <w:multiLevelType w:val="hybridMultilevel"/>
    <w:tmpl w:val="ABAC5052"/>
    <w:lvl w:ilvl="0" w:tplc="A800711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210501"/>
    <w:multiLevelType w:val="hybridMultilevel"/>
    <w:tmpl w:val="09F2D514"/>
    <w:lvl w:ilvl="0" w:tplc="F1A4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F7337"/>
    <w:multiLevelType w:val="hybridMultilevel"/>
    <w:tmpl w:val="465A6226"/>
    <w:lvl w:ilvl="0" w:tplc="C24C9568">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62619"/>
    <w:multiLevelType w:val="hybridMultilevel"/>
    <w:tmpl w:val="87DEE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03EC3"/>
    <w:multiLevelType w:val="hybridMultilevel"/>
    <w:tmpl w:val="04022440"/>
    <w:lvl w:ilvl="0" w:tplc="CEA892E8">
      <w:start w:val="1"/>
      <w:numFmt w:val="decimal"/>
      <w:lvlText w:val="%1."/>
      <w:lvlJc w:val="left"/>
      <w:pPr>
        <w:ind w:left="0" w:hanging="360"/>
      </w:pPr>
      <w:rPr>
        <w:b w:val="0"/>
        <w:color w:val="auto"/>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454476C"/>
    <w:multiLevelType w:val="hybridMultilevel"/>
    <w:tmpl w:val="94180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9B2B5D"/>
    <w:multiLevelType w:val="hybridMultilevel"/>
    <w:tmpl w:val="B64894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34460"/>
    <w:multiLevelType w:val="hybridMultilevel"/>
    <w:tmpl w:val="845E6920"/>
    <w:lvl w:ilvl="0" w:tplc="711E287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nsid w:val="6B903BD0"/>
    <w:multiLevelType w:val="hybridMultilevel"/>
    <w:tmpl w:val="EC6EB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C1F280D"/>
    <w:multiLevelType w:val="hybridMultilevel"/>
    <w:tmpl w:val="657E21F8"/>
    <w:lvl w:ilvl="0" w:tplc="CEC4DED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873488"/>
    <w:multiLevelType w:val="hybridMultilevel"/>
    <w:tmpl w:val="09F2D514"/>
    <w:lvl w:ilvl="0" w:tplc="F1A4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62AB5"/>
    <w:multiLevelType w:val="hybridMultilevel"/>
    <w:tmpl w:val="0400EDE0"/>
    <w:lvl w:ilvl="0" w:tplc="543AB7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428E7"/>
    <w:multiLevelType w:val="hybridMultilevel"/>
    <w:tmpl w:val="A552C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17"/>
  </w:num>
  <w:num w:numId="4">
    <w:abstractNumId w:val="39"/>
  </w:num>
  <w:num w:numId="5">
    <w:abstractNumId w:val="6"/>
  </w:num>
  <w:num w:numId="6">
    <w:abstractNumId w:val="20"/>
  </w:num>
  <w:num w:numId="7">
    <w:abstractNumId w:val="4"/>
  </w:num>
  <w:num w:numId="8">
    <w:abstractNumId w:val="10"/>
  </w:num>
  <w:num w:numId="9">
    <w:abstractNumId w:val="25"/>
  </w:num>
  <w:num w:numId="10">
    <w:abstractNumId w:val="35"/>
  </w:num>
  <w:num w:numId="11">
    <w:abstractNumId w:val="23"/>
  </w:num>
  <w:num w:numId="12">
    <w:abstractNumId w:val="24"/>
  </w:num>
  <w:num w:numId="13">
    <w:abstractNumId w:val="2"/>
  </w:num>
  <w:num w:numId="14">
    <w:abstractNumId w:val="32"/>
  </w:num>
  <w:num w:numId="15">
    <w:abstractNumId w:val="31"/>
  </w:num>
  <w:num w:numId="16">
    <w:abstractNumId w:val="13"/>
  </w:num>
  <w:num w:numId="17">
    <w:abstractNumId w:val="12"/>
  </w:num>
  <w:num w:numId="18">
    <w:abstractNumId w:val="18"/>
  </w:num>
  <w:num w:numId="19">
    <w:abstractNumId w:val="1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0"/>
  </w:num>
  <w:num w:numId="29">
    <w:abstractNumId w:val="29"/>
  </w:num>
  <w:num w:numId="30">
    <w:abstractNumId w:val="21"/>
  </w:num>
  <w:num w:numId="31">
    <w:abstractNumId w:val="26"/>
  </w:num>
  <w:num w:numId="32">
    <w:abstractNumId w:val="8"/>
  </w:num>
  <w:num w:numId="33">
    <w:abstractNumId w:val="9"/>
  </w:num>
  <w:num w:numId="34">
    <w:abstractNumId w:val="40"/>
  </w:num>
  <w:num w:numId="35">
    <w:abstractNumId w:val="1"/>
  </w:num>
  <w:num w:numId="36">
    <w:abstractNumId w:val="5"/>
  </w:num>
  <w:num w:numId="37">
    <w:abstractNumId w:val="30"/>
  </w:num>
  <w:num w:numId="38">
    <w:abstractNumId w:val="34"/>
  </w:num>
  <w:num w:numId="39">
    <w:abstractNumId w:val="3"/>
  </w:num>
  <w:num w:numId="40">
    <w:abstractNumId w:val="7"/>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A7"/>
    <w:rsid w:val="00000D57"/>
    <w:rsid w:val="000017B8"/>
    <w:rsid w:val="00002372"/>
    <w:rsid w:val="0000450A"/>
    <w:rsid w:val="00006A07"/>
    <w:rsid w:val="000072B7"/>
    <w:rsid w:val="00007A56"/>
    <w:rsid w:val="000111CE"/>
    <w:rsid w:val="00012B10"/>
    <w:rsid w:val="00012F94"/>
    <w:rsid w:val="00013C0F"/>
    <w:rsid w:val="00013E7A"/>
    <w:rsid w:val="00014114"/>
    <w:rsid w:val="00014567"/>
    <w:rsid w:val="000149CD"/>
    <w:rsid w:val="000151C7"/>
    <w:rsid w:val="00017FEB"/>
    <w:rsid w:val="00021F50"/>
    <w:rsid w:val="0002218C"/>
    <w:rsid w:val="00023127"/>
    <w:rsid w:val="000251D7"/>
    <w:rsid w:val="00026526"/>
    <w:rsid w:val="00027214"/>
    <w:rsid w:val="000272F2"/>
    <w:rsid w:val="00027E22"/>
    <w:rsid w:val="00027EB1"/>
    <w:rsid w:val="000300EF"/>
    <w:rsid w:val="0003035B"/>
    <w:rsid w:val="000306D8"/>
    <w:rsid w:val="0003117B"/>
    <w:rsid w:val="000312CC"/>
    <w:rsid w:val="000317C5"/>
    <w:rsid w:val="000318E1"/>
    <w:rsid w:val="000321C7"/>
    <w:rsid w:val="00032849"/>
    <w:rsid w:val="00034103"/>
    <w:rsid w:val="00034A67"/>
    <w:rsid w:val="00035031"/>
    <w:rsid w:val="0003519E"/>
    <w:rsid w:val="0003542A"/>
    <w:rsid w:val="00035511"/>
    <w:rsid w:val="000358F0"/>
    <w:rsid w:val="00035E72"/>
    <w:rsid w:val="00036E8B"/>
    <w:rsid w:val="000374E2"/>
    <w:rsid w:val="00037CE1"/>
    <w:rsid w:val="00041F6D"/>
    <w:rsid w:val="00042970"/>
    <w:rsid w:val="000429AB"/>
    <w:rsid w:val="00042A8F"/>
    <w:rsid w:val="00044317"/>
    <w:rsid w:val="000448CF"/>
    <w:rsid w:val="00044E63"/>
    <w:rsid w:val="00044F81"/>
    <w:rsid w:val="00045678"/>
    <w:rsid w:val="000458BD"/>
    <w:rsid w:val="00045A75"/>
    <w:rsid w:val="000467F0"/>
    <w:rsid w:val="00047BF6"/>
    <w:rsid w:val="000501E5"/>
    <w:rsid w:val="00050ACD"/>
    <w:rsid w:val="000516BA"/>
    <w:rsid w:val="00051C2F"/>
    <w:rsid w:val="00053D80"/>
    <w:rsid w:val="00054C9F"/>
    <w:rsid w:val="000551D8"/>
    <w:rsid w:val="0005575E"/>
    <w:rsid w:val="000561A5"/>
    <w:rsid w:val="000562B1"/>
    <w:rsid w:val="000575C2"/>
    <w:rsid w:val="000609C2"/>
    <w:rsid w:val="00061843"/>
    <w:rsid w:val="00062620"/>
    <w:rsid w:val="00062820"/>
    <w:rsid w:val="00062A4E"/>
    <w:rsid w:val="00063C4B"/>
    <w:rsid w:val="00065859"/>
    <w:rsid w:val="0006714B"/>
    <w:rsid w:val="000678C9"/>
    <w:rsid w:val="0007009F"/>
    <w:rsid w:val="000706D0"/>
    <w:rsid w:val="00070AB1"/>
    <w:rsid w:val="00070BE5"/>
    <w:rsid w:val="00070CA2"/>
    <w:rsid w:val="00070EE3"/>
    <w:rsid w:val="00071A9A"/>
    <w:rsid w:val="000720E4"/>
    <w:rsid w:val="00072D53"/>
    <w:rsid w:val="000731DB"/>
    <w:rsid w:val="00073FE8"/>
    <w:rsid w:val="000748AA"/>
    <w:rsid w:val="00074BF2"/>
    <w:rsid w:val="00074F01"/>
    <w:rsid w:val="00074F8E"/>
    <w:rsid w:val="000760F0"/>
    <w:rsid w:val="00081C21"/>
    <w:rsid w:val="00082030"/>
    <w:rsid w:val="00082255"/>
    <w:rsid w:val="00082887"/>
    <w:rsid w:val="000839CB"/>
    <w:rsid w:val="00083C61"/>
    <w:rsid w:val="00083D3B"/>
    <w:rsid w:val="000844BC"/>
    <w:rsid w:val="000859BE"/>
    <w:rsid w:val="000861EA"/>
    <w:rsid w:val="000867FD"/>
    <w:rsid w:val="000870B5"/>
    <w:rsid w:val="0008731D"/>
    <w:rsid w:val="0008794D"/>
    <w:rsid w:val="00091626"/>
    <w:rsid w:val="00091B39"/>
    <w:rsid w:val="000921C5"/>
    <w:rsid w:val="00092268"/>
    <w:rsid w:val="00093375"/>
    <w:rsid w:val="00093B57"/>
    <w:rsid w:val="00093C7E"/>
    <w:rsid w:val="00093F73"/>
    <w:rsid w:val="000941FB"/>
    <w:rsid w:val="000942A8"/>
    <w:rsid w:val="00094F44"/>
    <w:rsid w:val="00095398"/>
    <w:rsid w:val="000965E6"/>
    <w:rsid w:val="00096F3E"/>
    <w:rsid w:val="000A10F7"/>
    <w:rsid w:val="000A13BC"/>
    <w:rsid w:val="000A174B"/>
    <w:rsid w:val="000A1B3A"/>
    <w:rsid w:val="000A27A6"/>
    <w:rsid w:val="000A3393"/>
    <w:rsid w:val="000A43E0"/>
    <w:rsid w:val="000A4794"/>
    <w:rsid w:val="000A5920"/>
    <w:rsid w:val="000A5D5C"/>
    <w:rsid w:val="000A608C"/>
    <w:rsid w:val="000A6349"/>
    <w:rsid w:val="000A636A"/>
    <w:rsid w:val="000A6EC8"/>
    <w:rsid w:val="000A7818"/>
    <w:rsid w:val="000B084A"/>
    <w:rsid w:val="000B08A8"/>
    <w:rsid w:val="000B0D5B"/>
    <w:rsid w:val="000B1926"/>
    <w:rsid w:val="000B254A"/>
    <w:rsid w:val="000B2562"/>
    <w:rsid w:val="000B272B"/>
    <w:rsid w:val="000B2810"/>
    <w:rsid w:val="000B2845"/>
    <w:rsid w:val="000B32EC"/>
    <w:rsid w:val="000B37C2"/>
    <w:rsid w:val="000B3BDF"/>
    <w:rsid w:val="000B50F9"/>
    <w:rsid w:val="000B5BE0"/>
    <w:rsid w:val="000B65AF"/>
    <w:rsid w:val="000B65B1"/>
    <w:rsid w:val="000B674D"/>
    <w:rsid w:val="000B75A6"/>
    <w:rsid w:val="000B767C"/>
    <w:rsid w:val="000B77AC"/>
    <w:rsid w:val="000C0937"/>
    <w:rsid w:val="000C095B"/>
    <w:rsid w:val="000C0D72"/>
    <w:rsid w:val="000C1538"/>
    <w:rsid w:val="000C16A2"/>
    <w:rsid w:val="000C1EA3"/>
    <w:rsid w:val="000C226A"/>
    <w:rsid w:val="000C2C52"/>
    <w:rsid w:val="000C2FEC"/>
    <w:rsid w:val="000C32F5"/>
    <w:rsid w:val="000C3741"/>
    <w:rsid w:val="000C3F19"/>
    <w:rsid w:val="000C490E"/>
    <w:rsid w:val="000C5241"/>
    <w:rsid w:val="000C5B91"/>
    <w:rsid w:val="000C5F28"/>
    <w:rsid w:val="000C66DC"/>
    <w:rsid w:val="000C67EA"/>
    <w:rsid w:val="000C7FB5"/>
    <w:rsid w:val="000D131C"/>
    <w:rsid w:val="000D24FB"/>
    <w:rsid w:val="000D3DD4"/>
    <w:rsid w:val="000D4599"/>
    <w:rsid w:val="000D4FCA"/>
    <w:rsid w:val="000D5A24"/>
    <w:rsid w:val="000D5A39"/>
    <w:rsid w:val="000D6D4B"/>
    <w:rsid w:val="000D75D6"/>
    <w:rsid w:val="000E0CFF"/>
    <w:rsid w:val="000E0D0F"/>
    <w:rsid w:val="000E1A70"/>
    <w:rsid w:val="000E1F0E"/>
    <w:rsid w:val="000E2163"/>
    <w:rsid w:val="000E250D"/>
    <w:rsid w:val="000E2ACE"/>
    <w:rsid w:val="000E45C1"/>
    <w:rsid w:val="000E56D0"/>
    <w:rsid w:val="000E5968"/>
    <w:rsid w:val="000E5B5E"/>
    <w:rsid w:val="000E6431"/>
    <w:rsid w:val="000F0BDC"/>
    <w:rsid w:val="000F1A22"/>
    <w:rsid w:val="000F1F83"/>
    <w:rsid w:val="000F3702"/>
    <w:rsid w:val="000F3F88"/>
    <w:rsid w:val="000F41A2"/>
    <w:rsid w:val="000F44DF"/>
    <w:rsid w:val="000F4C1C"/>
    <w:rsid w:val="000F6500"/>
    <w:rsid w:val="000F775A"/>
    <w:rsid w:val="000F798E"/>
    <w:rsid w:val="000F7E6F"/>
    <w:rsid w:val="00100DE2"/>
    <w:rsid w:val="0010162F"/>
    <w:rsid w:val="00101E67"/>
    <w:rsid w:val="00102264"/>
    <w:rsid w:val="00102372"/>
    <w:rsid w:val="0010326E"/>
    <w:rsid w:val="00103272"/>
    <w:rsid w:val="001037F6"/>
    <w:rsid w:val="001045B9"/>
    <w:rsid w:val="0010465C"/>
    <w:rsid w:val="001057E2"/>
    <w:rsid w:val="00106046"/>
    <w:rsid w:val="001065A6"/>
    <w:rsid w:val="00106FFC"/>
    <w:rsid w:val="00107B0F"/>
    <w:rsid w:val="00107CCD"/>
    <w:rsid w:val="00110743"/>
    <w:rsid w:val="00110E29"/>
    <w:rsid w:val="0011152E"/>
    <w:rsid w:val="00111794"/>
    <w:rsid w:val="00111B5C"/>
    <w:rsid w:val="00112AAA"/>
    <w:rsid w:val="00113836"/>
    <w:rsid w:val="00114704"/>
    <w:rsid w:val="00115187"/>
    <w:rsid w:val="0011584A"/>
    <w:rsid w:val="001162AA"/>
    <w:rsid w:val="001167A3"/>
    <w:rsid w:val="00116A89"/>
    <w:rsid w:val="001170C1"/>
    <w:rsid w:val="00117522"/>
    <w:rsid w:val="00120940"/>
    <w:rsid w:val="00121300"/>
    <w:rsid w:val="0012282F"/>
    <w:rsid w:val="001228CE"/>
    <w:rsid w:val="001243D6"/>
    <w:rsid w:val="00124916"/>
    <w:rsid w:val="00124DCC"/>
    <w:rsid w:val="001251B7"/>
    <w:rsid w:val="001252D4"/>
    <w:rsid w:val="0012542D"/>
    <w:rsid w:val="00126754"/>
    <w:rsid w:val="001272C9"/>
    <w:rsid w:val="00127773"/>
    <w:rsid w:val="00127DA8"/>
    <w:rsid w:val="0013084B"/>
    <w:rsid w:val="00130C1F"/>
    <w:rsid w:val="00130C59"/>
    <w:rsid w:val="00130EFC"/>
    <w:rsid w:val="0013121F"/>
    <w:rsid w:val="0013131F"/>
    <w:rsid w:val="00131A8E"/>
    <w:rsid w:val="00131E69"/>
    <w:rsid w:val="00133469"/>
    <w:rsid w:val="00133AFE"/>
    <w:rsid w:val="0013593D"/>
    <w:rsid w:val="0013631E"/>
    <w:rsid w:val="001365CF"/>
    <w:rsid w:val="001366AC"/>
    <w:rsid w:val="001368B1"/>
    <w:rsid w:val="001378A1"/>
    <w:rsid w:val="00137BCB"/>
    <w:rsid w:val="00140951"/>
    <w:rsid w:val="00141D72"/>
    <w:rsid w:val="00142081"/>
    <w:rsid w:val="00143DAE"/>
    <w:rsid w:val="00144BD5"/>
    <w:rsid w:val="001450AC"/>
    <w:rsid w:val="00145976"/>
    <w:rsid w:val="00145D94"/>
    <w:rsid w:val="0014685C"/>
    <w:rsid w:val="00146BF4"/>
    <w:rsid w:val="001473E9"/>
    <w:rsid w:val="00147D24"/>
    <w:rsid w:val="001505AD"/>
    <w:rsid w:val="00150804"/>
    <w:rsid w:val="001511D3"/>
    <w:rsid w:val="00152344"/>
    <w:rsid w:val="0015303B"/>
    <w:rsid w:val="001530AB"/>
    <w:rsid w:val="00153909"/>
    <w:rsid w:val="00155110"/>
    <w:rsid w:val="00155706"/>
    <w:rsid w:val="00156050"/>
    <w:rsid w:val="001562A7"/>
    <w:rsid w:val="00156557"/>
    <w:rsid w:val="001571BA"/>
    <w:rsid w:val="00157934"/>
    <w:rsid w:val="00160B6C"/>
    <w:rsid w:val="00160CF4"/>
    <w:rsid w:val="00161BE4"/>
    <w:rsid w:val="00162169"/>
    <w:rsid w:val="0016307A"/>
    <w:rsid w:val="001638FE"/>
    <w:rsid w:val="00164CB9"/>
    <w:rsid w:val="00172D14"/>
    <w:rsid w:val="00172F56"/>
    <w:rsid w:val="00173473"/>
    <w:rsid w:val="00173FD6"/>
    <w:rsid w:val="0017420A"/>
    <w:rsid w:val="0017439E"/>
    <w:rsid w:val="001743F3"/>
    <w:rsid w:val="00174D4E"/>
    <w:rsid w:val="00174F07"/>
    <w:rsid w:val="00177EDD"/>
    <w:rsid w:val="0018063A"/>
    <w:rsid w:val="00181836"/>
    <w:rsid w:val="001818E8"/>
    <w:rsid w:val="00182135"/>
    <w:rsid w:val="00182291"/>
    <w:rsid w:val="0018318B"/>
    <w:rsid w:val="00183399"/>
    <w:rsid w:val="00185F5A"/>
    <w:rsid w:val="00185F64"/>
    <w:rsid w:val="00187306"/>
    <w:rsid w:val="001904DF"/>
    <w:rsid w:val="0019096C"/>
    <w:rsid w:val="00191A0B"/>
    <w:rsid w:val="00192A7C"/>
    <w:rsid w:val="00192DDE"/>
    <w:rsid w:val="00192EE2"/>
    <w:rsid w:val="00193177"/>
    <w:rsid w:val="00193787"/>
    <w:rsid w:val="0019405E"/>
    <w:rsid w:val="00194670"/>
    <w:rsid w:val="001947D3"/>
    <w:rsid w:val="0019499E"/>
    <w:rsid w:val="00195161"/>
    <w:rsid w:val="00195191"/>
    <w:rsid w:val="00195EF2"/>
    <w:rsid w:val="00197528"/>
    <w:rsid w:val="00197A7A"/>
    <w:rsid w:val="001A114D"/>
    <w:rsid w:val="001A20EA"/>
    <w:rsid w:val="001A23BB"/>
    <w:rsid w:val="001A24FD"/>
    <w:rsid w:val="001A2EE8"/>
    <w:rsid w:val="001A30F9"/>
    <w:rsid w:val="001A39AC"/>
    <w:rsid w:val="001A42D2"/>
    <w:rsid w:val="001A4B5F"/>
    <w:rsid w:val="001A50D8"/>
    <w:rsid w:val="001A5191"/>
    <w:rsid w:val="001A5670"/>
    <w:rsid w:val="001A5DD8"/>
    <w:rsid w:val="001A6C68"/>
    <w:rsid w:val="001A6E67"/>
    <w:rsid w:val="001A7E09"/>
    <w:rsid w:val="001B2ADD"/>
    <w:rsid w:val="001B2D39"/>
    <w:rsid w:val="001B2E36"/>
    <w:rsid w:val="001B30C2"/>
    <w:rsid w:val="001B39AA"/>
    <w:rsid w:val="001B3D7E"/>
    <w:rsid w:val="001B4F69"/>
    <w:rsid w:val="001B6912"/>
    <w:rsid w:val="001B723B"/>
    <w:rsid w:val="001B7351"/>
    <w:rsid w:val="001C0299"/>
    <w:rsid w:val="001C10E0"/>
    <w:rsid w:val="001C10F4"/>
    <w:rsid w:val="001C1BD7"/>
    <w:rsid w:val="001C1D6A"/>
    <w:rsid w:val="001C21B8"/>
    <w:rsid w:val="001C2994"/>
    <w:rsid w:val="001C2BE4"/>
    <w:rsid w:val="001C39DD"/>
    <w:rsid w:val="001C3FDF"/>
    <w:rsid w:val="001C5314"/>
    <w:rsid w:val="001C5803"/>
    <w:rsid w:val="001C589E"/>
    <w:rsid w:val="001C5E11"/>
    <w:rsid w:val="001C62E2"/>
    <w:rsid w:val="001C7DA4"/>
    <w:rsid w:val="001C7EDD"/>
    <w:rsid w:val="001D1226"/>
    <w:rsid w:val="001D1377"/>
    <w:rsid w:val="001D28ED"/>
    <w:rsid w:val="001D3330"/>
    <w:rsid w:val="001D3DCF"/>
    <w:rsid w:val="001D42DD"/>
    <w:rsid w:val="001D5511"/>
    <w:rsid w:val="001D573E"/>
    <w:rsid w:val="001D58B1"/>
    <w:rsid w:val="001D5A84"/>
    <w:rsid w:val="001D5D63"/>
    <w:rsid w:val="001D6198"/>
    <w:rsid w:val="001D6E2E"/>
    <w:rsid w:val="001D713D"/>
    <w:rsid w:val="001D72D6"/>
    <w:rsid w:val="001D7B88"/>
    <w:rsid w:val="001E0905"/>
    <w:rsid w:val="001E0A17"/>
    <w:rsid w:val="001E1F90"/>
    <w:rsid w:val="001E2E9A"/>
    <w:rsid w:val="001E34B0"/>
    <w:rsid w:val="001E3782"/>
    <w:rsid w:val="001E4A2A"/>
    <w:rsid w:val="001E62AE"/>
    <w:rsid w:val="001E6612"/>
    <w:rsid w:val="001E6AD2"/>
    <w:rsid w:val="001E7FA9"/>
    <w:rsid w:val="001F1997"/>
    <w:rsid w:val="001F1C77"/>
    <w:rsid w:val="001F2073"/>
    <w:rsid w:val="001F23E8"/>
    <w:rsid w:val="001F2A10"/>
    <w:rsid w:val="001F2F45"/>
    <w:rsid w:val="001F4857"/>
    <w:rsid w:val="001F4AA9"/>
    <w:rsid w:val="001F5D8F"/>
    <w:rsid w:val="001F638B"/>
    <w:rsid w:val="001F6642"/>
    <w:rsid w:val="00201172"/>
    <w:rsid w:val="002015ED"/>
    <w:rsid w:val="002024A1"/>
    <w:rsid w:val="00203327"/>
    <w:rsid w:val="0020391C"/>
    <w:rsid w:val="00204340"/>
    <w:rsid w:val="002044A8"/>
    <w:rsid w:val="002053A3"/>
    <w:rsid w:val="002060B7"/>
    <w:rsid w:val="00207851"/>
    <w:rsid w:val="00210A51"/>
    <w:rsid w:val="00210E2D"/>
    <w:rsid w:val="002116EE"/>
    <w:rsid w:val="00211DD8"/>
    <w:rsid w:val="00212D7F"/>
    <w:rsid w:val="00213322"/>
    <w:rsid w:val="00214EB8"/>
    <w:rsid w:val="00216277"/>
    <w:rsid w:val="002177B8"/>
    <w:rsid w:val="00217917"/>
    <w:rsid w:val="00220815"/>
    <w:rsid w:val="002210EA"/>
    <w:rsid w:val="002212E5"/>
    <w:rsid w:val="00221445"/>
    <w:rsid w:val="00221BD4"/>
    <w:rsid w:val="0022283B"/>
    <w:rsid w:val="002229D0"/>
    <w:rsid w:val="00222A2A"/>
    <w:rsid w:val="00222A91"/>
    <w:rsid w:val="00227429"/>
    <w:rsid w:val="00230254"/>
    <w:rsid w:val="0023184A"/>
    <w:rsid w:val="00231EC1"/>
    <w:rsid w:val="0023233C"/>
    <w:rsid w:val="0023282A"/>
    <w:rsid w:val="002330E5"/>
    <w:rsid w:val="002351AE"/>
    <w:rsid w:val="002355EE"/>
    <w:rsid w:val="0023562D"/>
    <w:rsid w:val="00235A3E"/>
    <w:rsid w:val="002371F7"/>
    <w:rsid w:val="00240261"/>
    <w:rsid w:val="00240AAC"/>
    <w:rsid w:val="00240EA4"/>
    <w:rsid w:val="0024168A"/>
    <w:rsid w:val="00242494"/>
    <w:rsid w:val="0024310A"/>
    <w:rsid w:val="00243D4E"/>
    <w:rsid w:val="002446DC"/>
    <w:rsid w:val="002447E6"/>
    <w:rsid w:val="0024522B"/>
    <w:rsid w:val="00246105"/>
    <w:rsid w:val="00247232"/>
    <w:rsid w:val="00247744"/>
    <w:rsid w:val="00251023"/>
    <w:rsid w:val="00251CC4"/>
    <w:rsid w:val="002526F9"/>
    <w:rsid w:val="00253411"/>
    <w:rsid w:val="00253837"/>
    <w:rsid w:val="00253E86"/>
    <w:rsid w:val="00253F8C"/>
    <w:rsid w:val="002542BB"/>
    <w:rsid w:val="0025466E"/>
    <w:rsid w:val="00254A4B"/>
    <w:rsid w:val="00254BA4"/>
    <w:rsid w:val="0025533E"/>
    <w:rsid w:val="002557A9"/>
    <w:rsid w:val="002559A1"/>
    <w:rsid w:val="00255AA2"/>
    <w:rsid w:val="00256068"/>
    <w:rsid w:val="0025613B"/>
    <w:rsid w:val="002571E5"/>
    <w:rsid w:val="002605FB"/>
    <w:rsid w:val="002608C3"/>
    <w:rsid w:val="00261F8E"/>
    <w:rsid w:val="0026281F"/>
    <w:rsid w:val="00262F21"/>
    <w:rsid w:val="002630F6"/>
    <w:rsid w:val="002641A2"/>
    <w:rsid w:val="00264D62"/>
    <w:rsid w:val="002664AD"/>
    <w:rsid w:val="00266937"/>
    <w:rsid w:val="002678B9"/>
    <w:rsid w:val="00267E86"/>
    <w:rsid w:val="00270EE5"/>
    <w:rsid w:val="00271981"/>
    <w:rsid w:val="00271A06"/>
    <w:rsid w:val="0027348F"/>
    <w:rsid w:val="002734DB"/>
    <w:rsid w:val="0027380A"/>
    <w:rsid w:val="00276700"/>
    <w:rsid w:val="00280B4A"/>
    <w:rsid w:val="00282EEE"/>
    <w:rsid w:val="00283CB5"/>
    <w:rsid w:val="00283D31"/>
    <w:rsid w:val="00284F4C"/>
    <w:rsid w:val="00287B03"/>
    <w:rsid w:val="00287D17"/>
    <w:rsid w:val="002900D2"/>
    <w:rsid w:val="00290583"/>
    <w:rsid w:val="00293823"/>
    <w:rsid w:val="00296577"/>
    <w:rsid w:val="002971BB"/>
    <w:rsid w:val="002977D8"/>
    <w:rsid w:val="002A0DA9"/>
    <w:rsid w:val="002A0F18"/>
    <w:rsid w:val="002A1359"/>
    <w:rsid w:val="002A17AD"/>
    <w:rsid w:val="002A1E24"/>
    <w:rsid w:val="002A2305"/>
    <w:rsid w:val="002A5CD3"/>
    <w:rsid w:val="002A5F58"/>
    <w:rsid w:val="002A7EBF"/>
    <w:rsid w:val="002B0A4C"/>
    <w:rsid w:val="002B155E"/>
    <w:rsid w:val="002B269B"/>
    <w:rsid w:val="002B2815"/>
    <w:rsid w:val="002B3427"/>
    <w:rsid w:val="002B3AC0"/>
    <w:rsid w:val="002B4A3F"/>
    <w:rsid w:val="002B5382"/>
    <w:rsid w:val="002B59C7"/>
    <w:rsid w:val="002B69E5"/>
    <w:rsid w:val="002B7449"/>
    <w:rsid w:val="002B7A69"/>
    <w:rsid w:val="002C04BF"/>
    <w:rsid w:val="002C3156"/>
    <w:rsid w:val="002C3179"/>
    <w:rsid w:val="002C3226"/>
    <w:rsid w:val="002C42D7"/>
    <w:rsid w:val="002C4353"/>
    <w:rsid w:val="002C4A5A"/>
    <w:rsid w:val="002C52C7"/>
    <w:rsid w:val="002C6497"/>
    <w:rsid w:val="002C6CEB"/>
    <w:rsid w:val="002C6D43"/>
    <w:rsid w:val="002C7287"/>
    <w:rsid w:val="002D0073"/>
    <w:rsid w:val="002D0FF4"/>
    <w:rsid w:val="002D3B84"/>
    <w:rsid w:val="002D3EA9"/>
    <w:rsid w:val="002D429D"/>
    <w:rsid w:val="002D437A"/>
    <w:rsid w:val="002D4B25"/>
    <w:rsid w:val="002D4E5F"/>
    <w:rsid w:val="002D4FE5"/>
    <w:rsid w:val="002D6758"/>
    <w:rsid w:val="002D7057"/>
    <w:rsid w:val="002D73E0"/>
    <w:rsid w:val="002D741A"/>
    <w:rsid w:val="002E0098"/>
    <w:rsid w:val="002E01F7"/>
    <w:rsid w:val="002E07B0"/>
    <w:rsid w:val="002E1261"/>
    <w:rsid w:val="002E2619"/>
    <w:rsid w:val="002E2642"/>
    <w:rsid w:val="002E30F9"/>
    <w:rsid w:val="002E331E"/>
    <w:rsid w:val="002E33EB"/>
    <w:rsid w:val="002E5012"/>
    <w:rsid w:val="002E5997"/>
    <w:rsid w:val="002E64C6"/>
    <w:rsid w:val="002E6833"/>
    <w:rsid w:val="002E73D1"/>
    <w:rsid w:val="002E7572"/>
    <w:rsid w:val="002E7BBD"/>
    <w:rsid w:val="002F0001"/>
    <w:rsid w:val="002F0FF3"/>
    <w:rsid w:val="002F190D"/>
    <w:rsid w:val="002F1EEA"/>
    <w:rsid w:val="002F263E"/>
    <w:rsid w:val="002F2E85"/>
    <w:rsid w:val="002F46F1"/>
    <w:rsid w:val="002F4C9A"/>
    <w:rsid w:val="002F5012"/>
    <w:rsid w:val="002F64AA"/>
    <w:rsid w:val="002F7793"/>
    <w:rsid w:val="002F7B9A"/>
    <w:rsid w:val="002F7DF5"/>
    <w:rsid w:val="00301B96"/>
    <w:rsid w:val="003021A2"/>
    <w:rsid w:val="0030341A"/>
    <w:rsid w:val="003034A3"/>
    <w:rsid w:val="0030374F"/>
    <w:rsid w:val="003043A6"/>
    <w:rsid w:val="0030449A"/>
    <w:rsid w:val="00304741"/>
    <w:rsid w:val="00305EF5"/>
    <w:rsid w:val="003079B9"/>
    <w:rsid w:val="00307D21"/>
    <w:rsid w:val="00310160"/>
    <w:rsid w:val="0031104C"/>
    <w:rsid w:val="00311120"/>
    <w:rsid w:val="003129D6"/>
    <w:rsid w:val="00312AB4"/>
    <w:rsid w:val="0031395C"/>
    <w:rsid w:val="00314825"/>
    <w:rsid w:val="0031629E"/>
    <w:rsid w:val="00316A06"/>
    <w:rsid w:val="00317E9D"/>
    <w:rsid w:val="00320008"/>
    <w:rsid w:val="0032077A"/>
    <w:rsid w:val="00321026"/>
    <w:rsid w:val="0032144F"/>
    <w:rsid w:val="00321E5F"/>
    <w:rsid w:val="0032283C"/>
    <w:rsid w:val="00323DA2"/>
    <w:rsid w:val="0032420D"/>
    <w:rsid w:val="0032515E"/>
    <w:rsid w:val="00325F0C"/>
    <w:rsid w:val="00327188"/>
    <w:rsid w:val="00327226"/>
    <w:rsid w:val="0032770E"/>
    <w:rsid w:val="0033015A"/>
    <w:rsid w:val="00330365"/>
    <w:rsid w:val="0033041A"/>
    <w:rsid w:val="003309BE"/>
    <w:rsid w:val="00330E2B"/>
    <w:rsid w:val="00331303"/>
    <w:rsid w:val="00332191"/>
    <w:rsid w:val="00333888"/>
    <w:rsid w:val="00334882"/>
    <w:rsid w:val="00335C33"/>
    <w:rsid w:val="00336921"/>
    <w:rsid w:val="00336ECC"/>
    <w:rsid w:val="0033712F"/>
    <w:rsid w:val="00337664"/>
    <w:rsid w:val="00340688"/>
    <w:rsid w:val="00340A4F"/>
    <w:rsid w:val="00341A17"/>
    <w:rsid w:val="00341AF7"/>
    <w:rsid w:val="00341D77"/>
    <w:rsid w:val="00341E44"/>
    <w:rsid w:val="0034277B"/>
    <w:rsid w:val="00342C5A"/>
    <w:rsid w:val="00343BFE"/>
    <w:rsid w:val="00343E41"/>
    <w:rsid w:val="00344603"/>
    <w:rsid w:val="00344B0A"/>
    <w:rsid w:val="00345AB7"/>
    <w:rsid w:val="00346799"/>
    <w:rsid w:val="003469F8"/>
    <w:rsid w:val="00346F50"/>
    <w:rsid w:val="00351C38"/>
    <w:rsid w:val="00351C9C"/>
    <w:rsid w:val="00351ECF"/>
    <w:rsid w:val="00352892"/>
    <w:rsid w:val="00354421"/>
    <w:rsid w:val="00354AC5"/>
    <w:rsid w:val="003555CD"/>
    <w:rsid w:val="00355949"/>
    <w:rsid w:val="00355F77"/>
    <w:rsid w:val="003567D7"/>
    <w:rsid w:val="003567DC"/>
    <w:rsid w:val="00357C83"/>
    <w:rsid w:val="00357D84"/>
    <w:rsid w:val="00360B98"/>
    <w:rsid w:val="00360D21"/>
    <w:rsid w:val="003616E6"/>
    <w:rsid w:val="00362E59"/>
    <w:rsid w:val="00362EAE"/>
    <w:rsid w:val="00363D7E"/>
    <w:rsid w:val="00364EE9"/>
    <w:rsid w:val="00366A58"/>
    <w:rsid w:val="00366F7A"/>
    <w:rsid w:val="003674B7"/>
    <w:rsid w:val="003701AB"/>
    <w:rsid w:val="00370523"/>
    <w:rsid w:val="00370A25"/>
    <w:rsid w:val="00372006"/>
    <w:rsid w:val="00372E28"/>
    <w:rsid w:val="00373435"/>
    <w:rsid w:val="003738D6"/>
    <w:rsid w:val="00374B07"/>
    <w:rsid w:val="00374CCA"/>
    <w:rsid w:val="0037571D"/>
    <w:rsid w:val="00375818"/>
    <w:rsid w:val="0037698C"/>
    <w:rsid w:val="00376F85"/>
    <w:rsid w:val="00377626"/>
    <w:rsid w:val="00377F15"/>
    <w:rsid w:val="003806E3"/>
    <w:rsid w:val="0038146B"/>
    <w:rsid w:val="00383769"/>
    <w:rsid w:val="00385525"/>
    <w:rsid w:val="00385F0B"/>
    <w:rsid w:val="00386DF8"/>
    <w:rsid w:val="00387514"/>
    <w:rsid w:val="003877D5"/>
    <w:rsid w:val="00387A40"/>
    <w:rsid w:val="003915A2"/>
    <w:rsid w:val="003916A3"/>
    <w:rsid w:val="00391FF4"/>
    <w:rsid w:val="00392230"/>
    <w:rsid w:val="003927C7"/>
    <w:rsid w:val="003927E4"/>
    <w:rsid w:val="003930D5"/>
    <w:rsid w:val="003947D8"/>
    <w:rsid w:val="00395122"/>
    <w:rsid w:val="0039545A"/>
    <w:rsid w:val="0039587F"/>
    <w:rsid w:val="00396F8A"/>
    <w:rsid w:val="00397104"/>
    <w:rsid w:val="003975AC"/>
    <w:rsid w:val="003A1F1F"/>
    <w:rsid w:val="003A3366"/>
    <w:rsid w:val="003A3483"/>
    <w:rsid w:val="003A3F0D"/>
    <w:rsid w:val="003A473D"/>
    <w:rsid w:val="003A4DF3"/>
    <w:rsid w:val="003A5A14"/>
    <w:rsid w:val="003A6587"/>
    <w:rsid w:val="003A7AB1"/>
    <w:rsid w:val="003B17D8"/>
    <w:rsid w:val="003B3D75"/>
    <w:rsid w:val="003B52DC"/>
    <w:rsid w:val="003B5661"/>
    <w:rsid w:val="003B6159"/>
    <w:rsid w:val="003B72E6"/>
    <w:rsid w:val="003B7340"/>
    <w:rsid w:val="003C063C"/>
    <w:rsid w:val="003C0BB0"/>
    <w:rsid w:val="003C112E"/>
    <w:rsid w:val="003C167D"/>
    <w:rsid w:val="003C1848"/>
    <w:rsid w:val="003C2573"/>
    <w:rsid w:val="003C26B3"/>
    <w:rsid w:val="003C2CD1"/>
    <w:rsid w:val="003C2D71"/>
    <w:rsid w:val="003C3533"/>
    <w:rsid w:val="003C38BE"/>
    <w:rsid w:val="003C409C"/>
    <w:rsid w:val="003C6F5B"/>
    <w:rsid w:val="003D21BC"/>
    <w:rsid w:val="003D2496"/>
    <w:rsid w:val="003D321F"/>
    <w:rsid w:val="003D393A"/>
    <w:rsid w:val="003D5AD7"/>
    <w:rsid w:val="003D5D8C"/>
    <w:rsid w:val="003D7476"/>
    <w:rsid w:val="003D761C"/>
    <w:rsid w:val="003D7F35"/>
    <w:rsid w:val="003E03CF"/>
    <w:rsid w:val="003E04B9"/>
    <w:rsid w:val="003E1263"/>
    <w:rsid w:val="003E1BF2"/>
    <w:rsid w:val="003E2873"/>
    <w:rsid w:val="003E4379"/>
    <w:rsid w:val="003E6156"/>
    <w:rsid w:val="003E62AC"/>
    <w:rsid w:val="003E661F"/>
    <w:rsid w:val="003E73FE"/>
    <w:rsid w:val="003F0235"/>
    <w:rsid w:val="003F18E6"/>
    <w:rsid w:val="003F1914"/>
    <w:rsid w:val="003F1C4B"/>
    <w:rsid w:val="003F2CC4"/>
    <w:rsid w:val="003F392E"/>
    <w:rsid w:val="003F41FE"/>
    <w:rsid w:val="003F4DD4"/>
    <w:rsid w:val="003F6F77"/>
    <w:rsid w:val="00400218"/>
    <w:rsid w:val="00400A00"/>
    <w:rsid w:val="00401287"/>
    <w:rsid w:val="00401993"/>
    <w:rsid w:val="00401FBD"/>
    <w:rsid w:val="00402B5A"/>
    <w:rsid w:val="00402D1C"/>
    <w:rsid w:val="00402F02"/>
    <w:rsid w:val="00403743"/>
    <w:rsid w:val="00403ADC"/>
    <w:rsid w:val="0040472E"/>
    <w:rsid w:val="00404B77"/>
    <w:rsid w:val="0040536D"/>
    <w:rsid w:val="00405C77"/>
    <w:rsid w:val="00406159"/>
    <w:rsid w:val="0040671A"/>
    <w:rsid w:val="00406B34"/>
    <w:rsid w:val="0040710C"/>
    <w:rsid w:val="00407324"/>
    <w:rsid w:val="00407608"/>
    <w:rsid w:val="004079EA"/>
    <w:rsid w:val="00407C4A"/>
    <w:rsid w:val="00407F8F"/>
    <w:rsid w:val="004106A2"/>
    <w:rsid w:val="004118A2"/>
    <w:rsid w:val="00411F13"/>
    <w:rsid w:val="00412FFA"/>
    <w:rsid w:val="00413A6F"/>
    <w:rsid w:val="00414053"/>
    <w:rsid w:val="0041406E"/>
    <w:rsid w:val="0041449B"/>
    <w:rsid w:val="004155CC"/>
    <w:rsid w:val="00416825"/>
    <w:rsid w:val="004169A1"/>
    <w:rsid w:val="00417B5D"/>
    <w:rsid w:val="00420484"/>
    <w:rsid w:val="004229AD"/>
    <w:rsid w:val="00422C7B"/>
    <w:rsid w:val="00423017"/>
    <w:rsid w:val="00424E9F"/>
    <w:rsid w:val="004251E1"/>
    <w:rsid w:val="004255E8"/>
    <w:rsid w:val="00425A22"/>
    <w:rsid w:val="00425A8C"/>
    <w:rsid w:val="00426D11"/>
    <w:rsid w:val="004275AD"/>
    <w:rsid w:val="0042785C"/>
    <w:rsid w:val="00430F80"/>
    <w:rsid w:val="00431DD1"/>
    <w:rsid w:val="00432206"/>
    <w:rsid w:val="00432A44"/>
    <w:rsid w:val="00435E0B"/>
    <w:rsid w:val="0043607B"/>
    <w:rsid w:val="004362BD"/>
    <w:rsid w:val="004365AE"/>
    <w:rsid w:val="0043722A"/>
    <w:rsid w:val="0043744D"/>
    <w:rsid w:val="00437B35"/>
    <w:rsid w:val="004404B0"/>
    <w:rsid w:val="0044080D"/>
    <w:rsid w:val="00441975"/>
    <w:rsid w:val="00443E31"/>
    <w:rsid w:val="00443FF7"/>
    <w:rsid w:val="00444A0C"/>
    <w:rsid w:val="004462B4"/>
    <w:rsid w:val="00447A10"/>
    <w:rsid w:val="0045096B"/>
    <w:rsid w:val="0045097A"/>
    <w:rsid w:val="00451CDB"/>
    <w:rsid w:val="00452BBC"/>
    <w:rsid w:val="0045303B"/>
    <w:rsid w:val="0045350C"/>
    <w:rsid w:val="00455670"/>
    <w:rsid w:val="00455F93"/>
    <w:rsid w:val="00456E13"/>
    <w:rsid w:val="00457551"/>
    <w:rsid w:val="004575CB"/>
    <w:rsid w:val="00457BEA"/>
    <w:rsid w:val="00457DB8"/>
    <w:rsid w:val="00460E10"/>
    <w:rsid w:val="004616E2"/>
    <w:rsid w:val="004621C5"/>
    <w:rsid w:val="00462763"/>
    <w:rsid w:val="0046301E"/>
    <w:rsid w:val="00463104"/>
    <w:rsid w:val="00463463"/>
    <w:rsid w:val="00463798"/>
    <w:rsid w:val="00463CD9"/>
    <w:rsid w:val="004655DA"/>
    <w:rsid w:val="0046581B"/>
    <w:rsid w:val="00465D1D"/>
    <w:rsid w:val="0046626B"/>
    <w:rsid w:val="00466DBF"/>
    <w:rsid w:val="004671FB"/>
    <w:rsid w:val="00467552"/>
    <w:rsid w:val="004703F2"/>
    <w:rsid w:val="00470C77"/>
    <w:rsid w:val="004718E5"/>
    <w:rsid w:val="00472E2E"/>
    <w:rsid w:val="00472E6F"/>
    <w:rsid w:val="00473FC1"/>
    <w:rsid w:val="00474363"/>
    <w:rsid w:val="004745FF"/>
    <w:rsid w:val="0047460C"/>
    <w:rsid w:val="004746AC"/>
    <w:rsid w:val="00475A65"/>
    <w:rsid w:val="00475B11"/>
    <w:rsid w:val="00476CA9"/>
    <w:rsid w:val="00476DB8"/>
    <w:rsid w:val="0047713A"/>
    <w:rsid w:val="00477D3D"/>
    <w:rsid w:val="004805CF"/>
    <w:rsid w:val="0048089E"/>
    <w:rsid w:val="00480C20"/>
    <w:rsid w:val="00481D4C"/>
    <w:rsid w:val="00482D78"/>
    <w:rsid w:val="004830CF"/>
    <w:rsid w:val="004831EE"/>
    <w:rsid w:val="0048376F"/>
    <w:rsid w:val="00483F44"/>
    <w:rsid w:val="00484A09"/>
    <w:rsid w:val="004850B2"/>
    <w:rsid w:val="004866F4"/>
    <w:rsid w:val="00487874"/>
    <w:rsid w:val="00487A0C"/>
    <w:rsid w:val="0049028B"/>
    <w:rsid w:val="004905D5"/>
    <w:rsid w:val="0049069A"/>
    <w:rsid w:val="004906CA"/>
    <w:rsid w:val="004910F5"/>
    <w:rsid w:val="00491383"/>
    <w:rsid w:val="0049360A"/>
    <w:rsid w:val="00493F04"/>
    <w:rsid w:val="00493F49"/>
    <w:rsid w:val="00494089"/>
    <w:rsid w:val="00494725"/>
    <w:rsid w:val="00494872"/>
    <w:rsid w:val="00495A3A"/>
    <w:rsid w:val="00495AE7"/>
    <w:rsid w:val="00495E11"/>
    <w:rsid w:val="00497141"/>
    <w:rsid w:val="0049778A"/>
    <w:rsid w:val="00497992"/>
    <w:rsid w:val="00497B07"/>
    <w:rsid w:val="004A0424"/>
    <w:rsid w:val="004A045B"/>
    <w:rsid w:val="004A05F9"/>
    <w:rsid w:val="004A09C0"/>
    <w:rsid w:val="004A125A"/>
    <w:rsid w:val="004A380E"/>
    <w:rsid w:val="004A38E9"/>
    <w:rsid w:val="004A3EA5"/>
    <w:rsid w:val="004A4009"/>
    <w:rsid w:val="004A42B7"/>
    <w:rsid w:val="004A4FC0"/>
    <w:rsid w:val="004A53E4"/>
    <w:rsid w:val="004A561B"/>
    <w:rsid w:val="004A5BC0"/>
    <w:rsid w:val="004A5D9E"/>
    <w:rsid w:val="004A5FF3"/>
    <w:rsid w:val="004A677C"/>
    <w:rsid w:val="004A75DA"/>
    <w:rsid w:val="004A7AA5"/>
    <w:rsid w:val="004B25A8"/>
    <w:rsid w:val="004B26F4"/>
    <w:rsid w:val="004B30DF"/>
    <w:rsid w:val="004B3527"/>
    <w:rsid w:val="004B3582"/>
    <w:rsid w:val="004B4636"/>
    <w:rsid w:val="004B5051"/>
    <w:rsid w:val="004B703E"/>
    <w:rsid w:val="004B758B"/>
    <w:rsid w:val="004B79FD"/>
    <w:rsid w:val="004C0166"/>
    <w:rsid w:val="004C06CB"/>
    <w:rsid w:val="004C2197"/>
    <w:rsid w:val="004C314F"/>
    <w:rsid w:val="004C36EF"/>
    <w:rsid w:val="004C5226"/>
    <w:rsid w:val="004C5262"/>
    <w:rsid w:val="004C5296"/>
    <w:rsid w:val="004C56F7"/>
    <w:rsid w:val="004C5ED1"/>
    <w:rsid w:val="004C6BDC"/>
    <w:rsid w:val="004D12AE"/>
    <w:rsid w:val="004D14F3"/>
    <w:rsid w:val="004D18C1"/>
    <w:rsid w:val="004D3651"/>
    <w:rsid w:val="004D3E9E"/>
    <w:rsid w:val="004D5038"/>
    <w:rsid w:val="004D5082"/>
    <w:rsid w:val="004D635E"/>
    <w:rsid w:val="004D7F97"/>
    <w:rsid w:val="004E1C61"/>
    <w:rsid w:val="004E1C6E"/>
    <w:rsid w:val="004E1EC8"/>
    <w:rsid w:val="004E392C"/>
    <w:rsid w:val="004E56D3"/>
    <w:rsid w:val="004E6137"/>
    <w:rsid w:val="004E6FEE"/>
    <w:rsid w:val="004E7695"/>
    <w:rsid w:val="004E7D41"/>
    <w:rsid w:val="004F04A5"/>
    <w:rsid w:val="004F2035"/>
    <w:rsid w:val="004F2434"/>
    <w:rsid w:val="004F3E75"/>
    <w:rsid w:val="004F456B"/>
    <w:rsid w:val="004F45A5"/>
    <w:rsid w:val="004F4893"/>
    <w:rsid w:val="004F503A"/>
    <w:rsid w:val="004F55BD"/>
    <w:rsid w:val="004F5A5F"/>
    <w:rsid w:val="004F681A"/>
    <w:rsid w:val="004F68BB"/>
    <w:rsid w:val="004F6B10"/>
    <w:rsid w:val="004F7362"/>
    <w:rsid w:val="005011D8"/>
    <w:rsid w:val="00501353"/>
    <w:rsid w:val="00501362"/>
    <w:rsid w:val="0050273C"/>
    <w:rsid w:val="00502770"/>
    <w:rsid w:val="00502D6A"/>
    <w:rsid w:val="005033CC"/>
    <w:rsid w:val="0050477A"/>
    <w:rsid w:val="00505119"/>
    <w:rsid w:val="00505901"/>
    <w:rsid w:val="00505CB9"/>
    <w:rsid w:val="005062FC"/>
    <w:rsid w:val="00506492"/>
    <w:rsid w:val="00506539"/>
    <w:rsid w:val="0050798F"/>
    <w:rsid w:val="0051064E"/>
    <w:rsid w:val="0051083A"/>
    <w:rsid w:val="00510BB9"/>
    <w:rsid w:val="00511026"/>
    <w:rsid w:val="005110AD"/>
    <w:rsid w:val="00511EC0"/>
    <w:rsid w:val="00512364"/>
    <w:rsid w:val="00512C15"/>
    <w:rsid w:val="00514552"/>
    <w:rsid w:val="005148ED"/>
    <w:rsid w:val="00514BB3"/>
    <w:rsid w:val="00516435"/>
    <w:rsid w:val="00516C91"/>
    <w:rsid w:val="00520DAD"/>
    <w:rsid w:val="005218B4"/>
    <w:rsid w:val="00521C62"/>
    <w:rsid w:val="00521F2A"/>
    <w:rsid w:val="00522388"/>
    <w:rsid w:val="0052379A"/>
    <w:rsid w:val="00523D4D"/>
    <w:rsid w:val="00523ECA"/>
    <w:rsid w:val="0052496B"/>
    <w:rsid w:val="00524A6F"/>
    <w:rsid w:val="005253AF"/>
    <w:rsid w:val="00525631"/>
    <w:rsid w:val="005262DF"/>
    <w:rsid w:val="00526A6E"/>
    <w:rsid w:val="00526BA2"/>
    <w:rsid w:val="005308A0"/>
    <w:rsid w:val="00531794"/>
    <w:rsid w:val="005317A9"/>
    <w:rsid w:val="00532061"/>
    <w:rsid w:val="005322D3"/>
    <w:rsid w:val="0053240D"/>
    <w:rsid w:val="00532676"/>
    <w:rsid w:val="0053364F"/>
    <w:rsid w:val="00534416"/>
    <w:rsid w:val="00534608"/>
    <w:rsid w:val="0053519F"/>
    <w:rsid w:val="00535230"/>
    <w:rsid w:val="00536476"/>
    <w:rsid w:val="00537171"/>
    <w:rsid w:val="005373E9"/>
    <w:rsid w:val="005406C7"/>
    <w:rsid w:val="0054233B"/>
    <w:rsid w:val="0054263C"/>
    <w:rsid w:val="00542D0B"/>
    <w:rsid w:val="00543175"/>
    <w:rsid w:val="0054358B"/>
    <w:rsid w:val="00543CCD"/>
    <w:rsid w:val="00544284"/>
    <w:rsid w:val="00545232"/>
    <w:rsid w:val="005458AF"/>
    <w:rsid w:val="0054596A"/>
    <w:rsid w:val="00551C79"/>
    <w:rsid w:val="00551F74"/>
    <w:rsid w:val="005526F4"/>
    <w:rsid w:val="00552C60"/>
    <w:rsid w:val="00552E25"/>
    <w:rsid w:val="0055301D"/>
    <w:rsid w:val="00553698"/>
    <w:rsid w:val="00553CF1"/>
    <w:rsid w:val="00553E34"/>
    <w:rsid w:val="00554962"/>
    <w:rsid w:val="00555743"/>
    <w:rsid w:val="00560D19"/>
    <w:rsid w:val="005610C5"/>
    <w:rsid w:val="0056212B"/>
    <w:rsid w:val="00562283"/>
    <w:rsid w:val="005622A8"/>
    <w:rsid w:val="0056394C"/>
    <w:rsid w:val="00563CB9"/>
    <w:rsid w:val="005640AD"/>
    <w:rsid w:val="00564C2E"/>
    <w:rsid w:val="00565299"/>
    <w:rsid w:val="00565F78"/>
    <w:rsid w:val="00571D90"/>
    <w:rsid w:val="00572031"/>
    <w:rsid w:val="00574BF2"/>
    <w:rsid w:val="00575184"/>
    <w:rsid w:val="00575D1D"/>
    <w:rsid w:val="00575F17"/>
    <w:rsid w:val="00576EAE"/>
    <w:rsid w:val="00577249"/>
    <w:rsid w:val="0057744A"/>
    <w:rsid w:val="0058028C"/>
    <w:rsid w:val="005813AC"/>
    <w:rsid w:val="0058193A"/>
    <w:rsid w:val="00581B4A"/>
    <w:rsid w:val="00582E5B"/>
    <w:rsid w:val="00585045"/>
    <w:rsid w:val="00585916"/>
    <w:rsid w:val="00586B6E"/>
    <w:rsid w:val="00590212"/>
    <w:rsid w:val="00590C9D"/>
    <w:rsid w:val="005913D1"/>
    <w:rsid w:val="005916B3"/>
    <w:rsid w:val="00591A11"/>
    <w:rsid w:val="00591A1E"/>
    <w:rsid w:val="00591AF9"/>
    <w:rsid w:val="005927CC"/>
    <w:rsid w:val="0059448B"/>
    <w:rsid w:val="00594B94"/>
    <w:rsid w:val="00594BC5"/>
    <w:rsid w:val="00595FF5"/>
    <w:rsid w:val="00596622"/>
    <w:rsid w:val="005968DB"/>
    <w:rsid w:val="005A1093"/>
    <w:rsid w:val="005A20E2"/>
    <w:rsid w:val="005A2530"/>
    <w:rsid w:val="005A2EBA"/>
    <w:rsid w:val="005A3816"/>
    <w:rsid w:val="005A4299"/>
    <w:rsid w:val="005A4517"/>
    <w:rsid w:val="005A46D4"/>
    <w:rsid w:val="005A4935"/>
    <w:rsid w:val="005A5C45"/>
    <w:rsid w:val="005A610C"/>
    <w:rsid w:val="005A61BC"/>
    <w:rsid w:val="005A739C"/>
    <w:rsid w:val="005A7537"/>
    <w:rsid w:val="005A79AA"/>
    <w:rsid w:val="005B029F"/>
    <w:rsid w:val="005B1183"/>
    <w:rsid w:val="005B1B25"/>
    <w:rsid w:val="005B1B76"/>
    <w:rsid w:val="005B2B44"/>
    <w:rsid w:val="005B3586"/>
    <w:rsid w:val="005B369E"/>
    <w:rsid w:val="005B408B"/>
    <w:rsid w:val="005B5583"/>
    <w:rsid w:val="005B5C36"/>
    <w:rsid w:val="005B5D46"/>
    <w:rsid w:val="005B6AF5"/>
    <w:rsid w:val="005B74C3"/>
    <w:rsid w:val="005B7832"/>
    <w:rsid w:val="005C0733"/>
    <w:rsid w:val="005C1B50"/>
    <w:rsid w:val="005C217E"/>
    <w:rsid w:val="005C2186"/>
    <w:rsid w:val="005C2209"/>
    <w:rsid w:val="005C247C"/>
    <w:rsid w:val="005C2599"/>
    <w:rsid w:val="005C31EB"/>
    <w:rsid w:val="005C3B7A"/>
    <w:rsid w:val="005C4ADC"/>
    <w:rsid w:val="005C5D42"/>
    <w:rsid w:val="005C6384"/>
    <w:rsid w:val="005C7764"/>
    <w:rsid w:val="005C7B55"/>
    <w:rsid w:val="005D33B0"/>
    <w:rsid w:val="005D360B"/>
    <w:rsid w:val="005D5C15"/>
    <w:rsid w:val="005D6EAF"/>
    <w:rsid w:val="005D7033"/>
    <w:rsid w:val="005D7A02"/>
    <w:rsid w:val="005D7B8D"/>
    <w:rsid w:val="005E068D"/>
    <w:rsid w:val="005E135D"/>
    <w:rsid w:val="005E14A5"/>
    <w:rsid w:val="005E14AE"/>
    <w:rsid w:val="005E18F6"/>
    <w:rsid w:val="005E30EB"/>
    <w:rsid w:val="005E3963"/>
    <w:rsid w:val="005E469F"/>
    <w:rsid w:val="005E4A5E"/>
    <w:rsid w:val="005E524D"/>
    <w:rsid w:val="005E57B3"/>
    <w:rsid w:val="005E5DB9"/>
    <w:rsid w:val="005E666A"/>
    <w:rsid w:val="005E76A7"/>
    <w:rsid w:val="005F07E3"/>
    <w:rsid w:val="005F115C"/>
    <w:rsid w:val="005F151D"/>
    <w:rsid w:val="005F1A4A"/>
    <w:rsid w:val="005F27A6"/>
    <w:rsid w:val="005F2A1C"/>
    <w:rsid w:val="005F2C8C"/>
    <w:rsid w:val="005F4138"/>
    <w:rsid w:val="005F45EC"/>
    <w:rsid w:val="005F48AC"/>
    <w:rsid w:val="005F4BA1"/>
    <w:rsid w:val="005F55E1"/>
    <w:rsid w:val="005F585D"/>
    <w:rsid w:val="005F5981"/>
    <w:rsid w:val="005F7F41"/>
    <w:rsid w:val="00600ACC"/>
    <w:rsid w:val="0060194B"/>
    <w:rsid w:val="00602003"/>
    <w:rsid w:val="006029A2"/>
    <w:rsid w:val="00602AA0"/>
    <w:rsid w:val="00602CDA"/>
    <w:rsid w:val="00603207"/>
    <w:rsid w:val="00604022"/>
    <w:rsid w:val="0060520A"/>
    <w:rsid w:val="00605477"/>
    <w:rsid w:val="00606B04"/>
    <w:rsid w:val="00606F5D"/>
    <w:rsid w:val="0060716C"/>
    <w:rsid w:val="00610660"/>
    <w:rsid w:val="0061089C"/>
    <w:rsid w:val="00610BFF"/>
    <w:rsid w:val="00610ED5"/>
    <w:rsid w:val="00611097"/>
    <w:rsid w:val="0061251F"/>
    <w:rsid w:val="00612FE9"/>
    <w:rsid w:val="00613EFB"/>
    <w:rsid w:val="00613FD7"/>
    <w:rsid w:val="00614129"/>
    <w:rsid w:val="00614DDA"/>
    <w:rsid w:val="00615500"/>
    <w:rsid w:val="00620E1F"/>
    <w:rsid w:val="00620E33"/>
    <w:rsid w:val="00622BD9"/>
    <w:rsid w:val="00623D42"/>
    <w:rsid w:val="006247F1"/>
    <w:rsid w:val="00624957"/>
    <w:rsid w:val="0062501C"/>
    <w:rsid w:val="00625131"/>
    <w:rsid w:val="0062552B"/>
    <w:rsid w:val="00626C12"/>
    <w:rsid w:val="00627993"/>
    <w:rsid w:val="00627B35"/>
    <w:rsid w:val="00630658"/>
    <w:rsid w:val="00630BC5"/>
    <w:rsid w:val="00631964"/>
    <w:rsid w:val="006320DF"/>
    <w:rsid w:val="0063220C"/>
    <w:rsid w:val="00632894"/>
    <w:rsid w:val="00632E36"/>
    <w:rsid w:val="00632E6C"/>
    <w:rsid w:val="006332DD"/>
    <w:rsid w:val="00633C75"/>
    <w:rsid w:val="00633CE3"/>
    <w:rsid w:val="00635693"/>
    <w:rsid w:val="006417A9"/>
    <w:rsid w:val="00641A8A"/>
    <w:rsid w:val="00641DA4"/>
    <w:rsid w:val="00643D42"/>
    <w:rsid w:val="00644124"/>
    <w:rsid w:val="00645841"/>
    <w:rsid w:val="00646722"/>
    <w:rsid w:val="00646794"/>
    <w:rsid w:val="00647BC7"/>
    <w:rsid w:val="00647C2D"/>
    <w:rsid w:val="00651F8F"/>
    <w:rsid w:val="006544FC"/>
    <w:rsid w:val="006550F7"/>
    <w:rsid w:val="006553DC"/>
    <w:rsid w:val="00655942"/>
    <w:rsid w:val="0066060E"/>
    <w:rsid w:val="0066095D"/>
    <w:rsid w:val="0066098E"/>
    <w:rsid w:val="006615C6"/>
    <w:rsid w:val="006620B0"/>
    <w:rsid w:val="00662B1A"/>
    <w:rsid w:val="0066340B"/>
    <w:rsid w:val="00663411"/>
    <w:rsid w:val="006634A0"/>
    <w:rsid w:val="00663B7C"/>
    <w:rsid w:val="00665654"/>
    <w:rsid w:val="00665781"/>
    <w:rsid w:val="0066631F"/>
    <w:rsid w:val="00666609"/>
    <w:rsid w:val="006666D3"/>
    <w:rsid w:val="00666968"/>
    <w:rsid w:val="00666DE4"/>
    <w:rsid w:val="0067034D"/>
    <w:rsid w:val="0067046B"/>
    <w:rsid w:val="006704A9"/>
    <w:rsid w:val="00670C0A"/>
    <w:rsid w:val="00670ED7"/>
    <w:rsid w:val="006730A9"/>
    <w:rsid w:val="006747C3"/>
    <w:rsid w:val="00675B52"/>
    <w:rsid w:val="006761D2"/>
    <w:rsid w:val="0067640A"/>
    <w:rsid w:val="006769EF"/>
    <w:rsid w:val="00676F45"/>
    <w:rsid w:val="00677E94"/>
    <w:rsid w:val="006807B1"/>
    <w:rsid w:val="00680BE5"/>
    <w:rsid w:val="00681225"/>
    <w:rsid w:val="006812C1"/>
    <w:rsid w:val="00681C7D"/>
    <w:rsid w:val="00682D77"/>
    <w:rsid w:val="00682F9C"/>
    <w:rsid w:val="006847C2"/>
    <w:rsid w:val="00684931"/>
    <w:rsid w:val="006859C7"/>
    <w:rsid w:val="00685DE9"/>
    <w:rsid w:val="0069114A"/>
    <w:rsid w:val="0069201A"/>
    <w:rsid w:val="00692591"/>
    <w:rsid w:val="006937B6"/>
    <w:rsid w:val="00693DC2"/>
    <w:rsid w:val="006944B0"/>
    <w:rsid w:val="006952D0"/>
    <w:rsid w:val="006963E6"/>
    <w:rsid w:val="00696588"/>
    <w:rsid w:val="006A0167"/>
    <w:rsid w:val="006A12B7"/>
    <w:rsid w:val="006A14A4"/>
    <w:rsid w:val="006A2413"/>
    <w:rsid w:val="006A2708"/>
    <w:rsid w:val="006A2AB7"/>
    <w:rsid w:val="006A406D"/>
    <w:rsid w:val="006A42C1"/>
    <w:rsid w:val="006A5255"/>
    <w:rsid w:val="006A5DF1"/>
    <w:rsid w:val="006A5F54"/>
    <w:rsid w:val="006A704E"/>
    <w:rsid w:val="006A760C"/>
    <w:rsid w:val="006B0656"/>
    <w:rsid w:val="006B06DC"/>
    <w:rsid w:val="006B0732"/>
    <w:rsid w:val="006B09E2"/>
    <w:rsid w:val="006B2E90"/>
    <w:rsid w:val="006B3DD0"/>
    <w:rsid w:val="006B3EBD"/>
    <w:rsid w:val="006B49E1"/>
    <w:rsid w:val="006B5CBC"/>
    <w:rsid w:val="006B5DE6"/>
    <w:rsid w:val="006B64C1"/>
    <w:rsid w:val="006B776F"/>
    <w:rsid w:val="006B77DD"/>
    <w:rsid w:val="006C0988"/>
    <w:rsid w:val="006C19E0"/>
    <w:rsid w:val="006C2CD5"/>
    <w:rsid w:val="006C4EA7"/>
    <w:rsid w:val="006C59E5"/>
    <w:rsid w:val="006C6214"/>
    <w:rsid w:val="006C6681"/>
    <w:rsid w:val="006C673F"/>
    <w:rsid w:val="006C6767"/>
    <w:rsid w:val="006C6D71"/>
    <w:rsid w:val="006C7665"/>
    <w:rsid w:val="006C7721"/>
    <w:rsid w:val="006D0067"/>
    <w:rsid w:val="006D0081"/>
    <w:rsid w:val="006D0E35"/>
    <w:rsid w:val="006D1239"/>
    <w:rsid w:val="006D171E"/>
    <w:rsid w:val="006D1EAE"/>
    <w:rsid w:val="006D2B2B"/>
    <w:rsid w:val="006D35D7"/>
    <w:rsid w:val="006D3CBD"/>
    <w:rsid w:val="006D4637"/>
    <w:rsid w:val="006D54B2"/>
    <w:rsid w:val="006D61ED"/>
    <w:rsid w:val="006D6D81"/>
    <w:rsid w:val="006D7B37"/>
    <w:rsid w:val="006E1244"/>
    <w:rsid w:val="006E164A"/>
    <w:rsid w:val="006E1CD5"/>
    <w:rsid w:val="006E1FE3"/>
    <w:rsid w:val="006E39E9"/>
    <w:rsid w:val="006E4047"/>
    <w:rsid w:val="006E59B5"/>
    <w:rsid w:val="006E5CDB"/>
    <w:rsid w:val="006E7EBF"/>
    <w:rsid w:val="006F01C7"/>
    <w:rsid w:val="006F04F7"/>
    <w:rsid w:val="006F16C8"/>
    <w:rsid w:val="006F1E00"/>
    <w:rsid w:val="006F26E1"/>
    <w:rsid w:val="006F2EB2"/>
    <w:rsid w:val="006F4393"/>
    <w:rsid w:val="006F47AD"/>
    <w:rsid w:val="006F4919"/>
    <w:rsid w:val="006F6374"/>
    <w:rsid w:val="006F736F"/>
    <w:rsid w:val="006F74CD"/>
    <w:rsid w:val="006F77A5"/>
    <w:rsid w:val="006F785A"/>
    <w:rsid w:val="0070089E"/>
    <w:rsid w:val="00700B32"/>
    <w:rsid w:val="0070104C"/>
    <w:rsid w:val="007011EE"/>
    <w:rsid w:val="00701A11"/>
    <w:rsid w:val="00705068"/>
    <w:rsid w:val="007057D5"/>
    <w:rsid w:val="0070603F"/>
    <w:rsid w:val="00706833"/>
    <w:rsid w:val="00707A02"/>
    <w:rsid w:val="00710CAF"/>
    <w:rsid w:val="00710DC6"/>
    <w:rsid w:val="007120AB"/>
    <w:rsid w:val="007122F2"/>
    <w:rsid w:val="007123B8"/>
    <w:rsid w:val="0071389C"/>
    <w:rsid w:val="00713E5B"/>
    <w:rsid w:val="00713FED"/>
    <w:rsid w:val="00714391"/>
    <w:rsid w:val="007147BA"/>
    <w:rsid w:val="00715034"/>
    <w:rsid w:val="00715042"/>
    <w:rsid w:val="00715098"/>
    <w:rsid w:val="00715AEE"/>
    <w:rsid w:val="00715B09"/>
    <w:rsid w:val="00715E56"/>
    <w:rsid w:val="00715F0D"/>
    <w:rsid w:val="007162ED"/>
    <w:rsid w:val="007163E1"/>
    <w:rsid w:val="00717107"/>
    <w:rsid w:val="00720EBA"/>
    <w:rsid w:val="0072145C"/>
    <w:rsid w:val="00721F22"/>
    <w:rsid w:val="007223DA"/>
    <w:rsid w:val="00722BA2"/>
    <w:rsid w:val="00722CB8"/>
    <w:rsid w:val="00722D81"/>
    <w:rsid w:val="00723779"/>
    <w:rsid w:val="00723E9C"/>
    <w:rsid w:val="007246A7"/>
    <w:rsid w:val="00724918"/>
    <w:rsid w:val="00724E52"/>
    <w:rsid w:val="007254BF"/>
    <w:rsid w:val="007275AD"/>
    <w:rsid w:val="00732165"/>
    <w:rsid w:val="00732E07"/>
    <w:rsid w:val="00733626"/>
    <w:rsid w:val="007341F1"/>
    <w:rsid w:val="00734BEF"/>
    <w:rsid w:val="00734E2E"/>
    <w:rsid w:val="00737AA9"/>
    <w:rsid w:val="00737D4A"/>
    <w:rsid w:val="0074057D"/>
    <w:rsid w:val="00741434"/>
    <w:rsid w:val="007416FD"/>
    <w:rsid w:val="00742F8C"/>
    <w:rsid w:val="0074467D"/>
    <w:rsid w:val="00746A46"/>
    <w:rsid w:val="0074760F"/>
    <w:rsid w:val="00750675"/>
    <w:rsid w:val="007510B6"/>
    <w:rsid w:val="00751166"/>
    <w:rsid w:val="007519A9"/>
    <w:rsid w:val="007546AF"/>
    <w:rsid w:val="007553BE"/>
    <w:rsid w:val="00755840"/>
    <w:rsid w:val="00756821"/>
    <w:rsid w:val="007577C6"/>
    <w:rsid w:val="00757B8D"/>
    <w:rsid w:val="00760482"/>
    <w:rsid w:val="00761512"/>
    <w:rsid w:val="007624E5"/>
    <w:rsid w:val="0076278D"/>
    <w:rsid w:val="00763BA2"/>
    <w:rsid w:val="0076401E"/>
    <w:rsid w:val="0076751A"/>
    <w:rsid w:val="007676BE"/>
    <w:rsid w:val="007706AB"/>
    <w:rsid w:val="00771431"/>
    <w:rsid w:val="007717DA"/>
    <w:rsid w:val="0077342D"/>
    <w:rsid w:val="0077394D"/>
    <w:rsid w:val="00774CD6"/>
    <w:rsid w:val="00775127"/>
    <w:rsid w:val="00775BEE"/>
    <w:rsid w:val="0077760E"/>
    <w:rsid w:val="00777FD7"/>
    <w:rsid w:val="007801A5"/>
    <w:rsid w:val="00780ADB"/>
    <w:rsid w:val="00780AEF"/>
    <w:rsid w:val="00781339"/>
    <w:rsid w:val="007815CC"/>
    <w:rsid w:val="0078190D"/>
    <w:rsid w:val="00782023"/>
    <w:rsid w:val="007823B0"/>
    <w:rsid w:val="0078447A"/>
    <w:rsid w:val="00784C10"/>
    <w:rsid w:val="00784FA8"/>
    <w:rsid w:val="007854BE"/>
    <w:rsid w:val="00785696"/>
    <w:rsid w:val="00785CE0"/>
    <w:rsid w:val="007865D1"/>
    <w:rsid w:val="0078726E"/>
    <w:rsid w:val="00787579"/>
    <w:rsid w:val="00787D8C"/>
    <w:rsid w:val="00790FB3"/>
    <w:rsid w:val="00791446"/>
    <w:rsid w:val="007921CC"/>
    <w:rsid w:val="00792383"/>
    <w:rsid w:val="00792CD0"/>
    <w:rsid w:val="007934DB"/>
    <w:rsid w:val="007940C1"/>
    <w:rsid w:val="00795AAC"/>
    <w:rsid w:val="0079622B"/>
    <w:rsid w:val="00796961"/>
    <w:rsid w:val="007A009F"/>
    <w:rsid w:val="007A0F20"/>
    <w:rsid w:val="007A15FC"/>
    <w:rsid w:val="007A233B"/>
    <w:rsid w:val="007A37A1"/>
    <w:rsid w:val="007A4AD9"/>
    <w:rsid w:val="007A58F3"/>
    <w:rsid w:val="007A5EDF"/>
    <w:rsid w:val="007A67AD"/>
    <w:rsid w:val="007A6C60"/>
    <w:rsid w:val="007A75A2"/>
    <w:rsid w:val="007A7BB1"/>
    <w:rsid w:val="007B0228"/>
    <w:rsid w:val="007B0492"/>
    <w:rsid w:val="007B140F"/>
    <w:rsid w:val="007B1690"/>
    <w:rsid w:val="007B31A9"/>
    <w:rsid w:val="007B328F"/>
    <w:rsid w:val="007B373E"/>
    <w:rsid w:val="007B40AF"/>
    <w:rsid w:val="007B4244"/>
    <w:rsid w:val="007B568A"/>
    <w:rsid w:val="007B626D"/>
    <w:rsid w:val="007B66B8"/>
    <w:rsid w:val="007B6DA7"/>
    <w:rsid w:val="007B704B"/>
    <w:rsid w:val="007C05DB"/>
    <w:rsid w:val="007C07E7"/>
    <w:rsid w:val="007C1271"/>
    <w:rsid w:val="007C1E77"/>
    <w:rsid w:val="007C2B20"/>
    <w:rsid w:val="007C3449"/>
    <w:rsid w:val="007C3FC8"/>
    <w:rsid w:val="007C4A63"/>
    <w:rsid w:val="007C53D4"/>
    <w:rsid w:val="007C5BAB"/>
    <w:rsid w:val="007C6093"/>
    <w:rsid w:val="007C6AEC"/>
    <w:rsid w:val="007C76C0"/>
    <w:rsid w:val="007C7748"/>
    <w:rsid w:val="007C79E9"/>
    <w:rsid w:val="007C7DCB"/>
    <w:rsid w:val="007C7FEE"/>
    <w:rsid w:val="007D2596"/>
    <w:rsid w:val="007D33C5"/>
    <w:rsid w:val="007D356F"/>
    <w:rsid w:val="007D425C"/>
    <w:rsid w:val="007D4FA1"/>
    <w:rsid w:val="007D51AA"/>
    <w:rsid w:val="007D52A4"/>
    <w:rsid w:val="007D530D"/>
    <w:rsid w:val="007D5936"/>
    <w:rsid w:val="007D5B6C"/>
    <w:rsid w:val="007D5D1C"/>
    <w:rsid w:val="007D5D75"/>
    <w:rsid w:val="007E008B"/>
    <w:rsid w:val="007E09C7"/>
    <w:rsid w:val="007E09FD"/>
    <w:rsid w:val="007E0C30"/>
    <w:rsid w:val="007E0D04"/>
    <w:rsid w:val="007E0D75"/>
    <w:rsid w:val="007E0E5F"/>
    <w:rsid w:val="007E502D"/>
    <w:rsid w:val="007E517C"/>
    <w:rsid w:val="007E5238"/>
    <w:rsid w:val="007E609F"/>
    <w:rsid w:val="007E6A5C"/>
    <w:rsid w:val="007F0105"/>
    <w:rsid w:val="007F02FC"/>
    <w:rsid w:val="007F0525"/>
    <w:rsid w:val="007F0807"/>
    <w:rsid w:val="007F0D0C"/>
    <w:rsid w:val="007F182D"/>
    <w:rsid w:val="007F2CC9"/>
    <w:rsid w:val="007F311D"/>
    <w:rsid w:val="007F31B9"/>
    <w:rsid w:val="007F49C8"/>
    <w:rsid w:val="007F6329"/>
    <w:rsid w:val="007F638A"/>
    <w:rsid w:val="007F6889"/>
    <w:rsid w:val="007F6D3F"/>
    <w:rsid w:val="007F7BD6"/>
    <w:rsid w:val="00800250"/>
    <w:rsid w:val="00801413"/>
    <w:rsid w:val="00801F15"/>
    <w:rsid w:val="008025F0"/>
    <w:rsid w:val="00802717"/>
    <w:rsid w:val="00802870"/>
    <w:rsid w:val="0080379D"/>
    <w:rsid w:val="00805C16"/>
    <w:rsid w:val="0080645D"/>
    <w:rsid w:val="008066FF"/>
    <w:rsid w:val="008124CC"/>
    <w:rsid w:val="00813DDF"/>
    <w:rsid w:val="008145D6"/>
    <w:rsid w:val="00814818"/>
    <w:rsid w:val="00815DFB"/>
    <w:rsid w:val="0082283B"/>
    <w:rsid w:val="00822F67"/>
    <w:rsid w:val="0082463E"/>
    <w:rsid w:val="00824AEA"/>
    <w:rsid w:val="008259DD"/>
    <w:rsid w:val="008262E5"/>
    <w:rsid w:val="008269F9"/>
    <w:rsid w:val="00826F1D"/>
    <w:rsid w:val="008272BB"/>
    <w:rsid w:val="0082751C"/>
    <w:rsid w:val="0083039E"/>
    <w:rsid w:val="008305B6"/>
    <w:rsid w:val="0083216F"/>
    <w:rsid w:val="00832400"/>
    <w:rsid w:val="0083293F"/>
    <w:rsid w:val="008332DA"/>
    <w:rsid w:val="0083375F"/>
    <w:rsid w:val="008340E6"/>
    <w:rsid w:val="00834423"/>
    <w:rsid w:val="0083448C"/>
    <w:rsid w:val="00834993"/>
    <w:rsid w:val="00834C65"/>
    <w:rsid w:val="00835871"/>
    <w:rsid w:val="00836248"/>
    <w:rsid w:val="008368BD"/>
    <w:rsid w:val="008373BB"/>
    <w:rsid w:val="00837457"/>
    <w:rsid w:val="00840AF8"/>
    <w:rsid w:val="008431C0"/>
    <w:rsid w:val="0084335C"/>
    <w:rsid w:val="00845070"/>
    <w:rsid w:val="00845769"/>
    <w:rsid w:val="00845CBC"/>
    <w:rsid w:val="00845F1A"/>
    <w:rsid w:val="00846269"/>
    <w:rsid w:val="00846E7E"/>
    <w:rsid w:val="00847334"/>
    <w:rsid w:val="00847BD9"/>
    <w:rsid w:val="008505DD"/>
    <w:rsid w:val="00850864"/>
    <w:rsid w:val="00851615"/>
    <w:rsid w:val="00851BEA"/>
    <w:rsid w:val="00851D97"/>
    <w:rsid w:val="0085352F"/>
    <w:rsid w:val="008540FC"/>
    <w:rsid w:val="00857075"/>
    <w:rsid w:val="0085745D"/>
    <w:rsid w:val="00860072"/>
    <w:rsid w:val="0086075B"/>
    <w:rsid w:val="00861237"/>
    <w:rsid w:val="00861945"/>
    <w:rsid w:val="0086219C"/>
    <w:rsid w:val="00862291"/>
    <w:rsid w:val="008627BD"/>
    <w:rsid w:val="00862971"/>
    <w:rsid w:val="00862B92"/>
    <w:rsid w:val="00863115"/>
    <w:rsid w:val="008649C9"/>
    <w:rsid w:val="00864C26"/>
    <w:rsid w:val="00864F09"/>
    <w:rsid w:val="008655B2"/>
    <w:rsid w:val="00865A22"/>
    <w:rsid w:val="00865CFE"/>
    <w:rsid w:val="008667F9"/>
    <w:rsid w:val="0086680B"/>
    <w:rsid w:val="00866B0E"/>
    <w:rsid w:val="00867478"/>
    <w:rsid w:val="00867CA1"/>
    <w:rsid w:val="00870383"/>
    <w:rsid w:val="008709C8"/>
    <w:rsid w:val="00871014"/>
    <w:rsid w:val="008721A2"/>
    <w:rsid w:val="00872507"/>
    <w:rsid w:val="00873463"/>
    <w:rsid w:val="00873A0F"/>
    <w:rsid w:val="00873A96"/>
    <w:rsid w:val="008741C5"/>
    <w:rsid w:val="00876517"/>
    <w:rsid w:val="00877925"/>
    <w:rsid w:val="00883464"/>
    <w:rsid w:val="00883C09"/>
    <w:rsid w:val="00885341"/>
    <w:rsid w:val="008868E2"/>
    <w:rsid w:val="0088694D"/>
    <w:rsid w:val="00887981"/>
    <w:rsid w:val="00887BD1"/>
    <w:rsid w:val="00891002"/>
    <w:rsid w:val="008918BF"/>
    <w:rsid w:val="00891CFC"/>
    <w:rsid w:val="008921F8"/>
    <w:rsid w:val="008927ED"/>
    <w:rsid w:val="008936AB"/>
    <w:rsid w:val="0089419A"/>
    <w:rsid w:val="00894307"/>
    <w:rsid w:val="0089460B"/>
    <w:rsid w:val="0089497C"/>
    <w:rsid w:val="00895AB3"/>
    <w:rsid w:val="008965CC"/>
    <w:rsid w:val="00897703"/>
    <w:rsid w:val="00897863"/>
    <w:rsid w:val="00897A8A"/>
    <w:rsid w:val="008A0032"/>
    <w:rsid w:val="008A04AA"/>
    <w:rsid w:val="008A1535"/>
    <w:rsid w:val="008A1731"/>
    <w:rsid w:val="008A1D01"/>
    <w:rsid w:val="008A2C9E"/>
    <w:rsid w:val="008A2CF4"/>
    <w:rsid w:val="008A2D86"/>
    <w:rsid w:val="008A3DF7"/>
    <w:rsid w:val="008A42FB"/>
    <w:rsid w:val="008A45F0"/>
    <w:rsid w:val="008A54AB"/>
    <w:rsid w:val="008A564F"/>
    <w:rsid w:val="008A5728"/>
    <w:rsid w:val="008A6F56"/>
    <w:rsid w:val="008B15C0"/>
    <w:rsid w:val="008B16B8"/>
    <w:rsid w:val="008B25BE"/>
    <w:rsid w:val="008B2771"/>
    <w:rsid w:val="008B30E9"/>
    <w:rsid w:val="008B4102"/>
    <w:rsid w:val="008B4C8C"/>
    <w:rsid w:val="008B5256"/>
    <w:rsid w:val="008B5E1E"/>
    <w:rsid w:val="008B5EA2"/>
    <w:rsid w:val="008B63D1"/>
    <w:rsid w:val="008B6FF8"/>
    <w:rsid w:val="008C02F3"/>
    <w:rsid w:val="008C04BA"/>
    <w:rsid w:val="008C05E9"/>
    <w:rsid w:val="008C14F7"/>
    <w:rsid w:val="008C1DC0"/>
    <w:rsid w:val="008C1F59"/>
    <w:rsid w:val="008C242D"/>
    <w:rsid w:val="008C3663"/>
    <w:rsid w:val="008C3792"/>
    <w:rsid w:val="008C3E8F"/>
    <w:rsid w:val="008C71CD"/>
    <w:rsid w:val="008C77F3"/>
    <w:rsid w:val="008C7BDC"/>
    <w:rsid w:val="008D13CE"/>
    <w:rsid w:val="008D1637"/>
    <w:rsid w:val="008D2699"/>
    <w:rsid w:val="008D26F3"/>
    <w:rsid w:val="008D2B7D"/>
    <w:rsid w:val="008D4076"/>
    <w:rsid w:val="008D522D"/>
    <w:rsid w:val="008D6710"/>
    <w:rsid w:val="008E001E"/>
    <w:rsid w:val="008E03E1"/>
    <w:rsid w:val="008E17D8"/>
    <w:rsid w:val="008E1BC7"/>
    <w:rsid w:val="008E1BDD"/>
    <w:rsid w:val="008E22E9"/>
    <w:rsid w:val="008E4564"/>
    <w:rsid w:val="008E4A46"/>
    <w:rsid w:val="008E4CB8"/>
    <w:rsid w:val="008E5149"/>
    <w:rsid w:val="008E51B7"/>
    <w:rsid w:val="008E520C"/>
    <w:rsid w:val="008E5E12"/>
    <w:rsid w:val="008E7405"/>
    <w:rsid w:val="008E77FD"/>
    <w:rsid w:val="008F0979"/>
    <w:rsid w:val="008F0B11"/>
    <w:rsid w:val="008F208D"/>
    <w:rsid w:val="008F3053"/>
    <w:rsid w:val="008F3941"/>
    <w:rsid w:val="008F43CE"/>
    <w:rsid w:val="008F4764"/>
    <w:rsid w:val="008F4C5F"/>
    <w:rsid w:val="008F50D9"/>
    <w:rsid w:val="008F5330"/>
    <w:rsid w:val="008F595B"/>
    <w:rsid w:val="008F6118"/>
    <w:rsid w:val="008F6519"/>
    <w:rsid w:val="008F6A0E"/>
    <w:rsid w:val="008F6E7C"/>
    <w:rsid w:val="008F79DA"/>
    <w:rsid w:val="0090004B"/>
    <w:rsid w:val="009007DC"/>
    <w:rsid w:val="00900F94"/>
    <w:rsid w:val="0090101F"/>
    <w:rsid w:val="009016BC"/>
    <w:rsid w:val="00901965"/>
    <w:rsid w:val="0090218A"/>
    <w:rsid w:val="00902D99"/>
    <w:rsid w:val="00903198"/>
    <w:rsid w:val="00903527"/>
    <w:rsid w:val="0090354B"/>
    <w:rsid w:val="00903630"/>
    <w:rsid w:val="00905ADE"/>
    <w:rsid w:val="00907366"/>
    <w:rsid w:val="0091124A"/>
    <w:rsid w:val="00911373"/>
    <w:rsid w:val="00911463"/>
    <w:rsid w:val="009116F8"/>
    <w:rsid w:val="00911776"/>
    <w:rsid w:val="00911A96"/>
    <w:rsid w:val="00913E9D"/>
    <w:rsid w:val="00914D75"/>
    <w:rsid w:val="0091500E"/>
    <w:rsid w:val="00915DA5"/>
    <w:rsid w:val="0091603D"/>
    <w:rsid w:val="00916D43"/>
    <w:rsid w:val="009173CF"/>
    <w:rsid w:val="00917E0A"/>
    <w:rsid w:val="009207C3"/>
    <w:rsid w:val="00920B40"/>
    <w:rsid w:val="00920B4E"/>
    <w:rsid w:val="00920D93"/>
    <w:rsid w:val="00921AA7"/>
    <w:rsid w:val="00921ABC"/>
    <w:rsid w:val="00921CFA"/>
    <w:rsid w:val="00922F09"/>
    <w:rsid w:val="00923615"/>
    <w:rsid w:val="00925941"/>
    <w:rsid w:val="0092654A"/>
    <w:rsid w:val="0092667D"/>
    <w:rsid w:val="009269D1"/>
    <w:rsid w:val="00926EE1"/>
    <w:rsid w:val="00927C42"/>
    <w:rsid w:val="00931489"/>
    <w:rsid w:val="00931FE1"/>
    <w:rsid w:val="009322DB"/>
    <w:rsid w:val="00933893"/>
    <w:rsid w:val="00933A3F"/>
    <w:rsid w:val="0093524E"/>
    <w:rsid w:val="00935534"/>
    <w:rsid w:val="00935E49"/>
    <w:rsid w:val="00935F6B"/>
    <w:rsid w:val="00937462"/>
    <w:rsid w:val="00937A9A"/>
    <w:rsid w:val="00940043"/>
    <w:rsid w:val="00940936"/>
    <w:rsid w:val="0094197A"/>
    <w:rsid w:val="00941AC3"/>
    <w:rsid w:val="00941CB4"/>
    <w:rsid w:val="0094313D"/>
    <w:rsid w:val="009446CC"/>
    <w:rsid w:val="00944FD1"/>
    <w:rsid w:val="009469E6"/>
    <w:rsid w:val="00946AB5"/>
    <w:rsid w:val="00946ABD"/>
    <w:rsid w:val="00947E30"/>
    <w:rsid w:val="00950261"/>
    <w:rsid w:val="009503B9"/>
    <w:rsid w:val="00950B4D"/>
    <w:rsid w:val="0095109D"/>
    <w:rsid w:val="00951D90"/>
    <w:rsid w:val="00952E30"/>
    <w:rsid w:val="00953BA7"/>
    <w:rsid w:val="00953E51"/>
    <w:rsid w:val="00954AA2"/>
    <w:rsid w:val="00954F2D"/>
    <w:rsid w:val="00955285"/>
    <w:rsid w:val="009552A2"/>
    <w:rsid w:val="00955AE7"/>
    <w:rsid w:val="00955DA8"/>
    <w:rsid w:val="009564ED"/>
    <w:rsid w:val="00956531"/>
    <w:rsid w:val="0095753A"/>
    <w:rsid w:val="009605CF"/>
    <w:rsid w:val="00960C94"/>
    <w:rsid w:val="00960D82"/>
    <w:rsid w:val="00961150"/>
    <w:rsid w:val="009615A8"/>
    <w:rsid w:val="009631B6"/>
    <w:rsid w:val="00963336"/>
    <w:rsid w:val="009638FC"/>
    <w:rsid w:val="009659B2"/>
    <w:rsid w:val="00965A11"/>
    <w:rsid w:val="00966387"/>
    <w:rsid w:val="00966860"/>
    <w:rsid w:val="00966BA0"/>
    <w:rsid w:val="00966D5D"/>
    <w:rsid w:val="0096712E"/>
    <w:rsid w:val="00967603"/>
    <w:rsid w:val="00967B10"/>
    <w:rsid w:val="00971AC4"/>
    <w:rsid w:val="00972606"/>
    <w:rsid w:val="0097312F"/>
    <w:rsid w:val="009738B6"/>
    <w:rsid w:val="00973D31"/>
    <w:rsid w:val="00973D6E"/>
    <w:rsid w:val="00974B1A"/>
    <w:rsid w:val="00974B77"/>
    <w:rsid w:val="009750AC"/>
    <w:rsid w:val="00975466"/>
    <w:rsid w:val="009755EC"/>
    <w:rsid w:val="00976714"/>
    <w:rsid w:val="00976858"/>
    <w:rsid w:val="00976EAA"/>
    <w:rsid w:val="009770C5"/>
    <w:rsid w:val="009774F0"/>
    <w:rsid w:val="0097777D"/>
    <w:rsid w:val="009813CF"/>
    <w:rsid w:val="009815AD"/>
    <w:rsid w:val="0098265C"/>
    <w:rsid w:val="00982BE0"/>
    <w:rsid w:val="00984E90"/>
    <w:rsid w:val="00985213"/>
    <w:rsid w:val="009867B1"/>
    <w:rsid w:val="00986B0F"/>
    <w:rsid w:val="00990436"/>
    <w:rsid w:val="00992A14"/>
    <w:rsid w:val="0099389D"/>
    <w:rsid w:val="00994CE7"/>
    <w:rsid w:val="00994E0C"/>
    <w:rsid w:val="00994F78"/>
    <w:rsid w:val="0099534C"/>
    <w:rsid w:val="0099555C"/>
    <w:rsid w:val="009979D7"/>
    <w:rsid w:val="00997D0F"/>
    <w:rsid w:val="009A17AA"/>
    <w:rsid w:val="009A1F0B"/>
    <w:rsid w:val="009A2713"/>
    <w:rsid w:val="009A273C"/>
    <w:rsid w:val="009A310C"/>
    <w:rsid w:val="009A3F5D"/>
    <w:rsid w:val="009A4D27"/>
    <w:rsid w:val="009A5031"/>
    <w:rsid w:val="009A5EF5"/>
    <w:rsid w:val="009A693F"/>
    <w:rsid w:val="009A6E3F"/>
    <w:rsid w:val="009A7DE0"/>
    <w:rsid w:val="009B0171"/>
    <w:rsid w:val="009B045C"/>
    <w:rsid w:val="009B05F2"/>
    <w:rsid w:val="009B2F13"/>
    <w:rsid w:val="009B31D3"/>
    <w:rsid w:val="009B4556"/>
    <w:rsid w:val="009B63B2"/>
    <w:rsid w:val="009C048A"/>
    <w:rsid w:val="009C0508"/>
    <w:rsid w:val="009C2AB6"/>
    <w:rsid w:val="009C3D41"/>
    <w:rsid w:val="009C3F8B"/>
    <w:rsid w:val="009C6F0C"/>
    <w:rsid w:val="009C702F"/>
    <w:rsid w:val="009C7DE9"/>
    <w:rsid w:val="009D0289"/>
    <w:rsid w:val="009D050F"/>
    <w:rsid w:val="009D0CB6"/>
    <w:rsid w:val="009D2A41"/>
    <w:rsid w:val="009D31B5"/>
    <w:rsid w:val="009D3D5F"/>
    <w:rsid w:val="009D4BA7"/>
    <w:rsid w:val="009D5676"/>
    <w:rsid w:val="009D6947"/>
    <w:rsid w:val="009D6A3A"/>
    <w:rsid w:val="009D6F62"/>
    <w:rsid w:val="009E0DBC"/>
    <w:rsid w:val="009E10E6"/>
    <w:rsid w:val="009E2C4B"/>
    <w:rsid w:val="009E30E1"/>
    <w:rsid w:val="009E46D2"/>
    <w:rsid w:val="009E5309"/>
    <w:rsid w:val="009E6472"/>
    <w:rsid w:val="009E6D6D"/>
    <w:rsid w:val="009E738A"/>
    <w:rsid w:val="009E768B"/>
    <w:rsid w:val="009F01AE"/>
    <w:rsid w:val="009F1644"/>
    <w:rsid w:val="009F300F"/>
    <w:rsid w:val="009F3555"/>
    <w:rsid w:val="009F3B86"/>
    <w:rsid w:val="009F4408"/>
    <w:rsid w:val="009F447F"/>
    <w:rsid w:val="009F4901"/>
    <w:rsid w:val="009F6185"/>
    <w:rsid w:val="009F694D"/>
    <w:rsid w:val="009F6EE0"/>
    <w:rsid w:val="009F710C"/>
    <w:rsid w:val="009F7284"/>
    <w:rsid w:val="00A024A9"/>
    <w:rsid w:val="00A0283C"/>
    <w:rsid w:val="00A02C1F"/>
    <w:rsid w:val="00A036BD"/>
    <w:rsid w:val="00A03FBC"/>
    <w:rsid w:val="00A04601"/>
    <w:rsid w:val="00A05E4D"/>
    <w:rsid w:val="00A062EE"/>
    <w:rsid w:val="00A06912"/>
    <w:rsid w:val="00A0742D"/>
    <w:rsid w:val="00A07DB2"/>
    <w:rsid w:val="00A1041C"/>
    <w:rsid w:val="00A10AB7"/>
    <w:rsid w:val="00A12E0F"/>
    <w:rsid w:val="00A13A7F"/>
    <w:rsid w:val="00A13B3E"/>
    <w:rsid w:val="00A13CAB"/>
    <w:rsid w:val="00A13DDC"/>
    <w:rsid w:val="00A14A2D"/>
    <w:rsid w:val="00A16832"/>
    <w:rsid w:val="00A17043"/>
    <w:rsid w:val="00A17F61"/>
    <w:rsid w:val="00A204C6"/>
    <w:rsid w:val="00A20862"/>
    <w:rsid w:val="00A20AC6"/>
    <w:rsid w:val="00A20EBD"/>
    <w:rsid w:val="00A21B35"/>
    <w:rsid w:val="00A21C22"/>
    <w:rsid w:val="00A2230F"/>
    <w:rsid w:val="00A2232E"/>
    <w:rsid w:val="00A2284B"/>
    <w:rsid w:val="00A23569"/>
    <w:rsid w:val="00A2455C"/>
    <w:rsid w:val="00A2569A"/>
    <w:rsid w:val="00A25801"/>
    <w:rsid w:val="00A25C13"/>
    <w:rsid w:val="00A25C48"/>
    <w:rsid w:val="00A27840"/>
    <w:rsid w:val="00A30151"/>
    <w:rsid w:val="00A32336"/>
    <w:rsid w:val="00A32872"/>
    <w:rsid w:val="00A33506"/>
    <w:rsid w:val="00A33512"/>
    <w:rsid w:val="00A3351D"/>
    <w:rsid w:val="00A34529"/>
    <w:rsid w:val="00A34720"/>
    <w:rsid w:val="00A36190"/>
    <w:rsid w:val="00A3640D"/>
    <w:rsid w:val="00A36676"/>
    <w:rsid w:val="00A36979"/>
    <w:rsid w:val="00A36C7D"/>
    <w:rsid w:val="00A378AE"/>
    <w:rsid w:val="00A403CF"/>
    <w:rsid w:val="00A4041A"/>
    <w:rsid w:val="00A40E59"/>
    <w:rsid w:val="00A413A3"/>
    <w:rsid w:val="00A4177B"/>
    <w:rsid w:val="00A41A92"/>
    <w:rsid w:val="00A42155"/>
    <w:rsid w:val="00A42F0F"/>
    <w:rsid w:val="00A4323A"/>
    <w:rsid w:val="00A4325C"/>
    <w:rsid w:val="00A43355"/>
    <w:rsid w:val="00A437EA"/>
    <w:rsid w:val="00A43BF3"/>
    <w:rsid w:val="00A447D4"/>
    <w:rsid w:val="00A4518E"/>
    <w:rsid w:val="00A4553B"/>
    <w:rsid w:val="00A4598E"/>
    <w:rsid w:val="00A4689F"/>
    <w:rsid w:val="00A46C82"/>
    <w:rsid w:val="00A47120"/>
    <w:rsid w:val="00A47793"/>
    <w:rsid w:val="00A50799"/>
    <w:rsid w:val="00A51E85"/>
    <w:rsid w:val="00A5215E"/>
    <w:rsid w:val="00A524E4"/>
    <w:rsid w:val="00A54700"/>
    <w:rsid w:val="00A55802"/>
    <w:rsid w:val="00A55972"/>
    <w:rsid w:val="00A5600B"/>
    <w:rsid w:val="00A560F5"/>
    <w:rsid w:val="00A56334"/>
    <w:rsid w:val="00A568EC"/>
    <w:rsid w:val="00A569DE"/>
    <w:rsid w:val="00A56DB1"/>
    <w:rsid w:val="00A57987"/>
    <w:rsid w:val="00A57E44"/>
    <w:rsid w:val="00A57EBB"/>
    <w:rsid w:val="00A6002C"/>
    <w:rsid w:val="00A61113"/>
    <w:rsid w:val="00A613D5"/>
    <w:rsid w:val="00A617BF"/>
    <w:rsid w:val="00A618F2"/>
    <w:rsid w:val="00A61DD8"/>
    <w:rsid w:val="00A623FB"/>
    <w:rsid w:val="00A6248B"/>
    <w:rsid w:val="00A62748"/>
    <w:rsid w:val="00A62F4C"/>
    <w:rsid w:val="00A6361B"/>
    <w:rsid w:val="00A63E95"/>
    <w:rsid w:val="00A6449D"/>
    <w:rsid w:val="00A6472C"/>
    <w:rsid w:val="00A64968"/>
    <w:rsid w:val="00A65261"/>
    <w:rsid w:val="00A6529D"/>
    <w:rsid w:val="00A65A83"/>
    <w:rsid w:val="00A666AF"/>
    <w:rsid w:val="00A670CE"/>
    <w:rsid w:val="00A6756F"/>
    <w:rsid w:val="00A675AC"/>
    <w:rsid w:val="00A67E84"/>
    <w:rsid w:val="00A70173"/>
    <w:rsid w:val="00A712BE"/>
    <w:rsid w:val="00A718A5"/>
    <w:rsid w:val="00A71CF6"/>
    <w:rsid w:val="00A72B33"/>
    <w:rsid w:val="00A73E4A"/>
    <w:rsid w:val="00A73FFB"/>
    <w:rsid w:val="00A74F4A"/>
    <w:rsid w:val="00A767B6"/>
    <w:rsid w:val="00A76816"/>
    <w:rsid w:val="00A76D32"/>
    <w:rsid w:val="00A77A37"/>
    <w:rsid w:val="00A77B84"/>
    <w:rsid w:val="00A77F36"/>
    <w:rsid w:val="00A77FEE"/>
    <w:rsid w:val="00A808E4"/>
    <w:rsid w:val="00A812C4"/>
    <w:rsid w:val="00A8192D"/>
    <w:rsid w:val="00A81B4B"/>
    <w:rsid w:val="00A82657"/>
    <w:rsid w:val="00A83081"/>
    <w:rsid w:val="00A83A6E"/>
    <w:rsid w:val="00A861D8"/>
    <w:rsid w:val="00A86A8F"/>
    <w:rsid w:val="00A86DE4"/>
    <w:rsid w:val="00A876BE"/>
    <w:rsid w:val="00A90D4A"/>
    <w:rsid w:val="00A915B2"/>
    <w:rsid w:val="00A925B9"/>
    <w:rsid w:val="00A92764"/>
    <w:rsid w:val="00A93D97"/>
    <w:rsid w:val="00A94110"/>
    <w:rsid w:val="00A94FB7"/>
    <w:rsid w:val="00A959B9"/>
    <w:rsid w:val="00A96246"/>
    <w:rsid w:val="00A96252"/>
    <w:rsid w:val="00A97635"/>
    <w:rsid w:val="00A97EE7"/>
    <w:rsid w:val="00AA00F1"/>
    <w:rsid w:val="00AA04DB"/>
    <w:rsid w:val="00AA15C3"/>
    <w:rsid w:val="00AA25A3"/>
    <w:rsid w:val="00AA41D3"/>
    <w:rsid w:val="00AA4C65"/>
    <w:rsid w:val="00AA4D64"/>
    <w:rsid w:val="00AA5292"/>
    <w:rsid w:val="00AA5D8C"/>
    <w:rsid w:val="00AA76FD"/>
    <w:rsid w:val="00AA7F07"/>
    <w:rsid w:val="00AB06A1"/>
    <w:rsid w:val="00AB12FB"/>
    <w:rsid w:val="00AB2632"/>
    <w:rsid w:val="00AB2BAC"/>
    <w:rsid w:val="00AB4322"/>
    <w:rsid w:val="00AB5ABF"/>
    <w:rsid w:val="00AB5E41"/>
    <w:rsid w:val="00AB6466"/>
    <w:rsid w:val="00AB69EF"/>
    <w:rsid w:val="00AB6E4F"/>
    <w:rsid w:val="00AB7C47"/>
    <w:rsid w:val="00AC05CF"/>
    <w:rsid w:val="00AC1365"/>
    <w:rsid w:val="00AC15C4"/>
    <w:rsid w:val="00AC1624"/>
    <w:rsid w:val="00AC1C51"/>
    <w:rsid w:val="00AC1D1F"/>
    <w:rsid w:val="00AC1F39"/>
    <w:rsid w:val="00AC370A"/>
    <w:rsid w:val="00AC382C"/>
    <w:rsid w:val="00AC3AEB"/>
    <w:rsid w:val="00AC3FA5"/>
    <w:rsid w:val="00AC495D"/>
    <w:rsid w:val="00AC5692"/>
    <w:rsid w:val="00AC5C41"/>
    <w:rsid w:val="00AC5CFA"/>
    <w:rsid w:val="00AD1159"/>
    <w:rsid w:val="00AD118D"/>
    <w:rsid w:val="00AD1336"/>
    <w:rsid w:val="00AD1CB9"/>
    <w:rsid w:val="00AD56FD"/>
    <w:rsid w:val="00AD5D35"/>
    <w:rsid w:val="00AD6833"/>
    <w:rsid w:val="00AD7201"/>
    <w:rsid w:val="00AE0799"/>
    <w:rsid w:val="00AE0CDC"/>
    <w:rsid w:val="00AE2063"/>
    <w:rsid w:val="00AE2FF5"/>
    <w:rsid w:val="00AE43E8"/>
    <w:rsid w:val="00AE4631"/>
    <w:rsid w:val="00AE4BCC"/>
    <w:rsid w:val="00AE66CC"/>
    <w:rsid w:val="00AE6A53"/>
    <w:rsid w:val="00AE6CFC"/>
    <w:rsid w:val="00AF2A9F"/>
    <w:rsid w:val="00AF302C"/>
    <w:rsid w:val="00AF3149"/>
    <w:rsid w:val="00AF3C0B"/>
    <w:rsid w:val="00AF4CEC"/>
    <w:rsid w:val="00AF4E68"/>
    <w:rsid w:val="00AF5617"/>
    <w:rsid w:val="00AF61BF"/>
    <w:rsid w:val="00AF62B6"/>
    <w:rsid w:val="00AF6840"/>
    <w:rsid w:val="00B0050A"/>
    <w:rsid w:val="00B00B90"/>
    <w:rsid w:val="00B0121F"/>
    <w:rsid w:val="00B01391"/>
    <w:rsid w:val="00B015A3"/>
    <w:rsid w:val="00B02159"/>
    <w:rsid w:val="00B02231"/>
    <w:rsid w:val="00B02B55"/>
    <w:rsid w:val="00B0304A"/>
    <w:rsid w:val="00B0350D"/>
    <w:rsid w:val="00B06255"/>
    <w:rsid w:val="00B063C9"/>
    <w:rsid w:val="00B06F5C"/>
    <w:rsid w:val="00B06FE2"/>
    <w:rsid w:val="00B07506"/>
    <w:rsid w:val="00B07E88"/>
    <w:rsid w:val="00B101C6"/>
    <w:rsid w:val="00B10BE8"/>
    <w:rsid w:val="00B10CDA"/>
    <w:rsid w:val="00B10F71"/>
    <w:rsid w:val="00B11686"/>
    <w:rsid w:val="00B128FE"/>
    <w:rsid w:val="00B13309"/>
    <w:rsid w:val="00B1437F"/>
    <w:rsid w:val="00B14551"/>
    <w:rsid w:val="00B14A89"/>
    <w:rsid w:val="00B15695"/>
    <w:rsid w:val="00B15B13"/>
    <w:rsid w:val="00B15DE9"/>
    <w:rsid w:val="00B16697"/>
    <w:rsid w:val="00B16E2C"/>
    <w:rsid w:val="00B17380"/>
    <w:rsid w:val="00B224C2"/>
    <w:rsid w:val="00B23125"/>
    <w:rsid w:val="00B2331B"/>
    <w:rsid w:val="00B23A95"/>
    <w:rsid w:val="00B24CB6"/>
    <w:rsid w:val="00B252A5"/>
    <w:rsid w:val="00B255D2"/>
    <w:rsid w:val="00B258E7"/>
    <w:rsid w:val="00B26D39"/>
    <w:rsid w:val="00B27214"/>
    <w:rsid w:val="00B3028D"/>
    <w:rsid w:val="00B30B6B"/>
    <w:rsid w:val="00B3146E"/>
    <w:rsid w:val="00B323FC"/>
    <w:rsid w:val="00B34CDA"/>
    <w:rsid w:val="00B34E82"/>
    <w:rsid w:val="00B3713E"/>
    <w:rsid w:val="00B377D7"/>
    <w:rsid w:val="00B4071A"/>
    <w:rsid w:val="00B41F0C"/>
    <w:rsid w:val="00B42D4F"/>
    <w:rsid w:val="00B431F8"/>
    <w:rsid w:val="00B442F4"/>
    <w:rsid w:val="00B45637"/>
    <w:rsid w:val="00B466E4"/>
    <w:rsid w:val="00B46C08"/>
    <w:rsid w:val="00B47CCA"/>
    <w:rsid w:val="00B5145C"/>
    <w:rsid w:val="00B54B98"/>
    <w:rsid w:val="00B56312"/>
    <w:rsid w:val="00B57028"/>
    <w:rsid w:val="00B570AE"/>
    <w:rsid w:val="00B57864"/>
    <w:rsid w:val="00B57F8F"/>
    <w:rsid w:val="00B6075E"/>
    <w:rsid w:val="00B60F5F"/>
    <w:rsid w:val="00B61FFD"/>
    <w:rsid w:val="00B63A2C"/>
    <w:rsid w:val="00B6405D"/>
    <w:rsid w:val="00B64CD7"/>
    <w:rsid w:val="00B6594B"/>
    <w:rsid w:val="00B66009"/>
    <w:rsid w:val="00B665BB"/>
    <w:rsid w:val="00B665DE"/>
    <w:rsid w:val="00B66863"/>
    <w:rsid w:val="00B668B8"/>
    <w:rsid w:val="00B66962"/>
    <w:rsid w:val="00B66F14"/>
    <w:rsid w:val="00B678EA"/>
    <w:rsid w:val="00B70B05"/>
    <w:rsid w:val="00B7123C"/>
    <w:rsid w:val="00B72751"/>
    <w:rsid w:val="00B758DC"/>
    <w:rsid w:val="00B7650D"/>
    <w:rsid w:val="00B76678"/>
    <w:rsid w:val="00B766CE"/>
    <w:rsid w:val="00B76F13"/>
    <w:rsid w:val="00B7758C"/>
    <w:rsid w:val="00B776CF"/>
    <w:rsid w:val="00B81C3A"/>
    <w:rsid w:val="00B81FCA"/>
    <w:rsid w:val="00B83C1A"/>
    <w:rsid w:val="00B8623B"/>
    <w:rsid w:val="00B86ABA"/>
    <w:rsid w:val="00B86F2A"/>
    <w:rsid w:val="00B871FA"/>
    <w:rsid w:val="00B87BC4"/>
    <w:rsid w:val="00B90D9B"/>
    <w:rsid w:val="00B91850"/>
    <w:rsid w:val="00B92BDB"/>
    <w:rsid w:val="00B946C6"/>
    <w:rsid w:val="00B948B9"/>
    <w:rsid w:val="00B94ED4"/>
    <w:rsid w:val="00B951C0"/>
    <w:rsid w:val="00B9537C"/>
    <w:rsid w:val="00B96063"/>
    <w:rsid w:val="00B9664D"/>
    <w:rsid w:val="00B9725A"/>
    <w:rsid w:val="00B97941"/>
    <w:rsid w:val="00B97E3D"/>
    <w:rsid w:val="00BA00DF"/>
    <w:rsid w:val="00BA1642"/>
    <w:rsid w:val="00BA22A2"/>
    <w:rsid w:val="00BA2CE3"/>
    <w:rsid w:val="00BA50FF"/>
    <w:rsid w:val="00BA6AAA"/>
    <w:rsid w:val="00BA6EAB"/>
    <w:rsid w:val="00BA7384"/>
    <w:rsid w:val="00BA75E1"/>
    <w:rsid w:val="00BA77DC"/>
    <w:rsid w:val="00BA77E0"/>
    <w:rsid w:val="00BA7843"/>
    <w:rsid w:val="00BB0133"/>
    <w:rsid w:val="00BB063F"/>
    <w:rsid w:val="00BB1088"/>
    <w:rsid w:val="00BB124D"/>
    <w:rsid w:val="00BB1C26"/>
    <w:rsid w:val="00BB257D"/>
    <w:rsid w:val="00BB2730"/>
    <w:rsid w:val="00BB278F"/>
    <w:rsid w:val="00BB2BFA"/>
    <w:rsid w:val="00BB35F8"/>
    <w:rsid w:val="00BB3CBA"/>
    <w:rsid w:val="00BB49BB"/>
    <w:rsid w:val="00BB5865"/>
    <w:rsid w:val="00BB59A7"/>
    <w:rsid w:val="00BB59F3"/>
    <w:rsid w:val="00BB5A41"/>
    <w:rsid w:val="00BB5D3C"/>
    <w:rsid w:val="00BB609E"/>
    <w:rsid w:val="00BB60E4"/>
    <w:rsid w:val="00BB68BF"/>
    <w:rsid w:val="00BB74F4"/>
    <w:rsid w:val="00BB77FB"/>
    <w:rsid w:val="00BC0708"/>
    <w:rsid w:val="00BC0760"/>
    <w:rsid w:val="00BC0B72"/>
    <w:rsid w:val="00BC1376"/>
    <w:rsid w:val="00BC1510"/>
    <w:rsid w:val="00BC3A62"/>
    <w:rsid w:val="00BC3B7F"/>
    <w:rsid w:val="00BC4E69"/>
    <w:rsid w:val="00BC56AA"/>
    <w:rsid w:val="00BC5940"/>
    <w:rsid w:val="00BC5A68"/>
    <w:rsid w:val="00BC69A7"/>
    <w:rsid w:val="00BC75EA"/>
    <w:rsid w:val="00BC75F5"/>
    <w:rsid w:val="00BC777D"/>
    <w:rsid w:val="00BC7CAF"/>
    <w:rsid w:val="00BC7FB1"/>
    <w:rsid w:val="00BC7FEB"/>
    <w:rsid w:val="00BD011F"/>
    <w:rsid w:val="00BD0C10"/>
    <w:rsid w:val="00BD1869"/>
    <w:rsid w:val="00BD1AF3"/>
    <w:rsid w:val="00BD28B3"/>
    <w:rsid w:val="00BD3233"/>
    <w:rsid w:val="00BD32DD"/>
    <w:rsid w:val="00BD3478"/>
    <w:rsid w:val="00BD58F3"/>
    <w:rsid w:val="00BD59FD"/>
    <w:rsid w:val="00BD5B86"/>
    <w:rsid w:val="00BD6845"/>
    <w:rsid w:val="00BD7138"/>
    <w:rsid w:val="00BD7BD4"/>
    <w:rsid w:val="00BD7EA9"/>
    <w:rsid w:val="00BE0292"/>
    <w:rsid w:val="00BE059E"/>
    <w:rsid w:val="00BE3D39"/>
    <w:rsid w:val="00BE4C9D"/>
    <w:rsid w:val="00BE4D9E"/>
    <w:rsid w:val="00BE53B1"/>
    <w:rsid w:val="00BE5A8F"/>
    <w:rsid w:val="00BE645F"/>
    <w:rsid w:val="00BE6742"/>
    <w:rsid w:val="00BE72EE"/>
    <w:rsid w:val="00BE7793"/>
    <w:rsid w:val="00BE7AEE"/>
    <w:rsid w:val="00BE7B86"/>
    <w:rsid w:val="00BF0331"/>
    <w:rsid w:val="00BF0734"/>
    <w:rsid w:val="00BF0A79"/>
    <w:rsid w:val="00BF2C7C"/>
    <w:rsid w:val="00BF338C"/>
    <w:rsid w:val="00BF37F3"/>
    <w:rsid w:val="00BF392F"/>
    <w:rsid w:val="00BF4929"/>
    <w:rsid w:val="00BF497B"/>
    <w:rsid w:val="00BF4ACC"/>
    <w:rsid w:val="00BF5A59"/>
    <w:rsid w:val="00BF6BBF"/>
    <w:rsid w:val="00BF772C"/>
    <w:rsid w:val="00C00B5D"/>
    <w:rsid w:val="00C00DBB"/>
    <w:rsid w:val="00C0159E"/>
    <w:rsid w:val="00C0180E"/>
    <w:rsid w:val="00C01E1A"/>
    <w:rsid w:val="00C0204F"/>
    <w:rsid w:val="00C0288F"/>
    <w:rsid w:val="00C02D4F"/>
    <w:rsid w:val="00C03B72"/>
    <w:rsid w:val="00C03BFB"/>
    <w:rsid w:val="00C03CFB"/>
    <w:rsid w:val="00C03E5D"/>
    <w:rsid w:val="00C04B14"/>
    <w:rsid w:val="00C068A0"/>
    <w:rsid w:val="00C06C9E"/>
    <w:rsid w:val="00C07997"/>
    <w:rsid w:val="00C103EC"/>
    <w:rsid w:val="00C113C3"/>
    <w:rsid w:val="00C125B3"/>
    <w:rsid w:val="00C12861"/>
    <w:rsid w:val="00C12C9C"/>
    <w:rsid w:val="00C12ECE"/>
    <w:rsid w:val="00C1363C"/>
    <w:rsid w:val="00C13692"/>
    <w:rsid w:val="00C1410D"/>
    <w:rsid w:val="00C1472F"/>
    <w:rsid w:val="00C14CDC"/>
    <w:rsid w:val="00C16942"/>
    <w:rsid w:val="00C16FD2"/>
    <w:rsid w:val="00C17B70"/>
    <w:rsid w:val="00C17C7B"/>
    <w:rsid w:val="00C20806"/>
    <w:rsid w:val="00C20853"/>
    <w:rsid w:val="00C20929"/>
    <w:rsid w:val="00C20CC2"/>
    <w:rsid w:val="00C216FC"/>
    <w:rsid w:val="00C21BE8"/>
    <w:rsid w:val="00C21EE9"/>
    <w:rsid w:val="00C22C46"/>
    <w:rsid w:val="00C22D09"/>
    <w:rsid w:val="00C23CAA"/>
    <w:rsid w:val="00C23CE0"/>
    <w:rsid w:val="00C24EA8"/>
    <w:rsid w:val="00C25964"/>
    <w:rsid w:val="00C25D0A"/>
    <w:rsid w:val="00C26DFE"/>
    <w:rsid w:val="00C26F5B"/>
    <w:rsid w:val="00C27382"/>
    <w:rsid w:val="00C273E9"/>
    <w:rsid w:val="00C304FD"/>
    <w:rsid w:val="00C308BA"/>
    <w:rsid w:val="00C351F6"/>
    <w:rsid w:val="00C360E6"/>
    <w:rsid w:val="00C3672C"/>
    <w:rsid w:val="00C379BC"/>
    <w:rsid w:val="00C37E6E"/>
    <w:rsid w:val="00C40507"/>
    <w:rsid w:val="00C409C4"/>
    <w:rsid w:val="00C41862"/>
    <w:rsid w:val="00C41D3D"/>
    <w:rsid w:val="00C4274F"/>
    <w:rsid w:val="00C43678"/>
    <w:rsid w:val="00C436B5"/>
    <w:rsid w:val="00C43DBD"/>
    <w:rsid w:val="00C4421C"/>
    <w:rsid w:val="00C44F2D"/>
    <w:rsid w:val="00C452CA"/>
    <w:rsid w:val="00C457E7"/>
    <w:rsid w:val="00C4644D"/>
    <w:rsid w:val="00C465B8"/>
    <w:rsid w:val="00C46723"/>
    <w:rsid w:val="00C46CB7"/>
    <w:rsid w:val="00C46CC3"/>
    <w:rsid w:val="00C50101"/>
    <w:rsid w:val="00C51B7E"/>
    <w:rsid w:val="00C52577"/>
    <w:rsid w:val="00C52D02"/>
    <w:rsid w:val="00C53151"/>
    <w:rsid w:val="00C53726"/>
    <w:rsid w:val="00C5462B"/>
    <w:rsid w:val="00C54756"/>
    <w:rsid w:val="00C54969"/>
    <w:rsid w:val="00C55595"/>
    <w:rsid w:val="00C55BA0"/>
    <w:rsid w:val="00C55D1E"/>
    <w:rsid w:val="00C569E5"/>
    <w:rsid w:val="00C570CF"/>
    <w:rsid w:val="00C5740E"/>
    <w:rsid w:val="00C60663"/>
    <w:rsid w:val="00C6434A"/>
    <w:rsid w:val="00C64737"/>
    <w:rsid w:val="00C656E9"/>
    <w:rsid w:val="00C65A19"/>
    <w:rsid w:val="00C70202"/>
    <w:rsid w:val="00C70448"/>
    <w:rsid w:val="00C70D2B"/>
    <w:rsid w:val="00C70F54"/>
    <w:rsid w:val="00C713DD"/>
    <w:rsid w:val="00C7159F"/>
    <w:rsid w:val="00C7183F"/>
    <w:rsid w:val="00C71E3E"/>
    <w:rsid w:val="00C73F58"/>
    <w:rsid w:val="00C742FD"/>
    <w:rsid w:val="00C74674"/>
    <w:rsid w:val="00C747E5"/>
    <w:rsid w:val="00C7571A"/>
    <w:rsid w:val="00C757EF"/>
    <w:rsid w:val="00C76BBE"/>
    <w:rsid w:val="00C76DCD"/>
    <w:rsid w:val="00C76E10"/>
    <w:rsid w:val="00C77E56"/>
    <w:rsid w:val="00C77FB6"/>
    <w:rsid w:val="00C80143"/>
    <w:rsid w:val="00C804EA"/>
    <w:rsid w:val="00C83EE3"/>
    <w:rsid w:val="00C844E6"/>
    <w:rsid w:val="00C8476C"/>
    <w:rsid w:val="00C84B0E"/>
    <w:rsid w:val="00C854A7"/>
    <w:rsid w:val="00C854ED"/>
    <w:rsid w:val="00C86217"/>
    <w:rsid w:val="00C86DF4"/>
    <w:rsid w:val="00C8717D"/>
    <w:rsid w:val="00C875CF"/>
    <w:rsid w:val="00C87C6F"/>
    <w:rsid w:val="00C87F0D"/>
    <w:rsid w:val="00C912B7"/>
    <w:rsid w:val="00C9150F"/>
    <w:rsid w:val="00C91855"/>
    <w:rsid w:val="00C9286B"/>
    <w:rsid w:val="00C92BAC"/>
    <w:rsid w:val="00C931AF"/>
    <w:rsid w:val="00C932A0"/>
    <w:rsid w:val="00C93802"/>
    <w:rsid w:val="00C93B06"/>
    <w:rsid w:val="00C94B57"/>
    <w:rsid w:val="00C94EDB"/>
    <w:rsid w:val="00C96DED"/>
    <w:rsid w:val="00C96EB1"/>
    <w:rsid w:val="00CA0762"/>
    <w:rsid w:val="00CA0841"/>
    <w:rsid w:val="00CA0FDC"/>
    <w:rsid w:val="00CA1C1A"/>
    <w:rsid w:val="00CA37A1"/>
    <w:rsid w:val="00CA457B"/>
    <w:rsid w:val="00CA45C4"/>
    <w:rsid w:val="00CA54E6"/>
    <w:rsid w:val="00CA5653"/>
    <w:rsid w:val="00CA56F2"/>
    <w:rsid w:val="00CA6C94"/>
    <w:rsid w:val="00CA6D6F"/>
    <w:rsid w:val="00CA7C67"/>
    <w:rsid w:val="00CB0396"/>
    <w:rsid w:val="00CB04C2"/>
    <w:rsid w:val="00CB062F"/>
    <w:rsid w:val="00CB093A"/>
    <w:rsid w:val="00CB160A"/>
    <w:rsid w:val="00CB1A95"/>
    <w:rsid w:val="00CB2197"/>
    <w:rsid w:val="00CB261B"/>
    <w:rsid w:val="00CB3B6C"/>
    <w:rsid w:val="00CB49C7"/>
    <w:rsid w:val="00CB4F43"/>
    <w:rsid w:val="00CB555F"/>
    <w:rsid w:val="00CB636E"/>
    <w:rsid w:val="00CB63CD"/>
    <w:rsid w:val="00CB7333"/>
    <w:rsid w:val="00CB7504"/>
    <w:rsid w:val="00CC068B"/>
    <w:rsid w:val="00CC0BEF"/>
    <w:rsid w:val="00CC100A"/>
    <w:rsid w:val="00CC1BA6"/>
    <w:rsid w:val="00CC1CB6"/>
    <w:rsid w:val="00CC245A"/>
    <w:rsid w:val="00CC25DD"/>
    <w:rsid w:val="00CC30DD"/>
    <w:rsid w:val="00CC3D78"/>
    <w:rsid w:val="00CC4B44"/>
    <w:rsid w:val="00CC517B"/>
    <w:rsid w:val="00CC5601"/>
    <w:rsid w:val="00CC57FA"/>
    <w:rsid w:val="00CC630C"/>
    <w:rsid w:val="00CC6A44"/>
    <w:rsid w:val="00CC717A"/>
    <w:rsid w:val="00CC746F"/>
    <w:rsid w:val="00CC7627"/>
    <w:rsid w:val="00CC79F8"/>
    <w:rsid w:val="00CD0590"/>
    <w:rsid w:val="00CD165C"/>
    <w:rsid w:val="00CD185C"/>
    <w:rsid w:val="00CD2244"/>
    <w:rsid w:val="00CD3C97"/>
    <w:rsid w:val="00CD42EF"/>
    <w:rsid w:val="00CD4A62"/>
    <w:rsid w:val="00CD5AD3"/>
    <w:rsid w:val="00CD5E2E"/>
    <w:rsid w:val="00CD5EEA"/>
    <w:rsid w:val="00CE04FE"/>
    <w:rsid w:val="00CE0DBF"/>
    <w:rsid w:val="00CE10B0"/>
    <w:rsid w:val="00CE3D04"/>
    <w:rsid w:val="00CE3D59"/>
    <w:rsid w:val="00CE3E08"/>
    <w:rsid w:val="00CE42A1"/>
    <w:rsid w:val="00CE4D0C"/>
    <w:rsid w:val="00CE558F"/>
    <w:rsid w:val="00CE59DD"/>
    <w:rsid w:val="00CE6110"/>
    <w:rsid w:val="00CE6578"/>
    <w:rsid w:val="00CE6BBE"/>
    <w:rsid w:val="00CE7949"/>
    <w:rsid w:val="00CE7BF8"/>
    <w:rsid w:val="00CF07DA"/>
    <w:rsid w:val="00CF0801"/>
    <w:rsid w:val="00CF08F9"/>
    <w:rsid w:val="00CF1041"/>
    <w:rsid w:val="00CF136E"/>
    <w:rsid w:val="00CF1EFD"/>
    <w:rsid w:val="00CF240E"/>
    <w:rsid w:val="00CF3D1D"/>
    <w:rsid w:val="00CF44D4"/>
    <w:rsid w:val="00CF4C0A"/>
    <w:rsid w:val="00CF5A33"/>
    <w:rsid w:val="00CF5E9D"/>
    <w:rsid w:val="00CF6962"/>
    <w:rsid w:val="00D00B1E"/>
    <w:rsid w:val="00D01ED9"/>
    <w:rsid w:val="00D02C8F"/>
    <w:rsid w:val="00D03036"/>
    <w:rsid w:val="00D03B66"/>
    <w:rsid w:val="00D04F26"/>
    <w:rsid w:val="00D05195"/>
    <w:rsid w:val="00D05DC0"/>
    <w:rsid w:val="00D06599"/>
    <w:rsid w:val="00D06DF0"/>
    <w:rsid w:val="00D11638"/>
    <w:rsid w:val="00D1180C"/>
    <w:rsid w:val="00D11B54"/>
    <w:rsid w:val="00D11BE8"/>
    <w:rsid w:val="00D13400"/>
    <w:rsid w:val="00D14495"/>
    <w:rsid w:val="00D1470F"/>
    <w:rsid w:val="00D14851"/>
    <w:rsid w:val="00D16448"/>
    <w:rsid w:val="00D201D4"/>
    <w:rsid w:val="00D20ABB"/>
    <w:rsid w:val="00D210DD"/>
    <w:rsid w:val="00D21F7B"/>
    <w:rsid w:val="00D2264D"/>
    <w:rsid w:val="00D22B41"/>
    <w:rsid w:val="00D23408"/>
    <w:rsid w:val="00D23B83"/>
    <w:rsid w:val="00D242CF"/>
    <w:rsid w:val="00D244FE"/>
    <w:rsid w:val="00D24BC2"/>
    <w:rsid w:val="00D2590B"/>
    <w:rsid w:val="00D25BA2"/>
    <w:rsid w:val="00D26D53"/>
    <w:rsid w:val="00D26D6B"/>
    <w:rsid w:val="00D27920"/>
    <w:rsid w:val="00D3001E"/>
    <w:rsid w:val="00D3015B"/>
    <w:rsid w:val="00D305F7"/>
    <w:rsid w:val="00D3074B"/>
    <w:rsid w:val="00D32096"/>
    <w:rsid w:val="00D3284D"/>
    <w:rsid w:val="00D32FBC"/>
    <w:rsid w:val="00D33443"/>
    <w:rsid w:val="00D3400F"/>
    <w:rsid w:val="00D345BE"/>
    <w:rsid w:val="00D347BF"/>
    <w:rsid w:val="00D34CE1"/>
    <w:rsid w:val="00D35859"/>
    <w:rsid w:val="00D36251"/>
    <w:rsid w:val="00D3654E"/>
    <w:rsid w:val="00D368CB"/>
    <w:rsid w:val="00D36A55"/>
    <w:rsid w:val="00D3709B"/>
    <w:rsid w:val="00D3782B"/>
    <w:rsid w:val="00D37C0F"/>
    <w:rsid w:val="00D37C39"/>
    <w:rsid w:val="00D37CAE"/>
    <w:rsid w:val="00D4063E"/>
    <w:rsid w:val="00D432A5"/>
    <w:rsid w:val="00D43D4E"/>
    <w:rsid w:val="00D43FAA"/>
    <w:rsid w:val="00D45EA1"/>
    <w:rsid w:val="00D46565"/>
    <w:rsid w:val="00D46CEA"/>
    <w:rsid w:val="00D50AA7"/>
    <w:rsid w:val="00D516D7"/>
    <w:rsid w:val="00D53867"/>
    <w:rsid w:val="00D53C15"/>
    <w:rsid w:val="00D53DB7"/>
    <w:rsid w:val="00D550F9"/>
    <w:rsid w:val="00D56261"/>
    <w:rsid w:val="00D57848"/>
    <w:rsid w:val="00D60342"/>
    <w:rsid w:val="00D61070"/>
    <w:rsid w:val="00D616AD"/>
    <w:rsid w:val="00D631B3"/>
    <w:rsid w:val="00D63FEE"/>
    <w:rsid w:val="00D652BD"/>
    <w:rsid w:val="00D65B1A"/>
    <w:rsid w:val="00D66309"/>
    <w:rsid w:val="00D6729A"/>
    <w:rsid w:val="00D67FCA"/>
    <w:rsid w:val="00D7082F"/>
    <w:rsid w:val="00D70844"/>
    <w:rsid w:val="00D70AFC"/>
    <w:rsid w:val="00D7294E"/>
    <w:rsid w:val="00D73818"/>
    <w:rsid w:val="00D7414B"/>
    <w:rsid w:val="00D747B4"/>
    <w:rsid w:val="00D751BC"/>
    <w:rsid w:val="00D754E4"/>
    <w:rsid w:val="00D76D61"/>
    <w:rsid w:val="00D8068F"/>
    <w:rsid w:val="00D80884"/>
    <w:rsid w:val="00D80E6D"/>
    <w:rsid w:val="00D81481"/>
    <w:rsid w:val="00D817F4"/>
    <w:rsid w:val="00D81C93"/>
    <w:rsid w:val="00D82167"/>
    <w:rsid w:val="00D82AB0"/>
    <w:rsid w:val="00D831BC"/>
    <w:rsid w:val="00D839DE"/>
    <w:rsid w:val="00D839FC"/>
    <w:rsid w:val="00D83C11"/>
    <w:rsid w:val="00D83CC8"/>
    <w:rsid w:val="00D83E16"/>
    <w:rsid w:val="00D848A2"/>
    <w:rsid w:val="00D850DD"/>
    <w:rsid w:val="00D85A8B"/>
    <w:rsid w:val="00D85A90"/>
    <w:rsid w:val="00D85C97"/>
    <w:rsid w:val="00D86DCF"/>
    <w:rsid w:val="00D876F9"/>
    <w:rsid w:val="00D90F19"/>
    <w:rsid w:val="00D914F2"/>
    <w:rsid w:val="00D93603"/>
    <w:rsid w:val="00D93809"/>
    <w:rsid w:val="00D9393C"/>
    <w:rsid w:val="00D93FE8"/>
    <w:rsid w:val="00D94AE9"/>
    <w:rsid w:val="00D94C1B"/>
    <w:rsid w:val="00D952B2"/>
    <w:rsid w:val="00D96465"/>
    <w:rsid w:val="00D9682A"/>
    <w:rsid w:val="00D96AEE"/>
    <w:rsid w:val="00D97AD6"/>
    <w:rsid w:val="00DA1B9C"/>
    <w:rsid w:val="00DA2298"/>
    <w:rsid w:val="00DA2644"/>
    <w:rsid w:val="00DA3818"/>
    <w:rsid w:val="00DA3BDD"/>
    <w:rsid w:val="00DA3F1F"/>
    <w:rsid w:val="00DA5453"/>
    <w:rsid w:val="00DA6C3C"/>
    <w:rsid w:val="00DA6F21"/>
    <w:rsid w:val="00DA7CFA"/>
    <w:rsid w:val="00DB0B77"/>
    <w:rsid w:val="00DB17A2"/>
    <w:rsid w:val="00DB1952"/>
    <w:rsid w:val="00DB1C3B"/>
    <w:rsid w:val="00DB24C5"/>
    <w:rsid w:val="00DB25F3"/>
    <w:rsid w:val="00DB2D2E"/>
    <w:rsid w:val="00DB3020"/>
    <w:rsid w:val="00DB374A"/>
    <w:rsid w:val="00DB383A"/>
    <w:rsid w:val="00DB38EC"/>
    <w:rsid w:val="00DB55C5"/>
    <w:rsid w:val="00DB6956"/>
    <w:rsid w:val="00DB7B33"/>
    <w:rsid w:val="00DB7E20"/>
    <w:rsid w:val="00DB7F8C"/>
    <w:rsid w:val="00DC0BE1"/>
    <w:rsid w:val="00DC0C3B"/>
    <w:rsid w:val="00DC1674"/>
    <w:rsid w:val="00DC1688"/>
    <w:rsid w:val="00DC1B5F"/>
    <w:rsid w:val="00DC2114"/>
    <w:rsid w:val="00DC29B8"/>
    <w:rsid w:val="00DC2F3E"/>
    <w:rsid w:val="00DC3BE0"/>
    <w:rsid w:val="00DC45C7"/>
    <w:rsid w:val="00DC55A7"/>
    <w:rsid w:val="00DC5C00"/>
    <w:rsid w:val="00DC7918"/>
    <w:rsid w:val="00DC7D8A"/>
    <w:rsid w:val="00DD4CCF"/>
    <w:rsid w:val="00DD5C2A"/>
    <w:rsid w:val="00DD6C40"/>
    <w:rsid w:val="00DD7F6B"/>
    <w:rsid w:val="00DE08DA"/>
    <w:rsid w:val="00DE0FFF"/>
    <w:rsid w:val="00DE1C8D"/>
    <w:rsid w:val="00DE1E06"/>
    <w:rsid w:val="00DE25A3"/>
    <w:rsid w:val="00DE3250"/>
    <w:rsid w:val="00DE41CF"/>
    <w:rsid w:val="00DE5598"/>
    <w:rsid w:val="00DE5D49"/>
    <w:rsid w:val="00DE66D8"/>
    <w:rsid w:val="00DE6913"/>
    <w:rsid w:val="00DE7332"/>
    <w:rsid w:val="00DE7508"/>
    <w:rsid w:val="00DE752A"/>
    <w:rsid w:val="00DF15E0"/>
    <w:rsid w:val="00DF222D"/>
    <w:rsid w:val="00DF2425"/>
    <w:rsid w:val="00DF2500"/>
    <w:rsid w:val="00DF3362"/>
    <w:rsid w:val="00DF3691"/>
    <w:rsid w:val="00DF3CC0"/>
    <w:rsid w:val="00DF429A"/>
    <w:rsid w:val="00DF4D1B"/>
    <w:rsid w:val="00DF4D31"/>
    <w:rsid w:val="00DF53DD"/>
    <w:rsid w:val="00DF7A7D"/>
    <w:rsid w:val="00DF7B4A"/>
    <w:rsid w:val="00E00769"/>
    <w:rsid w:val="00E018E0"/>
    <w:rsid w:val="00E021E8"/>
    <w:rsid w:val="00E024E6"/>
    <w:rsid w:val="00E02500"/>
    <w:rsid w:val="00E02959"/>
    <w:rsid w:val="00E03071"/>
    <w:rsid w:val="00E062A0"/>
    <w:rsid w:val="00E06453"/>
    <w:rsid w:val="00E0675A"/>
    <w:rsid w:val="00E06E27"/>
    <w:rsid w:val="00E06F58"/>
    <w:rsid w:val="00E078C5"/>
    <w:rsid w:val="00E079E5"/>
    <w:rsid w:val="00E11917"/>
    <w:rsid w:val="00E1348D"/>
    <w:rsid w:val="00E13704"/>
    <w:rsid w:val="00E13F02"/>
    <w:rsid w:val="00E1400F"/>
    <w:rsid w:val="00E14150"/>
    <w:rsid w:val="00E14691"/>
    <w:rsid w:val="00E14F50"/>
    <w:rsid w:val="00E15838"/>
    <w:rsid w:val="00E163A4"/>
    <w:rsid w:val="00E16E8B"/>
    <w:rsid w:val="00E16F1C"/>
    <w:rsid w:val="00E178DB"/>
    <w:rsid w:val="00E20D96"/>
    <w:rsid w:val="00E21F59"/>
    <w:rsid w:val="00E2388C"/>
    <w:rsid w:val="00E24A5B"/>
    <w:rsid w:val="00E2591A"/>
    <w:rsid w:val="00E26061"/>
    <w:rsid w:val="00E2613F"/>
    <w:rsid w:val="00E2751F"/>
    <w:rsid w:val="00E27C04"/>
    <w:rsid w:val="00E3029D"/>
    <w:rsid w:val="00E30B50"/>
    <w:rsid w:val="00E32F0F"/>
    <w:rsid w:val="00E34E60"/>
    <w:rsid w:val="00E35D82"/>
    <w:rsid w:val="00E37A80"/>
    <w:rsid w:val="00E37B8B"/>
    <w:rsid w:val="00E37C46"/>
    <w:rsid w:val="00E40496"/>
    <w:rsid w:val="00E40C9A"/>
    <w:rsid w:val="00E41A3D"/>
    <w:rsid w:val="00E42AA0"/>
    <w:rsid w:val="00E42EAE"/>
    <w:rsid w:val="00E44B5A"/>
    <w:rsid w:val="00E44F75"/>
    <w:rsid w:val="00E45479"/>
    <w:rsid w:val="00E45860"/>
    <w:rsid w:val="00E4686E"/>
    <w:rsid w:val="00E47681"/>
    <w:rsid w:val="00E47F56"/>
    <w:rsid w:val="00E5027C"/>
    <w:rsid w:val="00E50694"/>
    <w:rsid w:val="00E50CB8"/>
    <w:rsid w:val="00E526D1"/>
    <w:rsid w:val="00E52B84"/>
    <w:rsid w:val="00E52D33"/>
    <w:rsid w:val="00E5325C"/>
    <w:rsid w:val="00E53996"/>
    <w:rsid w:val="00E54AA4"/>
    <w:rsid w:val="00E54B39"/>
    <w:rsid w:val="00E569F9"/>
    <w:rsid w:val="00E607F8"/>
    <w:rsid w:val="00E64789"/>
    <w:rsid w:val="00E65479"/>
    <w:rsid w:val="00E65ECE"/>
    <w:rsid w:val="00E660E9"/>
    <w:rsid w:val="00E667C0"/>
    <w:rsid w:val="00E66869"/>
    <w:rsid w:val="00E66E78"/>
    <w:rsid w:val="00E67D4A"/>
    <w:rsid w:val="00E701B6"/>
    <w:rsid w:val="00E71A0B"/>
    <w:rsid w:val="00E725BB"/>
    <w:rsid w:val="00E72639"/>
    <w:rsid w:val="00E73191"/>
    <w:rsid w:val="00E74100"/>
    <w:rsid w:val="00E7586A"/>
    <w:rsid w:val="00E75E29"/>
    <w:rsid w:val="00E76149"/>
    <w:rsid w:val="00E77795"/>
    <w:rsid w:val="00E8095F"/>
    <w:rsid w:val="00E81A4E"/>
    <w:rsid w:val="00E82845"/>
    <w:rsid w:val="00E830E7"/>
    <w:rsid w:val="00E83E40"/>
    <w:rsid w:val="00E84CC3"/>
    <w:rsid w:val="00E851CD"/>
    <w:rsid w:val="00E86B0D"/>
    <w:rsid w:val="00E87BBD"/>
    <w:rsid w:val="00E927D1"/>
    <w:rsid w:val="00E939FD"/>
    <w:rsid w:val="00E947C1"/>
    <w:rsid w:val="00E947E7"/>
    <w:rsid w:val="00E94EDC"/>
    <w:rsid w:val="00E96105"/>
    <w:rsid w:val="00E969D0"/>
    <w:rsid w:val="00EA1C01"/>
    <w:rsid w:val="00EA347F"/>
    <w:rsid w:val="00EA35D0"/>
    <w:rsid w:val="00EA3A02"/>
    <w:rsid w:val="00EA3C9E"/>
    <w:rsid w:val="00EA3FB0"/>
    <w:rsid w:val="00EA47A7"/>
    <w:rsid w:val="00EA4A12"/>
    <w:rsid w:val="00EA554F"/>
    <w:rsid w:val="00EA5FC7"/>
    <w:rsid w:val="00EA6E53"/>
    <w:rsid w:val="00EA7B1D"/>
    <w:rsid w:val="00EB0797"/>
    <w:rsid w:val="00EB1940"/>
    <w:rsid w:val="00EB20B2"/>
    <w:rsid w:val="00EB260B"/>
    <w:rsid w:val="00EB27F8"/>
    <w:rsid w:val="00EB3276"/>
    <w:rsid w:val="00EB3AE5"/>
    <w:rsid w:val="00EB4406"/>
    <w:rsid w:val="00EB477A"/>
    <w:rsid w:val="00EB4A4C"/>
    <w:rsid w:val="00EB4BAB"/>
    <w:rsid w:val="00EB634E"/>
    <w:rsid w:val="00EB6551"/>
    <w:rsid w:val="00EB6EEA"/>
    <w:rsid w:val="00EC126E"/>
    <w:rsid w:val="00EC1732"/>
    <w:rsid w:val="00EC19D3"/>
    <w:rsid w:val="00EC36CC"/>
    <w:rsid w:val="00EC3B18"/>
    <w:rsid w:val="00EC4FF1"/>
    <w:rsid w:val="00EC50D2"/>
    <w:rsid w:val="00EC5C13"/>
    <w:rsid w:val="00EC5CD8"/>
    <w:rsid w:val="00EC6125"/>
    <w:rsid w:val="00EC6F64"/>
    <w:rsid w:val="00EC726B"/>
    <w:rsid w:val="00EC7495"/>
    <w:rsid w:val="00EC77E0"/>
    <w:rsid w:val="00EC77E5"/>
    <w:rsid w:val="00ED24B2"/>
    <w:rsid w:val="00ED4214"/>
    <w:rsid w:val="00ED4EBD"/>
    <w:rsid w:val="00ED5E99"/>
    <w:rsid w:val="00ED7923"/>
    <w:rsid w:val="00ED797E"/>
    <w:rsid w:val="00EE02A3"/>
    <w:rsid w:val="00EE110D"/>
    <w:rsid w:val="00EE15EA"/>
    <w:rsid w:val="00EE1812"/>
    <w:rsid w:val="00EE23FD"/>
    <w:rsid w:val="00EE3055"/>
    <w:rsid w:val="00EE38E7"/>
    <w:rsid w:val="00EE52DF"/>
    <w:rsid w:val="00EE58DA"/>
    <w:rsid w:val="00EE5E9D"/>
    <w:rsid w:val="00EE630B"/>
    <w:rsid w:val="00EE6CC7"/>
    <w:rsid w:val="00EE6F89"/>
    <w:rsid w:val="00EE7085"/>
    <w:rsid w:val="00EE7511"/>
    <w:rsid w:val="00EF08A8"/>
    <w:rsid w:val="00EF0F8E"/>
    <w:rsid w:val="00EF1028"/>
    <w:rsid w:val="00EF1242"/>
    <w:rsid w:val="00EF1394"/>
    <w:rsid w:val="00EF19D7"/>
    <w:rsid w:val="00EF1A08"/>
    <w:rsid w:val="00EF35BD"/>
    <w:rsid w:val="00EF3BEF"/>
    <w:rsid w:val="00EF4CF6"/>
    <w:rsid w:val="00EF4DF1"/>
    <w:rsid w:val="00EF4F21"/>
    <w:rsid w:val="00EF5343"/>
    <w:rsid w:val="00EF55B3"/>
    <w:rsid w:val="00EF6B0D"/>
    <w:rsid w:val="00F004D4"/>
    <w:rsid w:val="00F026B2"/>
    <w:rsid w:val="00F033DC"/>
    <w:rsid w:val="00F03D24"/>
    <w:rsid w:val="00F04729"/>
    <w:rsid w:val="00F04787"/>
    <w:rsid w:val="00F0534E"/>
    <w:rsid w:val="00F05D4B"/>
    <w:rsid w:val="00F060B5"/>
    <w:rsid w:val="00F06414"/>
    <w:rsid w:val="00F068C3"/>
    <w:rsid w:val="00F0700F"/>
    <w:rsid w:val="00F07954"/>
    <w:rsid w:val="00F07C5F"/>
    <w:rsid w:val="00F10F22"/>
    <w:rsid w:val="00F111C8"/>
    <w:rsid w:val="00F132E0"/>
    <w:rsid w:val="00F140BA"/>
    <w:rsid w:val="00F14BD0"/>
    <w:rsid w:val="00F14F02"/>
    <w:rsid w:val="00F150B9"/>
    <w:rsid w:val="00F152B3"/>
    <w:rsid w:val="00F15524"/>
    <w:rsid w:val="00F156BA"/>
    <w:rsid w:val="00F1574A"/>
    <w:rsid w:val="00F15C96"/>
    <w:rsid w:val="00F204CF"/>
    <w:rsid w:val="00F20A1F"/>
    <w:rsid w:val="00F20ED9"/>
    <w:rsid w:val="00F20F86"/>
    <w:rsid w:val="00F20FC0"/>
    <w:rsid w:val="00F210A3"/>
    <w:rsid w:val="00F210AA"/>
    <w:rsid w:val="00F21119"/>
    <w:rsid w:val="00F232B2"/>
    <w:rsid w:val="00F23AC6"/>
    <w:rsid w:val="00F2447A"/>
    <w:rsid w:val="00F25809"/>
    <w:rsid w:val="00F26A02"/>
    <w:rsid w:val="00F27068"/>
    <w:rsid w:val="00F2745C"/>
    <w:rsid w:val="00F27FA5"/>
    <w:rsid w:val="00F30277"/>
    <w:rsid w:val="00F30E4E"/>
    <w:rsid w:val="00F30F44"/>
    <w:rsid w:val="00F31463"/>
    <w:rsid w:val="00F321EC"/>
    <w:rsid w:val="00F3369B"/>
    <w:rsid w:val="00F352E8"/>
    <w:rsid w:val="00F361E3"/>
    <w:rsid w:val="00F40607"/>
    <w:rsid w:val="00F407AA"/>
    <w:rsid w:val="00F40833"/>
    <w:rsid w:val="00F4182A"/>
    <w:rsid w:val="00F41867"/>
    <w:rsid w:val="00F41957"/>
    <w:rsid w:val="00F42318"/>
    <w:rsid w:val="00F4283A"/>
    <w:rsid w:val="00F431BA"/>
    <w:rsid w:val="00F44F4A"/>
    <w:rsid w:val="00F459E9"/>
    <w:rsid w:val="00F46AA7"/>
    <w:rsid w:val="00F46DEB"/>
    <w:rsid w:val="00F474B4"/>
    <w:rsid w:val="00F5111F"/>
    <w:rsid w:val="00F513E1"/>
    <w:rsid w:val="00F51B0B"/>
    <w:rsid w:val="00F52074"/>
    <w:rsid w:val="00F52B43"/>
    <w:rsid w:val="00F5357F"/>
    <w:rsid w:val="00F53706"/>
    <w:rsid w:val="00F53D2D"/>
    <w:rsid w:val="00F54555"/>
    <w:rsid w:val="00F54609"/>
    <w:rsid w:val="00F547B9"/>
    <w:rsid w:val="00F54F36"/>
    <w:rsid w:val="00F55228"/>
    <w:rsid w:val="00F55537"/>
    <w:rsid w:val="00F57BCE"/>
    <w:rsid w:val="00F60324"/>
    <w:rsid w:val="00F609CD"/>
    <w:rsid w:val="00F61E00"/>
    <w:rsid w:val="00F623E1"/>
    <w:rsid w:val="00F63888"/>
    <w:rsid w:val="00F64522"/>
    <w:rsid w:val="00F6544F"/>
    <w:rsid w:val="00F66248"/>
    <w:rsid w:val="00F662C8"/>
    <w:rsid w:val="00F666A4"/>
    <w:rsid w:val="00F66C12"/>
    <w:rsid w:val="00F676E7"/>
    <w:rsid w:val="00F70591"/>
    <w:rsid w:val="00F70A38"/>
    <w:rsid w:val="00F70F2F"/>
    <w:rsid w:val="00F71A40"/>
    <w:rsid w:val="00F7301A"/>
    <w:rsid w:val="00F73494"/>
    <w:rsid w:val="00F74410"/>
    <w:rsid w:val="00F7523F"/>
    <w:rsid w:val="00F752BB"/>
    <w:rsid w:val="00F75345"/>
    <w:rsid w:val="00F75DD5"/>
    <w:rsid w:val="00F761C7"/>
    <w:rsid w:val="00F766F2"/>
    <w:rsid w:val="00F76DA0"/>
    <w:rsid w:val="00F7781E"/>
    <w:rsid w:val="00F77929"/>
    <w:rsid w:val="00F77B07"/>
    <w:rsid w:val="00F800F8"/>
    <w:rsid w:val="00F80F83"/>
    <w:rsid w:val="00F8142C"/>
    <w:rsid w:val="00F82D00"/>
    <w:rsid w:val="00F8369A"/>
    <w:rsid w:val="00F836F0"/>
    <w:rsid w:val="00F83860"/>
    <w:rsid w:val="00F83E79"/>
    <w:rsid w:val="00F854EA"/>
    <w:rsid w:val="00F86796"/>
    <w:rsid w:val="00F86B76"/>
    <w:rsid w:val="00F86E70"/>
    <w:rsid w:val="00F876D0"/>
    <w:rsid w:val="00F876F4"/>
    <w:rsid w:val="00F87AC4"/>
    <w:rsid w:val="00F914CD"/>
    <w:rsid w:val="00F915AE"/>
    <w:rsid w:val="00F91A03"/>
    <w:rsid w:val="00F91BBF"/>
    <w:rsid w:val="00F93600"/>
    <w:rsid w:val="00F94FC8"/>
    <w:rsid w:val="00F95DB1"/>
    <w:rsid w:val="00F962EF"/>
    <w:rsid w:val="00F965F1"/>
    <w:rsid w:val="00F9665C"/>
    <w:rsid w:val="00F96FAD"/>
    <w:rsid w:val="00F9726F"/>
    <w:rsid w:val="00F97803"/>
    <w:rsid w:val="00F979C5"/>
    <w:rsid w:val="00FA0172"/>
    <w:rsid w:val="00FA1DAD"/>
    <w:rsid w:val="00FA2ACB"/>
    <w:rsid w:val="00FA2E68"/>
    <w:rsid w:val="00FA345D"/>
    <w:rsid w:val="00FA3DBA"/>
    <w:rsid w:val="00FA4A6D"/>
    <w:rsid w:val="00FA5876"/>
    <w:rsid w:val="00FA64E5"/>
    <w:rsid w:val="00FA6721"/>
    <w:rsid w:val="00FA6A94"/>
    <w:rsid w:val="00FB00C4"/>
    <w:rsid w:val="00FB1065"/>
    <w:rsid w:val="00FB16CE"/>
    <w:rsid w:val="00FB2191"/>
    <w:rsid w:val="00FB22F4"/>
    <w:rsid w:val="00FB2E81"/>
    <w:rsid w:val="00FB317F"/>
    <w:rsid w:val="00FB36C2"/>
    <w:rsid w:val="00FB374B"/>
    <w:rsid w:val="00FB42B3"/>
    <w:rsid w:val="00FB440E"/>
    <w:rsid w:val="00FB45A3"/>
    <w:rsid w:val="00FB6659"/>
    <w:rsid w:val="00FB7262"/>
    <w:rsid w:val="00FC08C0"/>
    <w:rsid w:val="00FC093E"/>
    <w:rsid w:val="00FC0C5A"/>
    <w:rsid w:val="00FC1EE7"/>
    <w:rsid w:val="00FC3CCD"/>
    <w:rsid w:val="00FC3EAC"/>
    <w:rsid w:val="00FC4A52"/>
    <w:rsid w:val="00FC5A0D"/>
    <w:rsid w:val="00FC5FB0"/>
    <w:rsid w:val="00FC6870"/>
    <w:rsid w:val="00FD24F9"/>
    <w:rsid w:val="00FD273B"/>
    <w:rsid w:val="00FD2A90"/>
    <w:rsid w:val="00FD44C8"/>
    <w:rsid w:val="00FD5161"/>
    <w:rsid w:val="00FD56A3"/>
    <w:rsid w:val="00FD5C47"/>
    <w:rsid w:val="00FD67A8"/>
    <w:rsid w:val="00FD67C7"/>
    <w:rsid w:val="00FD680C"/>
    <w:rsid w:val="00FD697F"/>
    <w:rsid w:val="00FD7BAD"/>
    <w:rsid w:val="00FE05C2"/>
    <w:rsid w:val="00FE220B"/>
    <w:rsid w:val="00FE35A0"/>
    <w:rsid w:val="00FE45CD"/>
    <w:rsid w:val="00FE460B"/>
    <w:rsid w:val="00FE46FE"/>
    <w:rsid w:val="00FE4A67"/>
    <w:rsid w:val="00FE4F0F"/>
    <w:rsid w:val="00FE5045"/>
    <w:rsid w:val="00FE51F1"/>
    <w:rsid w:val="00FE5D3F"/>
    <w:rsid w:val="00FE60C7"/>
    <w:rsid w:val="00FE6B14"/>
    <w:rsid w:val="00FE77C8"/>
    <w:rsid w:val="00FF15F1"/>
    <w:rsid w:val="00FF1962"/>
    <w:rsid w:val="00FF1A9B"/>
    <w:rsid w:val="00FF23F2"/>
    <w:rsid w:val="00FF2C6E"/>
    <w:rsid w:val="00FF2E7B"/>
    <w:rsid w:val="00FF3A97"/>
    <w:rsid w:val="00FF4850"/>
    <w:rsid w:val="00FF583B"/>
    <w:rsid w:val="00FF5EFD"/>
    <w:rsid w:val="00FF5F3E"/>
    <w:rsid w:val="00FF6E3E"/>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6BC239-999C-41A2-A24A-63659475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5D3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D23B83"/>
    <w:pPr>
      <w:ind w:left="720"/>
      <w:contextualSpacing/>
    </w:pPr>
  </w:style>
  <w:style w:type="paragraph" w:styleId="Header">
    <w:name w:val="header"/>
    <w:basedOn w:val="Normal"/>
    <w:link w:val="HeaderChar"/>
    <w:uiPriority w:val="99"/>
    <w:unhideWhenUsed/>
    <w:rsid w:val="004A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B7"/>
  </w:style>
  <w:style w:type="paragraph" w:styleId="Footer">
    <w:name w:val="footer"/>
    <w:basedOn w:val="Normal"/>
    <w:link w:val="FooterChar"/>
    <w:uiPriority w:val="99"/>
    <w:unhideWhenUsed/>
    <w:rsid w:val="004A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B7"/>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864F09"/>
    <w:pPr>
      <w:spacing w:after="0" w:line="240" w:lineRule="auto"/>
    </w:pPr>
    <w:rPr>
      <w:sz w:val="20"/>
      <w:szCs w:val="20"/>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link w:val="FootnoteText"/>
    <w:uiPriority w:val="99"/>
    <w:rsid w:val="00864F09"/>
    <w:rPr>
      <w:sz w:val="20"/>
      <w:szCs w:val="20"/>
    </w:rPr>
  </w:style>
  <w:style w:type="character" w:styleId="FootnoteReference">
    <w:name w:val="footnote reference"/>
    <w:aliases w:val="ftref,Fußnotenzeichen_Raxen,note bp,16 Point,Superscript 6 Point,Footnotes refss, BVI fnr Char,BVI fnr Char, BVI fnr Car Car Char,BVI fnr Car Char, BVI fnr Car Car Car Car Char1, BVI fnr Car Car Car Car Char Car Char Char,BVI fnr"/>
    <w:link w:val="BVIfnrCarCar"/>
    <w:uiPriority w:val="99"/>
    <w:unhideWhenUsed/>
    <w:rsid w:val="00864F09"/>
    <w:rPr>
      <w:vertAlign w:val="superscript"/>
    </w:rPr>
  </w:style>
  <w:style w:type="character" w:styleId="Hyperlink">
    <w:name w:val="Hyperlink"/>
    <w:uiPriority w:val="99"/>
    <w:unhideWhenUsed/>
    <w:rsid w:val="00DC1B5F"/>
    <w:rPr>
      <w:color w:val="0000FF"/>
      <w:u w:val="single"/>
    </w:rPr>
  </w:style>
  <w:style w:type="character" w:styleId="CommentReference">
    <w:name w:val="annotation reference"/>
    <w:uiPriority w:val="99"/>
    <w:semiHidden/>
    <w:unhideWhenUsed/>
    <w:rsid w:val="00BD7EA9"/>
    <w:rPr>
      <w:sz w:val="16"/>
      <w:szCs w:val="16"/>
    </w:rPr>
  </w:style>
  <w:style w:type="paragraph" w:styleId="CommentText">
    <w:name w:val="annotation text"/>
    <w:basedOn w:val="Normal"/>
    <w:link w:val="CommentTextChar"/>
    <w:uiPriority w:val="99"/>
    <w:semiHidden/>
    <w:unhideWhenUsed/>
    <w:rsid w:val="00BD7EA9"/>
    <w:pPr>
      <w:spacing w:line="240" w:lineRule="auto"/>
    </w:pPr>
    <w:rPr>
      <w:sz w:val="20"/>
      <w:szCs w:val="20"/>
    </w:rPr>
  </w:style>
  <w:style w:type="character" w:customStyle="1" w:styleId="CommentTextChar">
    <w:name w:val="Comment Text Char"/>
    <w:link w:val="CommentText"/>
    <w:uiPriority w:val="99"/>
    <w:semiHidden/>
    <w:rsid w:val="00BD7EA9"/>
    <w:rPr>
      <w:sz w:val="20"/>
      <w:szCs w:val="20"/>
    </w:rPr>
  </w:style>
  <w:style w:type="paragraph" w:styleId="CommentSubject">
    <w:name w:val="annotation subject"/>
    <w:basedOn w:val="CommentText"/>
    <w:next w:val="CommentText"/>
    <w:link w:val="CommentSubjectChar"/>
    <w:uiPriority w:val="99"/>
    <w:semiHidden/>
    <w:unhideWhenUsed/>
    <w:rsid w:val="00BD7EA9"/>
    <w:rPr>
      <w:b/>
      <w:bCs/>
    </w:rPr>
  </w:style>
  <w:style w:type="character" w:customStyle="1" w:styleId="CommentSubjectChar">
    <w:name w:val="Comment Subject Char"/>
    <w:link w:val="CommentSubject"/>
    <w:uiPriority w:val="99"/>
    <w:semiHidden/>
    <w:rsid w:val="00BD7EA9"/>
    <w:rPr>
      <w:b/>
      <w:bCs/>
      <w:sz w:val="20"/>
      <w:szCs w:val="20"/>
    </w:rPr>
  </w:style>
  <w:style w:type="paragraph" w:styleId="BalloonText">
    <w:name w:val="Balloon Text"/>
    <w:basedOn w:val="Normal"/>
    <w:link w:val="BalloonTextChar"/>
    <w:uiPriority w:val="99"/>
    <w:semiHidden/>
    <w:unhideWhenUsed/>
    <w:rsid w:val="00BD7E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A9"/>
    <w:rPr>
      <w:rFonts w:ascii="Tahoma" w:hAnsi="Tahoma" w:cs="Tahoma"/>
      <w:sz w:val="16"/>
      <w:szCs w:val="16"/>
    </w:rPr>
  </w:style>
  <w:style w:type="paragraph" w:customStyle="1" w:styleId="LightGrid-Accent31">
    <w:name w:val="Light Grid - Accent 31"/>
    <w:basedOn w:val="Normal"/>
    <w:uiPriority w:val="34"/>
    <w:qFormat/>
    <w:rsid w:val="00253411"/>
    <w:pPr>
      <w:ind w:left="720"/>
      <w:contextualSpacing/>
    </w:pPr>
  </w:style>
  <w:style w:type="paragraph" w:customStyle="1" w:styleId="BVIfnrCarCar">
    <w:name w:val="BVI fnr Car Car"/>
    <w:aliases w:val="BVI fnr Car,BVI fnr Car Car Car Car"/>
    <w:basedOn w:val="Normal"/>
    <w:link w:val="FootnoteReference"/>
    <w:uiPriority w:val="99"/>
    <w:rsid w:val="008E17D8"/>
    <w:pPr>
      <w:spacing w:after="160" w:line="240" w:lineRule="exact"/>
    </w:pPr>
    <w:rPr>
      <w:sz w:val="20"/>
      <w:szCs w:val="20"/>
      <w:vertAlign w:val="superscript"/>
    </w:rPr>
  </w:style>
  <w:style w:type="character" w:customStyle="1" w:styleId="Heading1Char">
    <w:name w:val="Heading 1 Char"/>
    <w:link w:val="Heading1"/>
    <w:uiPriority w:val="9"/>
    <w:rsid w:val="00AD5D35"/>
    <w:rPr>
      <w:rFonts w:ascii="Calibri Light" w:eastAsia="Times New Roman" w:hAnsi="Calibri Light" w:cs="Times New Roman"/>
      <w:b/>
      <w:bCs/>
      <w:kern w:val="32"/>
      <w:sz w:val="32"/>
      <w:szCs w:val="32"/>
    </w:rPr>
  </w:style>
  <w:style w:type="paragraph" w:customStyle="1" w:styleId="ColorfulList-Accent11">
    <w:name w:val="Colorful List - Accent 11"/>
    <w:basedOn w:val="Normal"/>
    <w:uiPriority w:val="34"/>
    <w:qFormat/>
    <w:rsid w:val="000C32F5"/>
    <w:pPr>
      <w:ind w:left="720"/>
    </w:pPr>
  </w:style>
  <w:style w:type="table" w:styleId="TableGrid">
    <w:name w:val="Table Grid"/>
    <w:basedOn w:val="TableNormal"/>
    <w:uiPriority w:val="39"/>
    <w:rsid w:val="00B015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24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EBA"/>
    <w:pPr>
      <w:ind w:left="720"/>
    </w:pPr>
  </w:style>
  <w:style w:type="paragraph" w:styleId="Revision">
    <w:name w:val="Revision"/>
    <w:hidden/>
    <w:uiPriority w:val="99"/>
    <w:semiHidden/>
    <w:rsid w:val="00DE752A"/>
    <w:rPr>
      <w:sz w:val="22"/>
      <w:szCs w:val="22"/>
    </w:rPr>
  </w:style>
  <w:style w:type="paragraph" w:styleId="Caption">
    <w:name w:val="caption"/>
    <w:basedOn w:val="Normal"/>
    <w:next w:val="Normal"/>
    <w:uiPriority w:val="35"/>
    <w:unhideWhenUsed/>
    <w:qFormat/>
    <w:rsid w:val="00AA5D8C"/>
    <w:pPr>
      <w:spacing w:line="240" w:lineRule="auto"/>
    </w:pPr>
    <w:rPr>
      <w:b/>
      <w:bCs/>
      <w:color w:val="5B9BD5" w:themeColor="accent1"/>
      <w:sz w:val="18"/>
      <w:szCs w:val="18"/>
    </w:rPr>
  </w:style>
  <w:style w:type="paragraph" w:styleId="NoSpacing">
    <w:name w:val="No Spacing"/>
    <w:uiPriority w:val="1"/>
    <w:qFormat/>
    <w:rsid w:val="00B02159"/>
    <w:rPr>
      <w:sz w:val="22"/>
      <w:szCs w:val="22"/>
    </w:rPr>
  </w:style>
  <w:style w:type="character" w:styleId="FollowedHyperlink">
    <w:name w:val="FollowedHyperlink"/>
    <w:basedOn w:val="DefaultParagraphFont"/>
    <w:uiPriority w:val="99"/>
    <w:semiHidden/>
    <w:unhideWhenUsed/>
    <w:rsid w:val="00625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1074">
      <w:bodyDiv w:val="1"/>
      <w:marLeft w:val="0"/>
      <w:marRight w:val="0"/>
      <w:marTop w:val="0"/>
      <w:marBottom w:val="0"/>
      <w:divBdr>
        <w:top w:val="none" w:sz="0" w:space="0" w:color="auto"/>
        <w:left w:val="none" w:sz="0" w:space="0" w:color="auto"/>
        <w:bottom w:val="none" w:sz="0" w:space="0" w:color="auto"/>
        <w:right w:val="none" w:sz="0" w:space="0" w:color="auto"/>
      </w:divBdr>
      <w:divsChild>
        <w:div w:id="111436314">
          <w:marLeft w:val="0"/>
          <w:marRight w:val="0"/>
          <w:marTop w:val="0"/>
          <w:marBottom w:val="0"/>
          <w:divBdr>
            <w:top w:val="none" w:sz="0" w:space="0" w:color="auto"/>
            <w:left w:val="none" w:sz="0" w:space="0" w:color="auto"/>
            <w:bottom w:val="none" w:sz="0" w:space="0" w:color="auto"/>
            <w:right w:val="none" w:sz="0" w:space="0" w:color="auto"/>
          </w:divBdr>
          <w:divsChild>
            <w:div w:id="565845718">
              <w:marLeft w:val="0"/>
              <w:marRight w:val="0"/>
              <w:marTop w:val="525"/>
              <w:marBottom w:val="0"/>
              <w:divBdr>
                <w:top w:val="none" w:sz="0" w:space="0" w:color="auto"/>
                <w:left w:val="none" w:sz="0" w:space="0" w:color="auto"/>
                <w:bottom w:val="none" w:sz="0" w:space="0" w:color="auto"/>
                <w:right w:val="none" w:sz="0" w:space="0" w:color="auto"/>
              </w:divBdr>
              <w:divsChild>
                <w:div w:id="1139881795">
                  <w:marLeft w:val="0"/>
                  <w:marRight w:val="0"/>
                  <w:marTop w:val="0"/>
                  <w:marBottom w:val="0"/>
                  <w:divBdr>
                    <w:top w:val="none" w:sz="0" w:space="0" w:color="auto"/>
                    <w:left w:val="none" w:sz="0" w:space="0" w:color="auto"/>
                    <w:bottom w:val="none" w:sz="0" w:space="0" w:color="auto"/>
                    <w:right w:val="none" w:sz="0" w:space="0" w:color="auto"/>
                  </w:divBdr>
                  <w:divsChild>
                    <w:div w:id="804662096">
                      <w:marLeft w:val="0"/>
                      <w:marRight w:val="300"/>
                      <w:marTop w:val="0"/>
                      <w:marBottom w:val="0"/>
                      <w:divBdr>
                        <w:top w:val="none" w:sz="0" w:space="0" w:color="auto"/>
                        <w:left w:val="none" w:sz="0" w:space="0" w:color="auto"/>
                        <w:bottom w:val="none" w:sz="0" w:space="0" w:color="auto"/>
                        <w:right w:val="none" w:sz="0" w:space="0" w:color="auto"/>
                      </w:divBdr>
                      <w:divsChild>
                        <w:div w:id="1131632314">
                          <w:marLeft w:val="0"/>
                          <w:marRight w:val="0"/>
                          <w:marTop w:val="0"/>
                          <w:marBottom w:val="0"/>
                          <w:divBdr>
                            <w:top w:val="none" w:sz="0" w:space="0" w:color="auto"/>
                            <w:left w:val="none" w:sz="0" w:space="0" w:color="auto"/>
                            <w:bottom w:val="none" w:sz="0" w:space="0" w:color="auto"/>
                            <w:right w:val="none" w:sz="0" w:space="0" w:color="auto"/>
                          </w:divBdr>
                          <w:divsChild>
                            <w:div w:id="1283731401">
                              <w:marLeft w:val="0"/>
                              <w:marRight w:val="0"/>
                              <w:marTop w:val="0"/>
                              <w:marBottom w:val="0"/>
                              <w:divBdr>
                                <w:top w:val="none" w:sz="0" w:space="0" w:color="auto"/>
                                <w:left w:val="none" w:sz="0" w:space="0" w:color="auto"/>
                                <w:bottom w:val="none" w:sz="0" w:space="0" w:color="auto"/>
                                <w:right w:val="none" w:sz="0" w:space="0" w:color="auto"/>
                              </w:divBdr>
                              <w:divsChild>
                                <w:div w:id="4083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2748">
      <w:bodyDiv w:val="1"/>
      <w:marLeft w:val="0"/>
      <w:marRight w:val="0"/>
      <w:marTop w:val="0"/>
      <w:marBottom w:val="0"/>
      <w:divBdr>
        <w:top w:val="none" w:sz="0" w:space="0" w:color="auto"/>
        <w:left w:val="none" w:sz="0" w:space="0" w:color="auto"/>
        <w:bottom w:val="none" w:sz="0" w:space="0" w:color="auto"/>
        <w:right w:val="none" w:sz="0" w:space="0" w:color="auto"/>
      </w:divBdr>
      <w:divsChild>
        <w:div w:id="1483306757">
          <w:marLeft w:val="0"/>
          <w:marRight w:val="0"/>
          <w:marTop w:val="0"/>
          <w:marBottom w:val="0"/>
          <w:divBdr>
            <w:top w:val="none" w:sz="0" w:space="0" w:color="auto"/>
            <w:left w:val="none" w:sz="0" w:space="0" w:color="auto"/>
            <w:bottom w:val="none" w:sz="0" w:space="0" w:color="auto"/>
            <w:right w:val="none" w:sz="0" w:space="0" w:color="auto"/>
          </w:divBdr>
          <w:divsChild>
            <w:div w:id="1254627355">
              <w:marLeft w:val="0"/>
              <w:marRight w:val="0"/>
              <w:marTop w:val="525"/>
              <w:marBottom w:val="0"/>
              <w:divBdr>
                <w:top w:val="none" w:sz="0" w:space="0" w:color="auto"/>
                <w:left w:val="none" w:sz="0" w:space="0" w:color="auto"/>
                <w:bottom w:val="none" w:sz="0" w:space="0" w:color="auto"/>
                <w:right w:val="none" w:sz="0" w:space="0" w:color="auto"/>
              </w:divBdr>
              <w:divsChild>
                <w:div w:id="372584069">
                  <w:marLeft w:val="0"/>
                  <w:marRight w:val="0"/>
                  <w:marTop w:val="0"/>
                  <w:marBottom w:val="0"/>
                  <w:divBdr>
                    <w:top w:val="none" w:sz="0" w:space="0" w:color="auto"/>
                    <w:left w:val="none" w:sz="0" w:space="0" w:color="auto"/>
                    <w:bottom w:val="none" w:sz="0" w:space="0" w:color="auto"/>
                    <w:right w:val="none" w:sz="0" w:space="0" w:color="auto"/>
                  </w:divBdr>
                  <w:divsChild>
                    <w:div w:id="204106103">
                      <w:marLeft w:val="0"/>
                      <w:marRight w:val="300"/>
                      <w:marTop w:val="0"/>
                      <w:marBottom w:val="0"/>
                      <w:divBdr>
                        <w:top w:val="none" w:sz="0" w:space="0" w:color="auto"/>
                        <w:left w:val="none" w:sz="0" w:space="0" w:color="auto"/>
                        <w:bottom w:val="none" w:sz="0" w:space="0" w:color="auto"/>
                        <w:right w:val="none" w:sz="0" w:space="0" w:color="auto"/>
                      </w:divBdr>
                      <w:divsChild>
                        <w:div w:id="1582910223">
                          <w:marLeft w:val="0"/>
                          <w:marRight w:val="0"/>
                          <w:marTop w:val="0"/>
                          <w:marBottom w:val="0"/>
                          <w:divBdr>
                            <w:top w:val="none" w:sz="0" w:space="0" w:color="auto"/>
                            <w:left w:val="none" w:sz="0" w:space="0" w:color="auto"/>
                            <w:bottom w:val="none" w:sz="0" w:space="0" w:color="auto"/>
                            <w:right w:val="none" w:sz="0" w:space="0" w:color="auto"/>
                          </w:divBdr>
                          <w:divsChild>
                            <w:div w:id="441456487">
                              <w:marLeft w:val="0"/>
                              <w:marRight w:val="0"/>
                              <w:marTop w:val="0"/>
                              <w:marBottom w:val="0"/>
                              <w:divBdr>
                                <w:top w:val="none" w:sz="0" w:space="0" w:color="auto"/>
                                <w:left w:val="none" w:sz="0" w:space="0" w:color="auto"/>
                                <w:bottom w:val="none" w:sz="0" w:space="0" w:color="auto"/>
                                <w:right w:val="none" w:sz="0" w:space="0" w:color="auto"/>
                              </w:divBdr>
                              <w:divsChild>
                                <w:div w:id="16886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220732">
      <w:bodyDiv w:val="1"/>
      <w:marLeft w:val="0"/>
      <w:marRight w:val="0"/>
      <w:marTop w:val="0"/>
      <w:marBottom w:val="0"/>
      <w:divBdr>
        <w:top w:val="none" w:sz="0" w:space="0" w:color="auto"/>
        <w:left w:val="none" w:sz="0" w:space="0" w:color="auto"/>
        <w:bottom w:val="none" w:sz="0" w:space="0" w:color="auto"/>
        <w:right w:val="none" w:sz="0" w:space="0" w:color="auto"/>
      </w:divBdr>
    </w:div>
    <w:div w:id="676267906">
      <w:bodyDiv w:val="1"/>
      <w:marLeft w:val="0"/>
      <w:marRight w:val="0"/>
      <w:marTop w:val="0"/>
      <w:marBottom w:val="0"/>
      <w:divBdr>
        <w:top w:val="none" w:sz="0" w:space="0" w:color="auto"/>
        <w:left w:val="none" w:sz="0" w:space="0" w:color="auto"/>
        <w:bottom w:val="none" w:sz="0" w:space="0" w:color="auto"/>
        <w:right w:val="none" w:sz="0" w:space="0" w:color="auto"/>
      </w:divBdr>
      <w:divsChild>
        <w:div w:id="1799949114">
          <w:marLeft w:val="0"/>
          <w:marRight w:val="0"/>
          <w:marTop w:val="0"/>
          <w:marBottom w:val="0"/>
          <w:divBdr>
            <w:top w:val="none" w:sz="0" w:space="0" w:color="auto"/>
            <w:left w:val="none" w:sz="0" w:space="0" w:color="auto"/>
            <w:bottom w:val="none" w:sz="0" w:space="0" w:color="auto"/>
            <w:right w:val="none" w:sz="0" w:space="0" w:color="auto"/>
          </w:divBdr>
          <w:divsChild>
            <w:div w:id="1545366108">
              <w:marLeft w:val="0"/>
              <w:marRight w:val="0"/>
              <w:marTop w:val="525"/>
              <w:marBottom w:val="0"/>
              <w:divBdr>
                <w:top w:val="none" w:sz="0" w:space="0" w:color="auto"/>
                <w:left w:val="none" w:sz="0" w:space="0" w:color="auto"/>
                <w:bottom w:val="none" w:sz="0" w:space="0" w:color="auto"/>
                <w:right w:val="none" w:sz="0" w:space="0" w:color="auto"/>
              </w:divBdr>
              <w:divsChild>
                <w:div w:id="891118328">
                  <w:marLeft w:val="0"/>
                  <w:marRight w:val="0"/>
                  <w:marTop w:val="0"/>
                  <w:marBottom w:val="0"/>
                  <w:divBdr>
                    <w:top w:val="none" w:sz="0" w:space="0" w:color="auto"/>
                    <w:left w:val="none" w:sz="0" w:space="0" w:color="auto"/>
                    <w:bottom w:val="none" w:sz="0" w:space="0" w:color="auto"/>
                    <w:right w:val="none" w:sz="0" w:space="0" w:color="auto"/>
                  </w:divBdr>
                  <w:divsChild>
                    <w:div w:id="1088425299">
                      <w:marLeft w:val="0"/>
                      <w:marRight w:val="300"/>
                      <w:marTop w:val="0"/>
                      <w:marBottom w:val="0"/>
                      <w:divBdr>
                        <w:top w:val="none" w:sz="0" w:space="0" w:color="auto"/>
                        <w:left w:val="none" w:sz="0" w:space="0" w:color="auto"/>
                        <w:bottom w:val="none" w:sz="0" w:space="0" w:color="auto"/>
                        <w:right w:val="none" w:sz="0" w:space="0" w:color="auto"/>
                      </w:divBdr>
                      <w:divsChild>
                        <w:div w:id="1806463503">
                          <w:marLeft w:val="0"/>
                          <w:marRight w:val="0"/>
                          <w:marTop w:val="0"/>
                          <w:marBottom w:val="0"/>
                          <w:divBdr>
                            <w:top w:val="none" w:sz="0" w:space="0" w:color="auto"/>
                            <w:left w:val="none" w:sz="0" w:space="0" w:color="auto"/>
                            <w:bottom w:val="none" w:sz="0" w:space="0" w:color="auto"/>
                            <w:right w:val="none" w:sz="0" w:space="0" w:color="auto"/>
                          </w:divBdr>
                          <w:divsChild>
                            <w:div w:id="1120103631">
                              <w:marLeft w:val="0"/>
                              <w:marRight w:val="0"/>
                              <w:marTop w:val="0"/>
                              <w:marBottom w:val="0"/>
                              <w:divBdr>
                                <w:top w:val="none" w:sz="0" w:space="0" w:color="auto"/>
                                <w:left w:val="none" w:sz="0" w:space="0" w:color="auto"/>
                                <w:bottom w:val="none" w:sz="0" w:space="0" w:color="auto"/>
                                <w:right w:val="none" w:sz="0" w:space="0" w:color="auto"/>
                              </w:divBdr>
                              <w:divsChild>
                                <w:div w:id="3462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9781">
      <w:bodyDiv w:val="1"/>
      <w:marLeft w:val="0"/>
      <w:marRight w:val="0"/>
      <w:marTop w:val="0"/>
      <w:marBottom w:val="0"/>
      <w:divBdr>
        <w:top w:val="none" w:sz="0" w:space="0" w:color="auto"/>
        <w:left w:val="none" w:sz="0" w:space="0" w:color="auto"/>
        <w:bottom w:val="none" w:sz="0" w:space="0" w:color="auto"/>
        <w:right w:val="none" w:sz="0" w:space="0" w:color="auto"/>
      </w:divBdr>
      <w:divsChild>
        <w:div w:id="1116094660">
          <w:marLeft w:val="0"/>
          <w:marRight w:val="0"/>
          <w:marTop w:val="0"/>
          <w:marBottom w:val="0"/>
          <w:divBdr>
            <w:top w:val="none" w:sz="0" w:space="0" w:color="auto"/>
            <w:left w:val="none" w:sz="0" w:space="0" w:color="auto"/>
            <w:bottom w:val="none" w:sz="0" w:space="0" w:color="auto"/>
            <w:right w:val="none" w:sz="0" w:space="0" w:color="auto"/>
          </w:divBdr>
          <w:divsChild>
            <w:div w:id="1752237278">
              <w:marLeft w:val="0"/>
              <w:marRight w:val="0"/>
              <w:marTop w:val="525"/>
              <w:marBottom w:val="0"/>
              <w:divBdr>
                <w:top w:val="none" w:sz="0" w:space="0" w:color="auto"/>
                <w:left w:val="none" w:sz="0" w:space="0" w:color="auto"/>
                <w:bottom w:val="none" w:sz="0" w:space="0" w:color="auto"/>
                <w:right w:val="none" w:sz="0" w:space="0" w:color="auto"/>
              </w:divBdr>
              <w:divsChild>
                <w:div w:id="1172642931">
                  <w:marLeft w:val="0"/>
                  <w:marRight w:val="0"/>
                  <w:marTop w:val="0"/>
                  <w:marBottom w:val="0"/>
                  <w:divBdr>
                    <w:top w:val="none" w:sz="0" w:space="0" w:color="auto"/>
                    <w:left w:val="none" w:sz="0" w:space="0" w:color="auto"/>
                    <w:bottom w:val="none" w:sz="0" w:space="0" w:color="auto"/>
                    <w:right w:val="none" w:sz="0" w:space="0" w:color="auto"/>
                  </w:divBdr>
                  <w:divsChild>
                    <w:div w:id="1727802676">
                      <w:marLeft w:val="0"/>
                      <w:marRight w:val="300"/>
                      <w:marTop w:val="0"/>
                      <w:marBottom w:val="0"/>
                      <w:divBdr>
                        <w:top w:val="none" w:sz="0" w:space="0" w:color="auto"/>
                        <w:left w:val="none" w:sz="0" w:space="0" w:color="auto"/>
                        <w:bottom w:val="none" w:sz="0" w:space="0" w:color="auto"/>
                        <w:right w:val="none" w:sz="0" w:space="0" w:color="auto"/>
                      </w:divBdr>
                      <w:divsChild>
                        <w:div w:id="1118717613">
                          <w:marLeft w:val="0"/>
                          <w:marRight w:val="0"/>
                          <w:marTop w:val="0"/>
                          <w:marBottom w:val="0"/>
                          <w:divBdr>
                            <w:top w:val="none" w:sz="0" w:space="0" w:color="auto"/>
                            <w:left w:val="none" w:sz="0" w:space="0" w:color="auto"/>
                            <w:bottom w:val="none" w:sz="0" w:space="0" w:color="auto"/>
                            <w:right w:val="none" w:sz="0" w:space="0" w:color="auto"/>
                          </w:divBdr>
                          <w:divsChild>
                            <w:div w:id="829061494">
                              <w:marLeft w:val="0"/>
                              <w:marRight w:val="0"/>
                              <w:marTop w:val="0"/>
                              <w:marBottom w:val="0"/>
                              <w:divBdr>
                                <w:top w:val="none" w:sz="0" w:space="0" w:color="auto"/>
                                <w:left w:val="none" w:sz="0" w:space="0" w:color="auto"/>
                                <w:bottom w:val="none" w:sz="0" w:space="0" w:color="auto"/>
                                <w:right w:val="none" w:sz="0" w:space="0" w:color="auto"/>
                              </w:divBdr>
                              <w:divsChild>
                                <w:div w:id="496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85817">
      <w:bodyDiv w:val="1"/>
      <w:marLeft w:val="0"/>
      <w:marRight w:val="0"/>
      <w:marTop w:val="0"/>
      <w:marBottom w:val="0"/>
      <w:divBdr>
        <w:top w:val="none" w:sz="0" w:space="0" w:color="auto"/>
        <w:left w:val="none" w:sz="0" w:space="0" w:color="auto"/>
        <w:bottom w:val="none" w:sz="0" w:space="0" w:color="auto"/>
        <w:right w:val="none" w:sz="0" w:space="0" w:color="auto"/>
      </w:divBdr>
    </w:div>
    <w:div w:id="881600383">
      <w:bodyDiv w:val="1"/>
      <w:marLeft w:val="0"/>
      <w:marRight w:val="0"/>
      <w:marTop w:val="0"/>
      <w:marBottom w:val="0"/>
      <w:divBdr>
        <w:top w:val="none" w:sz="0" w:space="0" w:color="auto"/>
        <w:left w:val="none" w:sz="0" w:space="0" w:color="auto"/>
        <w:bottom w:val="none" w:sz="0" w:space="0" w:color="auto"/>
        <w:right w:val="none" w:sz="0" w:space="0" w:color="auto"/>
      </w:divBdr>
      <w:divsChild>
        <w:div w:id="1582135105">
          <w:marLeft w:val="0"/>
          <w:marRight w:val="0"/>
          <w:marTop w:val="0"/>
          <w:marBottom w:val="0"/>
          <w:divBdr>
            <w:top w:val="none" w:sz="0" w:space="0" w:color="auto"/>
            <w:left w:val="none" w:sz="0" w:space="0" w:color="auto"/>
            <w:bottom w:val="none" w:sz="0" w:space="0" w:color="auto"/>
            <w:right w:val="none" w:sz="0" w:space="0" w:color="auto"/>
          </w:divBdr>
          <w:divsChild>
            <w:div w:id="745303710">
              <w:marLeft w:val="0"/>
              <w:marRight w:val="0"/>
              <w:marTop w:val="525"/>
              <w:marBottom w:val="0"/>
              <w:divBdr>
                <w:top w:val="none" w:sz="0" w:space="0" w:color="auto"/>
                <w:left w:val="none" w:sz="0" w:space="0" w:color="auto"/>
                <w:bottom w:val="none" w:sz="0" w:space="0" w:color="auto"/>
                <w:right w:val="none" w:sz="0" w:space="0" w:color="auto"/>
              </w:divBdr>
              <w:divsChild>
                <w:div w:id="1019165024">
                  <w:marLeft w:val="0"/>
                  <w:marRight w:val="0"/>
                  <w:marTop w:val="0"/>
                  <w:marBottom w:val="0"/>
                  <w:divBdr>
                    <w:top w:val="none" w:sz="0" w:space="0" w:color="auto"/>
                    <w:left w:val="none" w:sz="0" w:space="0" w:color="auto"/>
                    <w:bottom w:val="none" w:sz="0" w:space="0" w:color="auto"/>
                    <w:right w:val="none" w:sz="0" w:space="0" w:color="auto"/>
                  </w:divBdr>
                  <w:divsChild>
                    <w:div w:id="1820419291">
                      <w:marLeft w:val="0"/>
                      <w:marRight w:val="300"/>
                      <w:marTop w:val="0"/>
                      <w:marBottom w:val="0"/>
                      <w:divBdr>
                        <w:top w:val="none" w:sz="0" w:space="0" w:color="auto"/>
                        <w:left w:val="none" w:sz="0" w:space="0" w:color="auto"/>
                        <w:bottom w:val="none" w:sz="0" w:space="0" w:color="auto"/>
                        <w:right w:val="none" w:sz="0" w:space="0" w:color="auto"/>
                      </w:divBdr>
                      <w:divsChild>
                        <w:div w:id="129516705">
                          <w:marLeft w:val="0"/>
                          <w:marRight w:val="0"/>
                          <w:marTop w:val="0"/>
                          <w:marBottom w:val="0"/>
                          <w:divBdr>
                            <w:top w:val="none" w:sz="0" w:space="0" w:color="auto"/>
                            <w:left w:val="none" w:sz="0" w:space="0" w:color="auto"/>
                            <w:bottom w:val="none" w:sz="0" w:space="0" w:color="auto"/>
                            <w:right w:val="none" w:sz="0" w:space="0" w:color="auto"/>
                          </w:divBdr>
                          <w:divsChild>
                            <w:div w:id="984627321">
                              <w:marLeft w:val="0"/>
                              <w:marRight w:val="0"/>
                              <w:marTop w:val="0"/>
                              <w:marBottom w:val="0"/>
                              <w:divBdr>
                                <w:top w:val="none" w:sz="0" w:space="0" w:color="auto"/>
                                <w:left w:val="none" w:sz="0" w:space="0" w:color="auto"/>
                                <w:bottom w:val="none" w:sz="0" w:space="0" w:color="auto"/>
                                <w:right w:val="none" w:sz="0" w:space="0" w:color="auto"/>
                              </w:divBdr>
                              <w:divsChild>
                                <w:div w:id="5788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22942">
      <w:bodyDiv w:val="1"/>
      <w:marLeft w:val="0"/>
      <w:marRight w:val="0"/>
      <w:marTop w:val="0"/>
      <w:marBottom w:val="0"/>
      <w:divBdr>
        <w:top w:val="none" w:sz="0" w:space="0" w:color="auto"/>
        <w:left w:val="none" w:sz="0" w:space="0" w:color="auto"/>
        <w:bottom w:val="none" w:sz="0" w:space="0" w:color="auto"/>
        <w:right w:val="none" w:sz="0" w:space="0" w:color="auto"/>
      </w:divBdr>
    </w:div>
    <w:div w:id="1035694218">
      <w:bodyDiv w:val="1"/>
      <w:marLeft w:val="0"/>
      <w:marRight w:val="0"/>
      <w:marTop w:val="0"/>
      <w:marBottom w:val="0"/>
      <w:divBdr>
        <w:top w:val="none" w:sz="0" w:space="0" w:color="auto"/>
        <w:left w:val="none" w:sz="0" w:space="0" w:color="auto"/>
        <w:bottom w:val="none" w:sz="0" w:space="0" w:color="auto"/>
        <w:right w:val="none" w:sz="0" w:space="0" w:color="auto"/>
      </w:divBdr>
    </w:div>
    <w:div w:id="1130394988">
      <w:bodyDiv w:val="1"/>
      <w:marLeft w:val="0"/>
      <w:marRight w:val="0"/>
      <w:marTop w:val="0"/>
      <w:marBottom w:val="0"/>
      <w:divBdr>
        <w:top w:val="none" w:sz="0" w:space="0" w:color="auto"/>
        <w:left w:val="none" w:sz="0" w:space="0" w:color="auto"/>
        <w:bottom w:val="none" w:sz="0" w:space="0" w:color="auto"/>
        <w:right w:val="none" w:sz="0" w:space="0" w:color="auto"/>
      </w:divBdr>
      <w:divsChild>
        <w:div w:id="63458891">
          <w:marLeft w:val="446"/>
          <w:marRight w:val="0"/>
          <w:marTop w:val="0"/>
          <w:marBottom w:val="120"/>
          <w:divBdr>
            <w:top w:val="none" w:sz="0" w:space="0" w:color="auto"/>
            <w:left w:val="none" w:sz="0" w:space="0" w:color="auto"/>
            <w:bottom w:val="none" w:sz="0" w:space="0" w:color="auto"/>
            <w:right w:val="none" w:sz="0" w:space="0" w:color="auto"/>
          </w:divBdr>
        </w:div>
      </w:divsChild>
    </w:div>
    <w:div w:id="1153790027">
      <w:bodyDiv w:val="1"/>
      <w:marLeft w:val="0"/>
      <w:marRight w:val="0"/>
      <w:marTop w:val="0"/>
      <w:marBottom w:val="0"/>
      <w:divBdr>
        <w:top w:val="none" w:sz="0" w:space="0" w:color="auto"/>
        <w:left w:val="none" w:sz="0" w:space="0" w:color="auto"/>
        <w:bottom w:val="none" w:sz="0" w:space="0" w:color="auto"/>
        <w:right w:val="none" w:sz="0" w:space="0" w:color="auto"/>
      </w:divBdr>
    </w:div>
    <w:div w:id="1243370023">
      <w:bodyDiv w:val="1"/>
      <w:marLeft w:val="0"/>
      <w:marRight w:val="0"/>
      <w:marTop w:val="0"/>
      <w:marBottom w:val="0"/>
      <w:divBdr>
        <w:top w:val="none" w:sz="0" w:space="0" w:color="auto"/>
        <w:left w:val="none" w:sz="0" w:space="0" w:color="auto"/>
        <w:bottom w:val="none" w:sz="0" w:space="0" w:color="auto"/>
        <w:right w:val="none" w:sz="0" w:space="0" w:color="auto"/>
      </w:divBdr>
    </w:div>
    <w:div w:id="1321959340">
      <w:bodyDiv w:val="1"/>
      <w:marLeft w:val="0"/>
      <w:marRight w:val="0"/>
      <w:marTop w:val="0"/>
      <w:marBottom w:val="0"/>
      <w:divBdr>
        <w:top w:val="none" w:sz="0" w:space="0" w:color="auto"/>
        <w:left w:val="none" w:sz="0" w:space="0" w:color="auto"/>
        <w:bottom w:val="none" w:sz="0" w:space="0" w:color="auto"/>
        <w:right w:val="none" w:sz="0" w:space="0" w:color="auto"/>
      </w:divBdr>
    </w:div>
    <w:div w:id="1366128520">
      <w:bodyDiv w:val="1"/>
      <w:marLeft w:val="0"/>
      <w:marRight w:val="0"/>
      <w:marTop w:val="0"/>
      <w:marBottom w:val="0"/>
      <w:divBdr>
        <w:top w:val="none" w:sz="0" w:space="0" w:color="auto"/>
        <w:left w:val="none" w:sz="0" w:space="0" w:color="auto"/>
        <w:bottom w:val="none" w:sz="0" w:space="0" w:color="auto"/>
        <w:right w:val="none" w:sz="0" w:space="0" w:color="auto"/>
      </w:divBdr>
      <w:divsChild>
        <w:div w:id="1277130385">
          <w:marLeft w:val="0"/>
          <w:marRight w:val="0"/>
          <w:marTop w:val="0"/>
          <w:marBottom w:val="0"/>
          <w:divBdr>
            <w:top w:val="none" w:sz="0" w:space="0" w:color="auto"/>
            <w:left w:val="none" w:sz="0" w:space="0" w:color="auto"/>
            <w:bottom w:val="none" w:sz="0" w:space="0" w:color="auto"/>
            <w:right w:val="none" w:sz="0" w:space="0" w:color="auto"/>
          </w:divBdr>
          <w:divsChild>
            <w:div w:id="197398488">
              <w:marLeft w:val="0"/>
              <w:marRight w:val="0"/>
              <w:marTop w:val="525"/>
              <w:marBottom w:val="0"/>
              <w:divBdr>
                <w:top w:val="none" w:sz="0" w:space="0" w:color="auto"/>
                <w:left w:val="none" w:sz="0" w:space="0" w:color="auto"/>
                <w:bottom w:val="none" w:sz="0" w:space="0" w:color="auto"/>
                <w:right w:val="none" w:sz="0" w:space="0" w:color="auto"/>
              </w:divBdr>
              <w:divsChild>
                <w:div w:id="823132467">
                  <w:marLeft w:val="0"/>
                  <w:marRight w:val="0"/>
                  <w:marTop w:val="0"/>
                  <w:marBottom w:val="0"/>
                  <w:divBdr>
                    <w:top w:val="none" w:sz="0" w:space="0" w:color="auto"/>
                    <w:left w:val="none" w:sz="0" w:space="0" w:color="auto"/>
                    <w:bottom w:val="none" w:sz="0" w:space="0" w:color="auto"/>
                    <w:right w:val="none" w:sz="0" w:space="0" w:color="auto"/>
                  </w:divBdr>
                  <w:divsChild>
                    <w:div w:id="2067952980">
                      <w:marLeft w:val="0"/>
                      <w:marRight w:val="300"/>
                      <w:marTop w:val="0"/>
                      <w:marBottom w:val="0"/>
                      <w:divBdr>
                        <w:top w:val="none" w:sz="0" w:space="0" w:color="auto"/>
                        <w:left w:val="none" w:sz="0" w:space="0" w:color="auto"/>
                        <w:bottom w:val="none" w:sz="0" w:space="0" w:color="auto"/>
                        <w:right w:val="none" w:sz="0" w:space="0" w:color="auto"/>
                      </w:divBdr>
                      <w:divsChild>
                        <w:div w:id="680426891">
                          <w:marLeft w:val="0"/>
                          <w:marRight w:val="0"/>
                          <w:marTop w:val="0"/>
                          <w:marBottom w:val="0"/>
                          <w:divBdr>
                            <w:top w:val="none" w:sz="0" w:space="0" w:color="auto"/>
                            <w:left w:val="none" w:sz="0" w:space="0" w:color="auto"/>
                            <w:bottom w:val="none" w:sz="0" w:space="0" w:color="auto"/>
                            <w:right w:val="none" w:sz="0" w:space="0" w:color="auto"/>
                          </w:divBdr>
                          <w:divsChild>
                            <w:div w:id="1996763140">
                              <w:marLeft w:val="0"/>
                              <w:marRight w:val="0"/>
                              <w:marTop w:val="0"/>
                              <w:marBottom w:val="0"/>
                              <w:divBdr>
                                <w:top w:val="none" w:sz="0" w:space="0" w:color="auto"/>
                                <w:left w:val="none" w:sz="0" w:space="0" w:color="auto"/>
                                <w:bottom w:val="none" w:sz="0" w:space="0" w:color="auto"/>
                                <w:right w:val="none" w:sz="0" w:space="0" w:color="auto"/>
                              </w:divBdr>
                              <w:divsChild>
                                <w:div w:id="7144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38990">
      <w:bodyDiv w:val="1"/>
      <w:marLeft w:val="0"/>
      <w:marRight w:val="0"/>
      <w:marTop w:val="0"/>
      <w:marBottom w:val="0"/>
      <w:divBdr>
        <w:top w:val="none" w:sz="0" w:space="0" w:color="auto"/>
        <w:left w:val="none" w:sz="0" w:space="0" w:color="auto"/>
        <w:bottom w:val="none" w:sz="0" w:space="0" w:color="auto"/>
        <w:right w:val="none" w:sz="0" w:space="0" w:color="auto"/>
      </w:divBdr>
    </w:div>
    <w:div w:id="1417823043">
      <w:bodyDiv w:val="1"/>
      <w:marLeft w:val="0"/>
      <w:marRight w:val="0"/>
      <w:marTop w:val="0"/>
      <w:marBottom w:val="0"/>
      <w:divBdr>
        <w:top w:val="none" w:sz="0" w:space="0" w:color="auto"/>
        <w:left w:val="none" w:sz="0" w:space="0" w:color="auto"/>
        <w:bottom w:val="none" w:sz="0" w:space="0" w:color="auto"/>
        <w:right w:val="none" w:sz="0" w:space="0" w:color="auto"/>
      </w:divBdr>
    </w:div>
    <w:div w:id="1465922498">
      <w:bodyDiv w:val="1"/>
      <w:marLeft w:val="0"/>
      <w:marRight w:val="0"/>
      <w:marTop w:val="0"/>
      <w:marBottom w:val="0"/>
      <w:divBdr>
        <w:top w:val="none" w:sz="0" w:space="0" w:color="auto"/>
        <w:left w:val="none" w:sz="0" w:space="0" w:color="auto"/>
        <w:bottom w:val="none" w:sz="0" w:space="0" w:color="auto"/>
        <w:right w:val="none" w:sz="0" w:space="0" w:color="auto"/>
      </w:divBdr>
      <w:divsChild>
        <w:div w:id="1767313294">
          <w:marLeft w:val="0"/>
          <w:marRight w:val="0"/>
          <w:marTop w:val="0"/>
          <w:marBottom w:val="0"/>
          <w:divBdr>
            <w:top w:val="none" w:sz="0" w:space="0" w:color="auto"/>
            <w:left w:val="none" w:sz="0" w:space="0" w:color="auto"/>
            <w:bottom w:val="none" w:sz="0" w:space="0" w:color="auto"/>
            <w:right w:val="none" w:sz="0" w:space="0" w:color="auto"/>
          </w:divBdr>
          <w:divsChild>
            <w:div w:id="2012026787">
              <w:marLeft w:val="0"/>
              <w:marRight w:val="0"/>
              <w:marTop w:val="525"/>
              <w:marBottom w:val="0"/>
              <w:divBdr>
                <w:top w:val="none" w:sz="0" w:space="0" w:color="auto"/>
                <w:left w:val="none" w:sz="0" w:space="0" w:color="auto"/>
                <w:bottom w:val="none" w:sz="0" w:space="0" w:color="auto"/>
                <w:right w:val="none" w:sz="0" w:space="0" w:color="auto"/>
              </w:divBdr>
              <w:divsChild>
                <w:div w:id="2096172449">
                  <w:marLeft w:val="0"/>
                  <w:marRight w:val="0"/>
                  <w:marTop w:val="0"/>
                  <w:marBottom w:val="0"/>
                  <w:divBdr>
                    <w:top w:val="none" w:sz="0" w:space="0" w:color="auto"/>
                    <w:left w:val="none" w:sz="0" w:space="0" w:color="auto"/>
                    <w:bottom w:val="none" w:sz="0" w:space="0" w:color="auto"/>
                    <w:right w:val="none" w:sz="0" w:space="0" w:color="auto"/>
                  </w:divBdr>
                  <w:divsChild>
                    <w:div w:id="1009791052">
                      <w:marLeft w:val="0"/>
                      <w:marRight w:val="300"/>
                      <w:marTop w:val="0"/>
                      <w:marBottom w:val="0"/>
                      <w:divBdr>
                        <w:top w:val="none" w:sz="0" w:space="0" w:color="auto"/>
                        <w:left w:val="none" w:sz="0" w:space="0" w:color="auto"/>
                        <w:bottom w:val="none" w:sz="0" w:space="0" w:color="auto"/>
                        <w:right w:val="none" w:sz="0" w:space="0" w:color="auto"/>
                      </w:divBdr>
                      <w:divsChild>
                        <w:div w:id="337001187">
                          <w:marLeft w:val="0"/>
                          <w:marRight w:val="0"/>
                          <w:marTop w:val="0"/>
                          <w:marBottom w:val="0"/>
                          <w:divBdr>
                            <w:top w:val="none" w:sz="0" w:space="0" w:color="auto"/>
                            <w:left w:val="none" w:sz="0" w:space="0" w:color="auto"/>
                            <w:bottom w:val="none" w:sz="0" w:space="0" w:color="auto"/>
                            <w:right w:val="none" w:sz="0" w:space="0" w:color="auto"/>
                          </w:divBdr>
                          <w:divsChild>
                            <w:div w:id="1912883696">
                              <w:marLeft w:val="0"/>
                              <w:marRight w:val="0"/>
                              <w:marTop w:val="0"/>
                              <w:marBottom w:val="0"/>
                              <w:divBdr>
                                <w:top w:val="none" w:sz="0" w:space="0" w:color="auto"/>
                                <w:left w:val="none" w:sz="0" w:space="0" w:color="auto"/>
                                <w:bottom w:val="none" w:sz="0" w:space="0" w:color="auto"/>
                                <w:right w:val="none" w:sz="0" w:space="0" w:color="auto"/>
                              </w:divBdr>
                              <w:divsChild>
                                <w:div w:id="1207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58417">
      <w:bodyDiv w:val="1"/>
      <w:marLeft w:val="0"/>
      <w:marRight w:val="0"/>
      <w:marTop w:val="0"/>
      <w:marBottom w:val="0"/>
      <w:divBdr>
        <w:top w:val="none" w:sz="0" w:space="0" w:color="auto"/>
        <w:left w:val="none" w:sz="0" w:space="0" w:color="auto"/>
        <w:bottom w:val="none" w:sz="0" w:space="0" w:color="auto"/>
        <w:right w:val="none" w:sz="0" w:space="0" w:color="auto"/>
      </w:divBdr>
    </w:div>
    <w:div w:id="1607617272">
      <w:bodyDiv w:val="1"/>
      <w:marLeft w:val="0"/>
      <w:marRight w:val="0"/>
      <w:marTop w:val="0"/>
      <w:marBottom w:val="0"/>
      <w:divBdr>
        <w:top w:val="none" w:sz="0" w:space="0" w:color="auto"/>
        <w:left w:val="none" w:sz="0" w:space="0" w:color="auto"/>
        <w:bottom w:val="none" w:sz="0" w:space="0" w:color="auto"/>
        <w:right w:val="none" w:sz="0" w:space="0" w:color="auto"/>
      </w:divBdr>
    </w:div>
    <w:div w:id="1690523100">
      <w:bodyDiv w:val="1"/>
      <w:marLeft w:val="0"/>
      <w:marRight w:val="0"/>
      <w:marTop w:val="0"/>
      <w:marBottom w:val="0"/>
      <w:divBdr>
        <w:top w:val="none" w:sz="0" w:space="0" w:color="auto"/>
        <w:left w:val="none" w:sz="0" w:space="0" w:color="auto"/>
        <w:bottom w:val="none" w:sz="0" w:space="0" w:color="auto"/>
        <w:right w:val="none" w:sz="0" w:space="0" w:color="auto"/>
      </w:divBdr>
      <w:divsChild>
        <w:div w:id="744381035">
          <w:marLeft w:val="0"/>
          <w:marRight w:val="0"/>
          <w:marTop w:val="0"/>
          <w:marBottom w:val="0"/>
          <w:divBdr>
            <w:top w:val="none" w:sz="0" w:space="0" w:color="auto"/>
            <w:left w:val="none" w:sz="0" w:space="0" w:color="auto"/>
            <w:bottom w:val="none" w:sz="0" w:space="0" w:color="auto"/>
            <w:right w:val="none" w:sz="0" w:space="0" w:color="auto"/>
          </w:divBdr>
          <w:divsChild>
            <w:div w:id="1332877742">
              <w:marLeft w:val="0"/>
              <w:marRight w:val="0"/>
              <w:marTop w:val="525"/>
              <w:marBottom w:val="0"/>
              <w:divBdr>
                <w:top w:val="none" w:sz="0" w:space="0" w:color="auto"/>
                <w:left w:val="none" w:sz="0" w:space="0" w:color="auto"/>
                <w:bottom w:val="none" w:sz="0" w:space="0" w:color="auto"/>
                <w:right w:val="none" w:sz="0" w:space="0" w:color="auto"/>
              </w:divBdr>
              <w:divsChild>
                <w:div w:id="385639606">
                  <w:marLeft w:val="0"/>
                  <w:marRight w:val="0"/>
                  <w:marTop w:val="0"/>
                  <w:marBottom w:val="0"/>
                  <w:divBdr>
                    <w:top w:val="none" w:sz="0" w:space="0" w:color="auto"/>
                    <w:left w:val="none" w:sz="0" w:space="0" w:color="auto"/>
                    <w:bottom w:val="none" w:sz="0" w:space="0" w:color="auto"/>
                    <w:right w:val="none" w:sz="0" w:space="0" w:color="auto"/>
                  </w:divBdr>
                  <w:divsChild>
                    <w:div w:id="1230120319">
                      <w:marLeft w:val="0"/>
                      <w:marRight w:val="300"/>
                      <w:marTop w:val="0"/>
                      <w:marBottom w:val="0"/>
                      <w:divBdr>
                        <w:top w:val="none" w:sz="0" w:space="0" w:color="auto"/>
                        <w:left w:val="none" w:sz="0" w:space="0" w:color="auto"/>
                        <w:bottom w:val="none" w:sz="0" w:space="0" w:color="auto"/>
                        <w:right w:val="none" w:sz="0" w:space="0" w:color="auto"/>
                      </w:divBdr>
                      <w:divsChild>
                        <w:div w:id="1956403041">
                          <w:marLeft w:val="0"/>
                          <w:marRight w:val="0"/>
                          <w:marTop w:val="0"/>
                          <w:marBottom w:val="0"/>
                          <w:divBdr>
                            <w:top w:val="none" w:sz="0" w:space="0" w:color="auto"/>
                            <w:left w:val="none" w:sz="0" w:space="0" w:color="auto"/>
                            <w:bottom w:val="none" w:sz="0" w:space="0" w:color="auto"/>
                            <w:right w:val="none" w:sz="0" w:space="0" w:color="auto"/>
                          </w:divBdr>
                          <w:divsChild>
                            <w:div w:id="1606036042">
                              <w:marLeft w:val="0"/>
                              <w:marRight w:val="0"/>
                              <w:marTop w:val="0"/>
                              <w:marBottom w:val="0"/>
                              <w:divBdr>
                                <w:top w:val="none" w:sz="0" w:space="0" w:color="auto"/>
                                <w:left w:val="none" w:sz="0" w:space="0" w:color="auto"/>
                                <w:bottom w:val="none" w:sz="0" w:space="0" w:color="auto"/>
                                <w:right w:val="none" w:sz="0" w:space="0" w:color="auto"/>
                              </w:divBdr>
                              <w:divsChild>
                                <w:div w:id="1097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0190">
      <w:bodyDiv w:val="1"/>
      <w:marLeft w:val="0"/>
      <w:marRight w:val="0"/>
      <w:marTop w:val="0"/>
      <w:marBottom w:val="0"/>
      <w:divBdr>
        <w:top w:val="none" w:sz="0" w:space="0" w:color="auto"/>
        <w:left w:val="none" w:sz="0" w:space="0" w:color="auto"/>
        <w:bottom w:val="none" w:sz="0" w:space="0" w:color="auto"/>
        <w:right w:val="none" w:sz="0" w:space="0" w:color="auto"/>
      </w:divBdr>
    </w:div>
    <w:div w:id="1761019725">
      <w:bodyDiv w:val="1"/>
      <w:marLeft w:val="0"/>
      <w:marRight w:val="0"/>
      <w:marTop w:val="0"/>
      <w:marBottom w:val="0"/>
      <w:divBdr>
        <w:top w:val="none" w:sz="0" w:space="0" w:color="auto"/>
        <w:left w:val="none" w:sz="0" w:space="0" w:color="auto"/>
        <w:bottom w:val="none" w:sz="0" w:space="0" w:color="auto"/>
        <w:right w:val="none" w:sz="0" w:space="0" w:color="auto"/>
      </w:divBdr>
    </w:div>
    <w:div w:id="1855459790">
      <w:bodyDiv w:val="1"/>
      <w:marLeft w:val="0"/>
      <w:marRight w:val="0"/>
      <w:marTop w:val="0"/>
      <w:marBottom w:val="0"/>
      <w:divBdr>
        <w:top w:val="none" w:sz="0" w:space="0" w:color="auto"/>
        <w:left w:val="none" w:sz="0" w:space="0" w:color="auto"/>
        <w:bottom w:val="none" w:sz="0" w:space="0" w:color="auto"/>
        <w:right w:val="none" w:sz="0" w:space="0" w:color="auto"/>
      </w:divBdr>
      <w:divsChild>
        <w:div w:id="1483159939">
          <w:marLeft w:val="0"/>
          <w:marRight w:val="0"/>
          <w:marTop w:val="0"/>
          <w:marBottom w:val="0"/>
          <w:divBdr>
            <w:top w:val="none" w:sz="0" w:space="0" w:color="auto"/>
            <w:left w:val="none" w:sz="0" w:space="0" w:color="auto"/>
            <w:bottom w:val="none" w:sz="0" w:space="0" w:color="auto"/>
            <w:right w:val="none" w:sz="0" w:space="0" w:color="auto"/>
          </w:divBdr>
          <w:divsChild>
            <w:div w:id="1300650473">
              <w:marLeft w:val="0"/>
              <w:marRight w:val="0"/>
              <w:marTop w:val="525"/>
              <w:marBottom w:val="0"/>
              <w:divBdr>
                <w:top w:val="none" w:sz="0" w:space="0" w:color="auto"/>
                <w:left w:val="none" w:sz="0" w:space="0" w:color="auto"/>
                <w:bottom w:val="none" w:sz="0" w:space="0" w:color="auto"/>
                <w:right w:val="none" w:sz="0" w:space="0" w:color="auto"/>
              </w:divBdr>
              <w:divsChild>
                <w:div w:id="960190215">
                  <w:marLeft w:val="0"/>
                  <w:marRight w:val="0"/>
                  <w:marTop w:val="0"/>
                  <w:marBottom w:val="0"/>
                  <w:divBdr>
                    <w:top w:val="none" w:sz="0" w:space="0" w:color="auto"/>
                    <w:left w:val="none" w:sz="0" w:space="0" w:color="auto"/>
                    <w:bottom w:val="none" w:sz="0" w:space="0" w:color="auto"/>
                    <w:right w:val="none" w:sz="0" w:space="0" w:color="auto"/>
                  </w:divBdr>
                  <w:divsChild>
                    <w:div w:id="1011107763">
                      <w:marLeft w:val="0"/>
                      <w:marRight w:val="300"/>
                      <w:marTop w:val="0"/>
                      <w:marBottom w:val="0"/>
                      <w:divBdr>
                        <w:top w:val="none" w:sz="0" w:space="0" w:color="auto"/>
                        <w:left w:val="none" w:sz="0" w:space="0" w:color="auto"/>
                        <w:bottom w:val="none" w:sz="0" w:space="0" w:color="auto"/>
                        <w:right w:val="none" w:sz="0" w:space="0" w:color="auto"/>
                      </w:divBdr>
                      <w:divsChild>
                        <w:div w:id="604077917">
                          <w:marLeft w:val="0"/>
                          <w:marRight w:val="0"/>
                          <w:marTop w:val="0"/>
                          <w:marBottom w:val="0"/>
                          <w:divBdr>
                            <w:top w:val="none" w:sz="0" w:space="0" w:color="auto"/>
                            <w:left w:val="none" w:sz="0" w:space="0" w:color="auto"/>
                            <w:bottom w:val="none" w:sz="0" w:space="0" w:color="auto"/>
                            <w:right w:val="none" w:sz="0" w:space="0" w:color="auto"/>
                          </w:divBdr>
                          <w:divsChild>
                            <w:div w:id="1125077375">
                              <w:marLeft w:val="0"/>
                              <w:marRight w:val="0"/>
                              <w:marTop w:val="0"/>
                              <w:marBottom w:val="0"/>
                              <w:divBdr>
                                <w:top w:val="none" w:sz="0" w:space="0" w:color="auto"/>
                                <w:left w:val="none" w:sz="0" w:space="0" w:color="auto"/>
                                <w:bottom w:val="none" w:sz="0" w:space="0" w:color="auto"/>
                                <w:right w:val="none" w:sz="0" w:space="0" w:color="auto"/>
                              </w:divBdr>
                              <w:divsChild>
                                <w:div w:id="1492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3487">
      <w:bodyDiv w:val="1"/>
      <w:marLeft w:val="0"/>
      <w:marRight w:val="0"/>
      <w:marTop w:val="0"/>
      <w:marBottom w:val="0"/>
      <w:divBdr>
        <w:top w:val="none" w:sz="0" w:space="0" w:color="auto"/>
        <w:left w:val="none" w:sz="0" w:space="0" w:color="auto"/>
        <w:bottom w:val="none" w:sz="0" w:space="0" w:color="auto"/>
        <w:right w:val="none" w:sz="0" w:space="0" w:color="auto"/>
      </w:divBdr>
    </w:div>
    <w:div w:id="1957786609">
      <w:bodyDiv w:val="1"/>
      <w:marLeft w:val="0"/>
      <w:marRight w:val="0"/>
      <w:marTop w:val="0"/>
      <w:marBottom w:val="0"/>
      <w:divBdr>
        <w:top w:val="none" w:sz="0" w:space="0" w:color="auto"/>
        <w:left w:val="none" w:sz="0" w:space="0" w:color="auto"/>
        <w:bottom w:val="none" w:sz="0" w:space="0" w:color="auto"/>
        <w:right w:val="none" w:sz="0" w:space="0" w:color="auto"/>
      </w:divBdr>
      <w:divsChild>
        <w:div w:id="691499186">
          <w:marLeft w:val="0"/>
          <w:marRight w:val="0"/>
          <w:marTop w:val="0"/>
          <w:marBottom w:val="0"/>
          <w:divBdr>
            <w:top w:val="none" w:sz="0" w:space="0" w:color="auto"/>
            <w:left w:val="none" w:sz="0" w:space="0" w:color="auto"/>
            <w:bottom w:val="none" w:sz="0" w:space="0" w:color="auto"/>
            <w:right w:val="none" w:sz="0" w:space="0" w:color="auto"/>
          </w:divBdr>
          <w:divsChild>
            <w:div w:id="488399860">
              <w:marLeft w:val="0"/>
              <w:marRight w:val="0"/>
              <w:marTop w:val="525"/>
              <w:marBottom w:val="0"/>
              <w:divBdr>
                <w:top w:val="none" w:sz="0" w:space="0" w:color="auto"/>
                <w:left w:val="none" w:sz="0" w:space="0" w:color="auto"/>
                <w:bottom w:val="none" w:sz="0" w:space="0" w:color="auto"/>
                <w:right w:val="none" w:sz="0" w:space="0" w:color="auto"/>
              </w:divBdr>
              <w:divsChild>
                <w:div w:id="941763367">
                  <w:marLeft w:val="0"/>
                  <w:marRight w:val="0"/>
                  <w:marTop w:val="0"/>
                  <w:marBottom w:val="0"/>
                  <w:divBdr>
                    <w:top w:val="none" w:sz="0" w:space="0" w:color="auto"/>
                    <w:left w:val="none" w:sz="0" w:space="0" w:color="auto"/>
                    <w:bottom w:val="none" w:sz="0" w:space="0" w:color="auto"/>
                    <w:right w:val="none" w:sz="0" w:space="0" w:color="auto"/>
                  </w:divBdr>
                  <w:divsChild>
                    <w:div w:id="1567641794">
                      <w:marLeft w:val="0"/>
                      <w:marRight w:val="300"/>
                      <w:marTop w:val="0"/>
                      <w:marBottom w:val="0"/>
                      <w:divBdr>
                        <w:top w:val="none" w:sz="0" w:space="0" w:color="auto"/>
                        <w:left w:val="none" w:sz="0" w:space="0" w:color="auto"/>
                        <w:bottom w:val="none" w:sz="0" w:space="0" w:color="auto"/>
                        <w:right w:val="none" w:sz="0" w:space="0" w:color="auto"/>
                      </w:divBdr>
                      <w:divsChild>
                        <w:div w:id="754935334">
                          <w:marLeft w:val="0"/>
                          <w:marRight w:val="0"/>
                          <w:marTop w:val="0"/>
                          <w:marBottom w:val="0"/>
                          <w:divBdr>
                            <w:top w:val="none" w:sz="0" w:space="0" w:color="auto"/>
                            <w:left w:val="none" w:sz="0" w:space="0" w:color="auto"/>
                            <w:bottom w:val="none" w:sz="0" w:space="0" w:color="auto"/>
                            <w:right w:val="none" w:sz="0" w:space="0" w:color="auto"/>
                          </w:divBdr>
                          <w:divsChild>
                            <w:div w:id="1328827795">
                              <w:marLeft w:val="0"/>
                              <w:marRight w:val="0"/>
                              <w:marTop w:val="0"/>
                              <w:marBottom w:val="0"/>
                              <w:divBdr>
                                <w:top w:val="none" w:sz="0" w:space="0" w:color="auto"/>
                                <w:left w:val="none" w:sz="0" w:space="0" w:color="auto"/>
                                <w:bottom w:val="none" w:sz="0" w:space="0" w:color="auto"/>
                                <w:right w:val="none" w:sz="0" w:space="0" w:color="auto"/>
                              </w:divBdr>
                              <w:divsChild>
                                <w:div w:id="17377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73524">
      <w:bodyDiv w:val="1"/>
      <w:marLeft w:val="0"/>
      <w:marRight w:val="0"/>
      <w:marTop w:val="0"/>
      <w:marBottom w:val="0"/>
      <w:divBdr>
        <w:top w:val="none" w:sz="0" w:space="0" w:color="auto"/>
        <w:left w:val="none" w:sz="0" w:space="0" w:color="auto"/>
        <w:bottom w:val="none" w:sz="0" w:space="0" w:color="auto"/>
        <w:right w:val="none" w:sz="0" w:space="0" w:color="auto"/>
      </w:divBdr>
    </w:div>
    <w:div w:id="2008316152">
      <w:bodyDiv w:val="1"/>
      <w:marLeft w:val="0"/>
      <w:marRight w:val="0"/>
      <w:marTop w:val="0"/>
      <w:marBottom w:val="0"/>
      <w:divBdr>
        <w:top w:val="none" w:sz="0" w:space="0" w:color="auto"/>
        <w:left w:val="none" w:sz="0" w:space="0" w:color="auto"/>
        <w:bottom w:val="none" w:sz="0" w:space="0" w:color="auto"/>
        <w:right w:val="none" w:sz="0" w:space="0" w:color="auto"/>
      </w:divBdr>
    </w:div>
    <w:div w:id="2041317047">
      <w:bodyDiv w:val="1"/>
      <w:marLeft w:val="0"/>
      <w:marRight w:val="0"/>
      <w:marTop w:val="0"/>
      <w:marBottom w:val="0"/>
      <w:divBdr>
        <w:top w:val="none" w:sz="0" w:space="0" w:color="auto"/>
        <w:left w:val="none" w:sz="0" w:space="0" w:color="auto"/>
        <w:bottom w:val="none" w:sz="0" w:space="0" w:color="auto"/>
        <w:right w:val="none" w:sz="0" w:space="0" w:color="auto"/>
      </w:divBdr>
      <w:divsChild>
        <w:div w:id="512887255">
          <w:marLeft w:val="0"/>
          <w:marRight w:val="0"/>
          <w:marTop w:val="0"/>
          <w:marBottom w:val="0"/>
          <w:divBdr>
            <w:top w:val="none" w:sz="0" w:space="0" w:color="auto"/>
            <w:left w:val="none" w:sz="0" w:space="0" w:color="auto"/>
            <w:bottom w:val="none" w:sz="0" w:space="0" w:color="auto"/>
            <w:right w:val="none" w:sz="0" w:space="0" w:color="auto"/>
          </w:divBdr>
          <w:divsChild>
            <w:div w:id="1656490596">
              <w:marLeft w:val="0"/>
              <w:marRight w:val="0"/>
              <w:marTop w:val="525"/>
              <w:marBottom w:val="0"/>
              <w:divBdr>
                <w:top w:val="none" w:sz="0" w:space="0" w:color="auto"/>
                <w:left w:val="none" w:sz="0" w:space="0" w:color="auto"/>
                <w:bottom w:val="none" w:sz="0" w:space="0" w:color="auto"/>
                <w:right w:val="none" w:sz="0" w:space="0" w:color="auto"/>
              </w:divBdr>
              <w:divsChild>
                <w:div w:id="1159806369">
                  <w:marLeft w:val="0"/>
                  <w:marRight w:val="0"/>
                  <w:marTop w:val="0"/>
                  <w:marBottom w:val="0"/>
                  <w:divBdr>
                    <w:top w:val="none" w:sz="0" w:space="0" w:color="auto"/>
                    <w:left w:val="none" w:sz="0" w:space="0" w:color="auto"/>
                    <w:bottom w:val="none" w:sz="0" w:space="0" w:color="auto"/>
                    <w:right w:val="none" w:sz="0" w:space="0" w:color="auto"/>
                  </w:divBdr>
                  <w:divsChild>
                    <w:div w:id="204952533">
                      <w:marLeft w:val="0"/>
                      <w:marRight w:val="300"/>
                      <w:marTop w:val="0"/>
                      <w:marBottom w:val="0"/>
                      <w:divBdr>
                        <w:top w:val="none" w:sz="0" w:space="0" w:color="auto"/>
                        <w:left w:val="none" w:sz="0" w:space="0" w:color="auto"/>
                        <w:bottom w:val="none" w:sz="0" w:space="0" w:color="auto"/>
                        <w:right w:val="none" w:sz="0" w:space="0" w:color="auto"/>
                      </w:divBdr>
                      <w:divsChild>
                        <w:div w:id="267272804">
                          <w:marLeft w:val="0"/>
                          <w:marRight w:val="0"/>
                          <w:marTop w:val="0"/>
                          <w:marBottom w:val="0"/>
                          <w:divBdr>
                            <w:top w:val="none" w:sz="0" w:space="0" w:color="auto"/>
                            <w:left w:val="none" w:sz="0" w:space="0" w:color="auto"/>
                            <w:bottom w:val="none" w:sz="0" w:space="0" w:color="auto"/>
                            <w:right w:val="none" w:sz="0" w:space="0" w:color="auto"/>
                          </w:divBdr>
                          <w:divsChild>
                            <w:div w:id="322318476">
                              <w:marLeft w:val="0"/>
                              <w:marRight w:val="0"/>
                              <w:marTop w:val="0"/>
                              <w:marBottom w:val="0"/>
                              <w:divBdr>
                                <w:top w:val="none" w:sz="0" w:space="0" w:color="auto"/>
                                <w:left w:val="none" w:sz="0" w:space="0" w:color="auto"/>
                                <w:bottom w:val="none" w:sz="0" w:space="0" w:color="auto"/>
                                <w:right w:val="none" w:sz="0" w:space="0" w:color="auto"/>
                              </w:divBdr>
                              <w:divsChild>
                                <w:div w:id="13724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06809">
      <w:bodyDiv w:val="1"/>
      <w:marLeft w:val="0"/>
      <w:marRight w:val="0"/>
      <w:marTop w:val="0"/>
      <w:marBottom w:val="0"/>
      <w:divBdr>
        <w:top w:val="none" w:sz="0" w:space="0" w:color="auto"/>
        <w:left w:val="none" w:sz="0" w:space="0" w:color="auto"/>
        <w:bottom w:val="none" w:sz="0" w:space="0" w:color="auto"/>
        <w:right w:val="none" w:sz="0" w:space="0" w:color="auto"/>
      </w:divBdr>
      <w:divsChild>
        <w:div w:id="320503410">
          <w:marLeft w:val="0"/>
          <w:marRight w:val="0"/>
          <w:marTop w:val="0"/>
          <w:marBottom w:val="0"/>
          <w:divBdr>
            <w:top w:val="none" w:sz="0" w:space="0" w:color="auto"/>
            <w:left w:val="none" w:sz="0" w:space="0" w:color="auto"/>
            <w:bottom w:val="none" w:sz="0" w:space="0" w:color="auto"/>
            <w:right w:val="none" w:sz="0" w:space="0" w:color="auto"/>
          </w:divBdr>
          <w:divsChild>
            <w:div w:id="1890149427">
              <w:marLeft w:val="0"/>
              <w:marRight w:val="0"/>
              <w:marTop w:val="525"/>
              <w:marBottom w:val="0"/>
              <w:divBdr>
                <w:top w:val="none" w:sz="0" w:space="0" w:color="auto"/>
                <w:left w:val="none" w:sz="0" w:space="0" w:color="auto"/>
                <w:bottom w:val="none" w:sz="0" w:space="0" w:color="auto"/>
                <w:right w:val="none" w:sz="0" w:space="0" w:color="auto"/>
              </w:divBdr>
              <w:divsChild>
                <w:div w:id="129249670">
                  <w:marLeft w:val="0"/>
                  <w:marRight w:val="0"/>
                  <w:marTop w:val="0"/>
                  <w:marBottom w:val="0"/>
                  <w:divBdr>
                    <w:top w:val="none" w:sz="0" w:space="0" w:color="auto"/>
                    <w:left w:val="none" w:sz="0" w:space="0" w:color="auto"/>
                    <w:bottom w:val="none" w:sz="0" w:space="0" w:color="auto"/>
                    <w:right w:val="none" w:sz="0" w:space="0" w:color="auto"/>
                  </w:divBdr>
                  <w:divsChild>
                    <w:div w:id="1427964017">
                      <w:marLeft w:val="0"/>
                      <w:marRight w:val="300"/>
                      <w:marTop w:val="0"/>
                      <w:marBottom w:val="0"/>
                      <w:divBdr>
                        <w:top w:val="none" w:sz="0" w:space="0" w:color="auto"/>
                        <w:left w:val="none" w:sz="0" w:space="0" w:color="auto"/>
                        <w:bottom w:val="none" w:sz="0" w:space="0" w:color="auto"/>
                        <w:right w:val="none" w:sz="0" w:space="0" w:color="auto"/>
                      </w:divBdr>
                      <w:divsChild>
                        <w:div w:id="702245881">
                          <w:marLeft w:val="0"/>
                          <w:marRight w:val="0"/>
                          <w:marTop w:val="0"/>
                          <w:marBottom w:val="0"/>
                          <w:divBdr>
                            <w:top w:val="none" w:sz="0" w:space="0" w:color="auto"/>
                            <w:left w:val="none" w:sz="0" w:space="0" w:color="auto"/>
                            <w:bottom w:val="none" w:sz="0" w:space="0" w:color="auto"/>
                            <w:right w:val="none" w:sz="0" w:space="0" w:color="auto"/>
                          </w:divBdr>
                          <w:divsChild>
                            <w:div w:id="1743677622">
                              <w:marLeft w:val="0"/>
                              <w:marRight w:val="0"/>
                              <w:marTop w:val="0"/>
                              <w:marBottom w:val="0"/>
                              <w:divBdr>
                                <w:top w:val="none" w:sz="0" w:space="0" w:color="auto"/>
                                <w:left w:val="none" w:sz="0" w:space="0" w:color="auto"/>
                                <w:bottom w:val="none" w:sz="0" w:space="0" w:color="auto"/>
                                <w:right w:val="none" w:sz="0" w:space="0" w:color="auto"/>
                              </w:divBdr>
                              <w:divsChild>
                                <w:div w:id="645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erc.undp.org/index.html;jsessionid=2825BA456DA1408C7BC53F6267CDC59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urelie.boukobza\Dropbox\00.UNDP%20OSG\02.Evaluation\01.%20Annual%20Report%20on%20Evaluation%20(ARE)\ARE%202013\Data%20for%20ARE\ARE%20da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Decentralized Evaluations Quality</a:t>
            </a:r>
          </a:p>
        </c:rich>
      </c:tx>
      <c:overlay val="0"/>
    </c:title>
    <c:autoTitleDeleted val="0"/>
    <c:plotArea>
      <c:layout/>
      <c:lineChart>
        <c:grouping val="standard"/>
        <c:varyColors val="0"/>
        <c:ser>
          <c:idx val="0"/>
          <c:order val="0"/>
          <c:tx>
            <c:strRef>
              <c:f>'MgmtResponseStatusReport-7'!$I$238</c:f>
              <c:strCache>
                <c:ptCount val="1"/>
                <c:pt idx="0">
                  <c:v>Moderately satisfactory and above</c:v>
                </c:pt>
              </c:strCache>
            </c:strRef>
          </c:tx>
          <c:marker>
            <c:symbol val="none"/>
          </c:marker>
          <c:cat>
            <c:numRef>
              <c:f>'MgmtResponseStatusReport-7'!$J$237:$L$237</c:f>
              <c:numCache>
                <c:formatCode>General</c:formatCode>
                <c:ptCount val="3"/>
                <c:pt idx="0">
                  <c:v>2011</c:v>
                </c:pt>
                <c:pt idx="1">
                  <c:v>2012</c:v>
                </c:pt>
                <c:pt idx="2">
                  <c:v>2013</c:v>
                </c:pt>
              </c:numCache>
            </c:numRef>
          </c:cat>
          <c:val>
            <c:numRef>
              <c:f>'MgmtResponseStatusReport-7'!$J$238:$L$238</c:f>
              <c:numCache>
                <c:formatCode>0%</c:formatCode>
                <c:ptCount val="3"/>
                <c:pt idx="0">
                  <c:v>0.63</c:v>
                </c:pt>
                <c:pt idx="1">
                  <c:v>0.74</c:v>
                </c:pt>
                <c:pt idx="2">
                  <c:v>0.81</c:v>
                </c:pt>
              </c:numCache>
            </c:numRef>
          </c:val>
          <c:smooth val="0"/>
        </c:ser>
        <c:ser>
          <c:idx val="1"/>
          <c:order val="1"/>
          <c:tx>
            <c:strRef>
              <c:f>'MgmtResponseStatusReport-7'!$I$239</c:f>
              <c:strCache>
                <c:ptCount val="1"/>
                <c:pt idx="0">
                  <c:v>Moderately unsatisfactory and below</c:v>
                </c:pt>
              </c:strCache>
            </c:strRef>
          </c:tx>
          <c:marker>
            <c:symbol val="none"/>
          </c:marker>
          <c:cat>
            <c:numRef>
              <c:f>'MgmtResponseStatusReport-7'!$J$237:$L$237</c:f>
              <c:numCache>
                <c:formatCode>General</c:formatCode>
                <c:ptCount val="3"/>
                <c:pt idx="0">
                  <c:v>2011</c:v>
                </c:pt>
                <c:pt idx="1">
                  <c:v>2012</c:v>
                </c:pt>
                <c:pt idx="2">
                  <c:v>2013</c:v>
                </c:pt>
              </c:numCache>
            </c:numRef>
          </c:cat>
          <c:val>
            <c:numRef>
              <c:f>'MgmtResponseStatusReport-7'!$J$239:$L$239</c:f>
              <c:numCache>
                <c:formatCode>0%</c:formatCode>
                <c:ptCount val="3"/>
                <c:pt idx="0">
                  <c:v>0.36</c:v>
                </c:pt>
                <c:pt idx="1">
                  <c:v>0.25</c:v>
                </c:pt>
                <c:pt idx="2">
                  <c:v>0.19</c:v>
                </c:pt>
              </c:numCache>
            </c:numRef>
          </c:val>
          <c:smooth val="0"/>
        </c:ser>
        <c:dLbls>
          <c:showLegendKey val="0"/>
          <c:showVal val="0"/>
          <c:showCatName val="0"/>
          <c:showSerName val="0"/>
          <c:showPercent val="0"/>
          <c:showBubbleSize val="0"/>
        </c:dLbls>
        <c:smooth val="0"/>
        <c:axId val="229085320"/>
        <c:axId val="229085712"/>
      </c:lineChart>
      <c:catAx>
        <c:axId val="229085320"/>
        <c:scaling>
          <c:orientation val="minMax"/>
        </c:scaling>
        <c:delete val="0"/>
        <c:axPos val="b"/>
        <c:numFmt formatCode="General" sourceLinked="1"/>
        <c:majorTickMark val="none"/>
        <c:minorTickMark val="none"/>
        <c:tickLblPos val="nextTo"/>
        <c:crossAx val="229085712"/>
        <c:crosses val="autoZero"/>
        <c:auto val="1"/>
        <c:lblAlgn val="ctr"/>
        <c:lblOffset val="100"/>
        <c:noMultiLvlLbl val="0"/>
      </c:catAx>
      <c:valAx>
        <c:axId val="229085712"/>
        <c:scaling>
          <c:orientation val="minMax"/>
        </c:scaling>
        <c:delete val="0"/>
        <c:axPos val="l"/>
        <c:majorGridlines/>
        <c:numFmt formatCode="0%" sourceLinked="1"/>
        <c:majorTickMark val="none"/>
        <c:minorTickMark val="none"/>
        <c:tickLblPos val="nextTo"/>
        <c:crossAx val="229085320"/>
        <c:crosses val="autoZero"/>
        <c:crossBetween val="between"/>
      </c:valAx>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74B3-3B17-43E1-8C75-00C2F618F8C4}">
  <ds:schemaRefs>
    <ds:schemaRef ds:uri="http://schemas.openxmlformats.org/officeDocument/2006/bibliography"/>
  </ds:schemaRefs>
</ds:datastoreItem>
</file>

<file path=customXml/itemProps2.xml><?xml version="1.0" encoding="utf-8"?>
<ds:datastoreItem xmlns:ds="http://schemas.openxmlformats.org/officeDocument/2006/customXml" ds:itemID="{804D157A-35D2-495D-89D5-FF9B433D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5403</Words>
  <Characters>30802</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36133</CharactersWithSpaces>
  <SharedDoc>false</SharedDoc>
  <HLinks>
    <vt:vector size="6" baseType="variant">
      <vt:variant>
        <vt:i4>6946872</vt:i4>
      </vt:variant>
      <vt:variant>
        <vt:i4>0</vt:i4>
      </vt:variant>
      <vt:variant>
        <vt:i4>0</vt:i4>
      </vt:variant>
      <vt:variant>
        <vt:i4>5</vt:i4>
      </vt:variant>
      <vt:variant>
        <vt:lpwstr>http://erc.undp.org/index.html;jsessionid=2825BA456DA1408C7BC53F6267CDC59E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Therer</dc:creator>
  <cp:lastModifiedBy>Svetlana Iazykova</cp:lastModifiedBy>
  <cp:revision>4</cp:revision>
  <cp:lastPrinted>2015-04-07T17:10:00Z</cp:lastPrinted>
  <dcterms:created xsi:type="dcterms:W3CDTF">2015-04-28T14:27:00Z</dcterms:created>
  <dcterms:modified xsi:type="dcterms:W3CDTF">2015-04-28T14:30:00Z</dcterms:modified>
</cp:coreProperties>
</file>