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B841" w14:textId="1EE6AFC7" w:rsidR="00BA625B" w:rsidRPr="00D806BD" w:rsidRDefault="00BA625B" w:rsidP="27D18B30">
      <w:pPr>
        <w:jc w:val="both"/>
        <w:rPr>
          <w:rFonts w:ascii="Calibri Body" w:hAnsi="Calibri Body"/>
          <w:b/>
          <w:bCs/>
          <w:color w:val="000000"/>
        </w:rPr>
      </w:pPr>
      <w:r w:rsidRPr="00D806BD">
        <w:rPr>
          <w:rFonts w:ascii="Calibri Body" w:hAnsi="Calibri Body"/>
          <w:b/>
          <w:bCs/>
          <w:color w:val="000000" w:themeColor="text1"/>
        </w:rPr>
        <w:t>ANNEX</w:t>
      </w:r>
      <w:r w:rsidRPr="00D806BD">
        <w:rPr>
          <w:rFonts w:ascii="Calibri Body" w:hAnsi="Calibri Body"/>
          <w:color w:val="000000" w:themeColor="text1"/>
        </w:rPr>
        <w:t xml:space="preserve">. </w:t>
      </w:r>
      <w:r w:rsidRPr="00D806BD">
        <w:rPr>
          <w:rFonts w:ascii="Calibri Body" w:hAnsi="Calibri Body"/>
          <w:b/>
          <w:bCs/>
          <w:color w:val="000000" w:themeColor="text1"/>
        </w:rPr>
        <w:t>FULLY COSTED EVALUATION PLAN</w:t>
      </w:r>
    </w:p>
    <w:p w14:paraId="17B58A54" w14:textId="049690BA" w:rsidR="00D83A05" w:rsidRPr="00205CAF" w:rsidRDefault="00D83A05" w:rsidP="00776500">
      <w:pPr>
        <w:jc w:val="both"/>
        <w:rPr>
          <w:rFonts w:ascii="Calibri Body" w:hAnsi="Calibri Body"/>
          <w:b/>
        </w:rPr>
      </w:pPr>
    </w:p>
    <w:p w14:paraId="1FAF648B" w14:textId="0B2A9BD3" w:rsidR="008A0058" w:rsidRPr="00205CAF" w:rsidRDefault="00776500" w:rsidP="00776500">
      <w:pPr>
        <w:tabs>
          <w:tab w:val="left" w:pos="1701"/>
        </w:tabs>
        <w:jc w:val="both"/>
        <w:rPr>
          <w:rFonts w:ascii="Calibri Body" w:hAnsi="Calibri Body"/>
          <w:lang w:val="en-GB"/>
        </w:rPr>
      </w:pPr>
      <w:r w:rsidRPr="00205CAF">
        <w:rPr>
          <w:rFonts w:ascii="Calibri Body" w:hAnsi="Calibri Body"/>
          <w:lang w:val="en-GB"/>
        </w:rPr>
        <w:t>The evaluations contained in the Evaluation Plan contribute to</w:t>
      </w:r>
      <w:r w:rsidR="00B73AC0" w:rsidRPr="00205CAF">
        <w:rPr>
          <w:rFonts w:ascii="Calibri Body" w:hAnsi="Calibri Body"/>
          <w:lang w:val="en-GB"/>
        </w:rPr>
        <w:t xml:space="preserve"> strengthen learning </w:t>
      </w:r>
      <w:r w:rsidR="00B52D68" w:rsidRPr="00205CAF">
        <w:rPr>
          <w:rFonts w:ascii="Calibri Body" w:hAnsi="Calibri Body"/>
          <w:lang w:val="en-GB"/>
        </w:rPr>
        <w:t>within UNDP and among stakeholders</w:t>
      </w:r>
      <w:r w:rsidR="00F62811" w:rsidRPr="00205CAF">
        <w:rPr>
          <w:rFonts w:ascii="Calibri Body" w:hAnsi="Calibri Body"/>
          <w:lang w:val="en-GB"/>
        </w:rPr>
        <w:t xml:space="preserve"> for better decision making. </w:t>
      </w:r>
      <w:r w:rsidR="003B233B" w:rsidRPr="00205CAF">
        <w:rPr>
          <w:rFonts w:ascii="Calibri Body" w:hAnsi="Calibri Body"/>
          <w:lang w:val="en-GB"/>
        </w:rPr>
        <w:t xml:space="preserve">The achievement of the strategic results </w:t>
      </w:r>
      <w:r w:rsidR="00C323BF" w:rsidRPr="00205CAF">
        <w:rPr>
          <w:rFonts w:ascii="Calibri Body" w:hAnsi="Calibri Body"/>
          <w:lang w:val="en-GB"/>
        </w:rPr>
        <w:t xml:space="preserve">strengthens UNDP’s </w:t>
      </w:r>
      <w:r w:rsidR="0013194A" w:rsidRPr="00205CAF">
        <w:rPr>
          <w:rFonts w:ascii="Calibri Body" w:hAnsi="Calibri Body"/>
          <w:lang w:val="en-GB"/>
        </w:rPr>
        <w:t xml:space="preserve">transparency and accountability for its development contributions. </w:t>
      </w:r>
      <w:r w:rsidRPr="00205CAF">
        <w:rPr>
          <w:rFonts w:ascii="Calibri Body" w:hAnsi="Calibri Body"/>
          <w:lang w:val="en-GB"/>
        </w:rPr>
        <w:t xml:space="preserve">The </w:t>
      </w:r>
      <w:r w:rsidR="00CD65B7" w:rsidRPr="00205CAF">
        <w:rPr>
          <w:rFonts w:ascii="Calibri Body" w:hAnsi="Calibri Body"/>
          <w:lang w:val="en-GB"/>
        </w:rPr>
        <w:t>plan provides</w:t>
      </w:r>
      <w:r w:rsidRPr="00205CAF">
        <w:rPr>
          <w:rFonts w:ascii="Calibri Body" w:hAnsi="Calibri Body"/>
          <w:lang w:val="en-GB"/>
        </w:rPr>
        <w:t xml:space="preserve"> sufficient and balanced coverage of the office’s areas of programmatic engagement. </w:t>
      </w:r>
      <w:bookmarkStart w:id="0" w:name="_Hlk70037471"/>
      <w:r w:rsidR="00210963" w:rsidRPr="00205CAF">
        <w:rPr>
          <w:rFonts w:ascii="Calibri Body" w:hAnsi="Calibri Body"/>
          <w:lang w:val="en-GB"/>
        </w:rPr>
        <w:t xml:space="preserve">The plan will be updated </w:t>
      </w:r>
      <w:r w:rsidR="00087E8B" w:rsidRPr="00205CAF">
        <w:rPr>
          <w:rFonts w:ascii="Calibri Body" w:hAnsi="Calibri Body"/>
          <w:lang w:val="en-GB"/>
        </w:rPr>
        <w:t xml:space="preserve">on a </w:t>
      </w:r>
      <w:r w:rsidR="00F22A07" w:rsidRPr="00205CAF">
        <w:rPr>
          <w:rFonts w:ascii="Calibri Body" w:hAnsi="Calibri Body"/>
          <w:lang w:val="en-GB"/>
        </w:rPr>
        <w:t>semi-annual basis to include</w:t>
      </w:r>
      <w:r w:rsidR="00CC08B3" w:rsidRPr="00205CAF">
        <w:rPr>
          <w:rFonts w:ascii="Calibri Body" w:hAnsi="Calibri Body"/>
          <w:lang w:val="en-GB"/>
        </w:rPr>
        <w:t xml:space="preserve"> </w:t>
      </w:r>
      <w:r w:rsidR="00CD65B7" w:rsidRPr="00205CAF">
        <w:rPr>
          <w:rFonts w:ascii="Calibri Body" w:hAnsi="Calibri Body"/>
          <w:lang w:val="en-GB"/>
        </w:rPr>
        <w:t>any new</w:t>
      </w:r>
      <w:r w:rsidRPr="00205CAF">
        <w:rPr>
          <w:rFonts w:ascii="Calibri Body" w:hAnsi="Calibri Body"/>
          <w:lang w:val="en-GB"/>
        </w:rPr>
        <w:t xml:space="preserve"> project</w:t>
      </w:r>
      <w:r w:rsidR="00E96839" w:rsidRPr="00205CAF">
        <w:rPr>
          <w:rFonts w:ascii="Calibri Body" w:hAnsi="Calibri Body"/>
          <w:lang w:val="en-GB"/>
        </w:rPr>
        <w:t xml:space="preserve"> evaluation and/or thematic </w:t>
      </w:r>
      <w:r w:rsidR="00CD65B7" w:rsidRPr="00205CAF">
        <w:rPr>
          <w:rFonts w:ascii="Calibri Body" w:hAnsi="Calibri Body"/>
          <w:lang w:val="en-GB"/>
        </w:rPr>
        <w:t>evaluation.</w:t>
      </w:r>
      <w:r w:rsidR="00CC08B3" w:rsidRPr="00205CAF">
        <w:rPr>
          <w:rFonts w:ascii="Calibri Body" w:hAnsi="Calibri Body"/>
          <w:lang w:val="en-GB"/>
        </w:rPr>
        <w:t xml:space="preserve"> </w:t>
      </w:r>
      <w:bookmarkEnd w:id="0"/>
    </w:p>
    <w:p w14:paraId="2B933569" w14:textId="7B30272F" w:rsidR="000B4466" w:rsidRPr="00205CAF" w:rsidRDefault="000B4466" w:rsidP="000B4466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440"/>
        <w:gridCol w:w="2970"/>
        <w:gridCol w:w="1170"/>
        <w:gridCol w:w="1080"/>
        <w:gridCol w:w="1013"/>
        <w:gridCol w:w="1216"/>
        <w:gridCol w:w="1083"/>
        <w:gridCol w:w="1183"/>
      </w:tblGrid>
      <w:tr w:rsidR="00EE6A64" w:rsidRPr="00932D1B" w14:paraId="794B5971" w14:textId="77777777" w:rsidTr="113DAA3E">
        <w:trPr>
          <w:trHeight w:val="69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887B47" w14:textId="7B30272F" w:rsidR="008A3280" w:rsidRPr="00932D1B" w:rsidRDefault="1B268615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Cooperation Framework</w:t>
            </w:r>
          </w:p>
          <w:p w14:paraId="50EE2690" w14:textId="77777777" w:rsidR="008A3280" w:rsidRPr="00932D1B" w:rsidRDefault="008A3280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 xml:space="preserve">Outcome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4A3EFF" w14:textId="77777777" w:rsidR="008A3280" w:rsidRPr="00932D1B" w:rsidRDefault="008A3280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UNDP Strategic Plan Outcome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5FB0ED" w14:textId="77777777" w:rsidR="008A3280" w:rsidRPr="00932D1B" w:rsidRDefault="008A3280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Evaluation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134A57" w14:textId="3D02FA6C" w:rsidR="008A3280" w:rsidRPr="00932D1B" w:rsidRDefault="008A3280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Partners</w:t>
            </w:r>
            <w:r w:rsidR="00DE7EC8" w:rsidRPr="00932D1B">
              <w:rPr>
                <w:rFonts w:ascii="Calibri Body" w:hAnsi="Calibri Body"/>
                <w:b/>
                <w:bCs/>
                <w:lang w:val="en-GB" w:eastAsia="en-GB"/>
              </w:rPr>
              <w:t xml:space="preserve"> </w:t>
            </w: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(</w:t>
            </w:r>
            <w:r w:rsidR="00DE7EC8" w:rsidRPr="00932D1B">
              <w:rPr>
                <w:rFonts w:ascii="Calibri Body" w:hAnsi="Calibri Body"/>
                <w:b/>
                <w:bCs/>
                <w:lang w:val="en-GB" w:eastAsia="en-GB"/>
              </w:rPr>
              <w:t>J</w:t>
            </w: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 xml:space="preserve">oint </w:t>
            </w:r>
            <w:r w:rsidR="00DE7EC8" w:rsidRPr="00932D1B">
              <w:rPr>
                <w:rFonts w:ascii="Calibri Body" w:hAnsi="Calibri Body"/>
                <w:b/>
                <w:bCs/>
                <w:lang w:val="en-GB" w:eastAsia="en-GB"/>
              </w:rPr>
              <w:t>E</w:t>
            </w: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valuation)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17C812" w14:textId="23C5C347" w:rsidR="008A3280" w:rsidRPr="00932D1B" w:rsidRDefault="008A3280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 xml:space="preserve">Evaluation </w:t>
            </w:r>
            <w:r w:rsidR="00DE7EC8" w:rsidRPr="00932D1B">
              <w:rPr>
                <w:rFonts w:ascii="Calibri Body" w:hAnsi="Calibri Body"/>
                <w:b/>
                <w:bCs/>
                <w:lang w:val="en-GB" w:eastAsia="en-GB"/>
              </w:rPr>
              <w:t>C</w:t>
            </w: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 xml:space="preserve">ommissioned </w:t>
            </w:r>
            <w:r w:rsidR="00DE7EC8" w:rsidRPr="00932D1B">
              <w:rPr>
                <w:rFonts w:ascii="Calibri Body" w:hAnsi="Calibri Body"/>
                <w:b/>
                <w:bCs/>
                <w:lang w:val="en-GB" w:eastAsia="en-GB"/>
              </w:rPr>
              <w:t>B</w:t>
            </w: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63138F" w14:textId="3F85CA63" w:rsidR="008A3280" w:rsidRPr="00932D1B" w:rsidRDefault="008A3280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 xml:space="preserve">Type of </w:t>
            </w:r>
            <w:r w:rsidR="00DE7EC8" w:rsidRPr="00932D1B">
              <w:rPr>
                <w:rFonts w:ascii="Calibri Body" w:hAnsi="Calibri Body"/>
                <w:b/>
                <w:bCs/>
                <w:lang w:val="en-GB" w:eastAsia="en-GB"/>
              </w:rPr>
              <w:t>E</w:t>
            </w: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F2378E" w14:textId="77777777" w:rsidR="008A3280" w:rsidRPr="00932D1B" w:rsidRDefault="008A3280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Planned Evaluation Completion Date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4A34EE" w14:textId="3FAD5BDA" w:rsidR="008A3280" w:rsidRPr="00932D1B" w:rsidRDefault="008A3280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Estimated Cost</w:t>
            </w:r>
            <w:r w:rsidR="003749C0" w:rsidRPr="00932D1B">
              <w:rPr>
                <w:rFonts w:ascii="Calibri Body" w:hAnsi="Calibri Body"/>
                <w:b/>
                <w:bCs/>
                <w:lang w:val="en-GB" w:eastAsia="en-GB"/>
              </w:rPr>
              <w:t xml:space="preserve"> (USD)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DD4921" w14:textId="77777777" w:rsidR="008A3280" w:rsidRPr="00932D1B" w:rsidRDefault="008A3280" w:rsidP="00997049">
            <w:pPr>
              <w:jc w:val="center"/>
              <w:rPr>
                <w:rFonts w:ascii="Calibri Body" w:hAnsi="Calibri Body"/>
                <w:b/>
                <w:bCs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lang w:val="en-GB" w:eastAsia="en-GB"/>
              </w:rPr>
              <w:t>Provisional Source of Funding</w:t>
            </w:r>
          </w:p>
        </w:tc>
      </w:tr>
      <w:tr w:rsidR="00EE6A64" w:rsidRPr="00932D1B" w14:paraId="7BB40E27" w14:textId="77777777" w:rsidTr="113DAA3E">
        <w:trPr>
          <w:trHeight w:val="699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392DD" w14:textId="4A295647" w:rsidR="00A76545" w:rsidRPr="00932D1B" w:rsidRDefault="00733D17" w:rsidP="0065116A">
            <w:pPr>
              <w:rPr>
                <w:rFonts w:ascii="Calibri Body" w:hAnsi="Calibri Body"/>
              </w:rPr>
            </w:pPr>
            <w:r w:rsidRPr="00932D1B">
              <w:rPr>
                <w:rFonts w:ascii="Calibri Body" w:hAnsi="Calibri Body"/>
                <w:b/>
                <w:bCs/>
                <w:color w:val="FF0000"/>
                <w:lang w:val="en-GB"/>
              </w:rPr>
              <w:t xml:space="preserve">Outcome 1: </w:t>
            </w:r>
            <w:r w:rsidR="007C479C" w:rsidRPr="00932D1B">
              <w:rPr>
                <w:rFonts w:ascii="Calibri Body" w:hAnsi="Calibri Body"/>
              </w:rPr>
              <w:t xml:space="preserve"> </w:t>
            </w:r>
          </w:p>
          <w:p w14:paraId="2E97950C" w14:textId="76BBA729" w:rsidR="00A76545" w:rsidRPr="00932D1B" w:rsidRDefault="00C21086" w:rsidP="0065116A">
            <w:pPr>
              <w:rPr>
                <w:rFonts w:ascii="Calibri Body" w:hAnsi="Calibri Body"/>
                <w:color w:val="000000"/>
                <w:highlight w:val="yellow"/>
                <w:lang w:val="en-GB"/>
              </w:rPr>
            </w:pPr>
            <w:r w:rsidRPr="00932D1B">
              <w:rPr>
                <w:rFonts w:ascii="Calibri Body" w:eastAsia="Calibri" w:hAnsi="Calibri Body" w:cs="Calibri"/>
                <w:lang w:val="en-GB"/>
              </w:rPr>
              <w:t>By 2027, more people, especially women, youth, the most marginalized and poor, increasingly contribute to and benefit from inclusive, resilient, and sustainable socio-economic transformation at federal, provincial, and local levels.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9FB75" w14:textId="329308EF" w:rsidR="00733D17" w:rsidRPr="00932D1B" w:rsidRDefault="00733D17" w:rsidP="00A4039F">
            <w:pPr>
              <w:jc w:val="both"/>
              <w:rPr>
                <w:rFonts w:ascii="Calibri Body" w:hAnsi="Calibri Body"/>
                <w:color w:val="000000" w:themeColor="text1"/>
              </w:rPr>
            </w:pPr>
            <w:r w:rsidRPr="00932D1B">
              <w:rPr>
                <w:rFonts w:ascii="Calibri Body" w:hAnsi="Calibri Body"/>
                <w:color w:val="000000" w:themeColor="text1"/>
              </w:rPr>
              <w:t>No one left behind centering on equitable access to opportunities and a rights-based approach to human agency and human development.</w:t>
            </w:r>
          </w:p>
          <w:p w14:paraId="03911E7A" w14:textId="77777777" w:rsidR="00733D17" w:rsidRPr="00932D1B" w:rsidRDefault="00733D17" w:rsidP="00A4039F">
            <w:pPr>
              <w:rPr>
                <w:rFonts w:ascii="Calibri Body" w:hAnsi="Calibri Body"/>
                <w:color w:val="000000" w:themeColor="text1"/>
              </w:rPr>
            </w:pPr>
          </w:p>
          <w:p w14:paraId="083DB67E" w14:textId="64239EE5" w:rsidR="004F7875" w:rsidRPr="00932D1B" w:rsidRDefault="004F7875" w:rsidP="00A4039F">
            <w:pPr>
              <w:rPr>
                <w:rFonts w:ascii="Calibri Body" w:hAnsi="Calibri Body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BE0A" w14:textId="5B860604" w:rsidR="00733D17" w:rsidRPr="00932D1B" w:rsidRDefault="00733D17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 xml:space="preserve">Final Evaluation of </w:t>
            </w:r>
            <w:r w:rsidR="00701670" w:rsidRPr="00932D1B">
              <w:rPr>
                <w:rFonts w:ascii="Calibri Body" w:hAnsi="Calibri Body"/>
                <w:lang w:val="en-GB" w:eastAsia="en-GB"/>
              </w:rPr>
              <w:t>Accelerating implementation of SDGs in Nepal</w:t>
            </w:r>
            <w:r w:rsidR="006D75BF" w:rsidRPr="00932D1B">
              <w:rPr>
                <w:rFonts w:ascii="Calibri Body" w:hAnsi="Calibri Body"/>
                <w:lang w:val="en-GB" w:eastAsia="en-GB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A757" w14:textId="6D00215A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NPC, MOF, MOFE, CBS</w:t>
            </w:r>
            <w:r w:rsidR="00A608E5" w:rsidRPr="00932D1B">
              <w:rPr>
                <w:rFonts w:ascii="Calibri Body" w:hAnsi="Calibri Body"/>
                <w:lang w:val="en-GB" w:eastAsia="en-GB"/>
              </w:rPr>
              <w:t xml:space="preserve"> </w:t>
            </w:r>
            <w:r w:rsidR="008D148B" w:rsidRPr="00932D1B">
              <w:rPr>
                <w:rFonts w:ascii="Calibri Body" w:hAnsi="Calibri Body"/>
                <w:lang w:val="en-GB" w:eastAsia="en-GB"/>
              </w:rPr>
              <w:t>E</w:t>
            </w:r>
            <w:r w:rsidR="00AF37BF" w:rsidRPr="00932D1B">
              <w:rPr>
                <w:rFonts w:ascii="Calibri Body" w:hAnsi="Calibri Body"/>
                <w:lang w:val="en-GB" w:eastAsia="en-GB"/>
              </w:rPr>
              <w:t>U</w:t>
            </w:r>
            <w:r w:rsidRPr="00932D1B">
              <w:rPr>
                <w:rFonts w:ascii="Calibri Body" w:hAnsi="Calibri Body"/>
                <w:lang w:val="en-GB" w:eastAsia="en-GB"/>
              </w:rPr>
              <w:t>, Provincial</w:t>
            </w:r>
          </w:p>
          <w:p w14:paraId="791D5D4C" w14:textId="02D3A1EE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governments, local governments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1A60" w14:textId="0BF7DB77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 xml:space="preserve">UNDP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D920" w14:textId="3EAB19F5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6B08" w14:textId="450F9F8A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August 2023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D38C" w14:textId="03684FFF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 xml:space="preserve">30,000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59D4" w14:textId="53D19B77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EE6A64" w:rsidRPr="00932D1B" w14:paraId="2170EA7F" w14:textId="77777777" w:rsidTr="113DAA3E">
        <w:trPr>
          <w:trHeight w:val="699"/>
        </w:trPr>
        <w:tc>
          <w:tcPr>
            <w:tcW w:w="1795" w:type="dxa"/>
            <w:vMerge/>
          </w:tcPr>
          <w:p w14:paraId="458FDCFD" w14:textId="77777777" w:rsidR="00733D17" w:rsidRPr="00932D1B" w:rsidRDefault="00733D17" w:rsidP="00A4039F">
            <w:pPr>
              <w:jc w:val="center"/>
              <w:rPr>
                <w:rFonts w:ascii="Calibri Body" w:hAnsi="Calibri Body"/>
                <w:b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1440" w:type="dxa"/>
            <w:vMerge/>
          </w:tcPr>
          <w:p w14:paraId="3B1DA243" w14:textId="77777777" w:rsidR="00733D17" w:rsidRPr="00932D1B" w:rsidRDefault="00733D17" w:rsidP="00A4039F">
            <w:pPr>
              <w:rPr>
                <w:rFonts w:ascii="Calibri Body" w:hAnsi="Calibri Body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C1B2" w14:textId="0A4BA1BB" w:rsidR="00733D17" w:rsidRPr="00932D1B" w:rsidRDefault="00733D17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color w:val="000000" w:themeColor="text1"/>
              </w:rPr>
              <w:t xml:space="preserve">Final evaluation of </w:t>
            </w:r>
            <w:r w:rsidR="009B28A4" w:rsidRPr="00932D1B">
              <w:rPr>
                <w:rFonts w:ascii="Calibri Body" w:hAnsi="Calibri Body"/>
                <w:color w:val="000000" w:themeColor="text1"/>
              </w:rPr>
              <w:t xml:space="preserve">Sustainable Tourism for Livelihood Recovery Project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D64F" w14:textId="2C497339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eastAsia="16" w:hAnsi="Calibri Body"/>
              </w:rPr>
              <w:t xml:space="preserve">NTB, </w:t>
            </w:r>
            <w:r w:rsidR="00A41AFE" w:rsidRPr="00932D1B">
              <w:rPr>
                <w:rFonts w:ascii="Calibri Body" w:eastAsia="16" w:hAnsi="Calibri Body"/>
              </w:rPr>
              <w:t>UNDP, and</w:t>
            </w:r>
            <w:r w:rsidRPr="00932D1B">
              <w:rPr>
                <w:rFonts w:ascii="Calibri Body" w:eastAsia="16" w:hAnsi="Calibri Body"/>
              </w:rPr>
              <w:t xml:space="preserve"> other relevant partners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45EE" w14:textId="4E5C10B5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7BE8" w14:textId="3CF9BC42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13F4" w14:textId="241794B6" w:rsidR="00733D17" w:rsidRPr="00932D1B" w:rsidRDefault="00A41AF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June 2023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329C" w14:textId="533B6CAE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20,000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62A4" w14:textId="29C5277A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EE6A64" w:rsidRPr="00932D1B" w14:paraId="6F8BF542" w14:textId="77777777" w:rsidTr="113DAA3E">
        <w:trPr>
          <w:trHeight w:val="699"/>
        </w:trPr>
        <w:tc>
          <w:tcPr>
            <w:tcW w:w="1795" w:type="dxa"/>
            <w:vMerge/>
          </w:tcPr>
          <w:p w14:paraId="03E0D777" w14:textId="77777777" w:rsidR="00733D17" w:rsidRPr="00932D1B" w:rsidRDefault="00733D17" w:rsidP="00A4039F">
            <w:pPr>
              <w:jc w:val="center"/>
              <w:rPr>
                <w:rFonts w:ascii="Calibri Body" w:hAnsi="Calibri Body"/>
                <w:b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1440" w:type="dxa"/>
            <w:vMerge/>
          </w:tcPr>
          <w:p w14:paraId="63B6B516" w14:textId="77777777" w:rsidR="00733D17" w:rsidRPr="00932D1B" w:rsidRDefault="00733D17" w:rsidP="00A4039F">
            <w:pPr>
              <w:rPr>
                <w:rFonts w:ascii="Calibri Body" w:hAnsi="Calibri Body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0A6B" w14:textId="5FD36185" w:rsidR="00733D17" w:rsidRPr="00932D1B" w:rsidRDefault="00733D17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 xml:space="preserve">Final evaluation of </w:t>
            </w:r>
            <w:r w:rsidR="002715C6" w:rsidRPr="00932D1B">
              <w:rPr>
                <w:rFonts w:ascii="Calibri Body" w:hAnsi="Calibri Body"/>
                <w:lang w:val="en-GB" w:eastAsia="en-GB"/>
              </w:rPr>
              <w:t>Effective Development Financing and Coordination II</w:t>
            </w:r>
            <w:r w:rsidR="00AA1514" w:rsidRPr="00932D1B">
              <w:rPr>
                <w:rFonts w:ascii="Calibri Body" w:hAnsi="Calibri Body"/>
                <w:lang w:val="en-GB" w:eastAsia="en-GB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ADA0" w14:textId="4FD665B1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MoF, DPs, 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8540" w14:textId="088B87B7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D5F2" w14:textId="72C53CEE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7BC2" w14:textId="79E7EBE0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June 2024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88F6" w14:textId="2653B525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30,000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03C8" w14:textId="33B9FBD9" w:rsidR="00733D17" w:rsidRPr="00932D1B" w:rsidRDefault="00733D17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B450C4" w:rsidRPr="00932D1B" w14:paraId="62A8BB16" w14:textId="77777777" w:rsidTr="113DAA3E">
        <w:trPr>
          <w:trHeight w:val="699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5BA77" w14:textId="7C89EC77" w:rsidR="00B450C4" w:rsidRPr="00932D1B" w:rsidRDefault="00B450C4" w:rsidP="00AC74E8">
            <w:pPr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b/>
                <w:bCs/>
                <w:color w:val="FF0000"/>
                <w:lang w:val="en-GB"/>
              </w:rPr>
              <w:t xml:space="preserve">Outcome 2: </w:t>
            </w:r>
            <w:r w:rsidRPr="00932D1B">
              <w:rPr>
                <w:rFonts w:ascii="Calibri Body" w:hAnsi="Calibri Body"/>
                <w:color w:val="FF0000"/>
              </w:rPr>
              <w:t xml:space="preserve"> </w:t>
            </w:r>
            <w:r w:rsidRPr="00932D1B">
              <w:rPr>
                <w:rFonts w:ascii="Calibri Body" w:hAnsi="Calibri Body"/>
                <w:b/>
                <w:bCs/>
              </w:rPr>
              <w:t xml:space="preserve"> </w:t>
            </w:r>
            <w:r w:rsidRPr="00932D1B">
              <w:rPr>
                <w:rFonts w:ascii="Calibri Body" w:eastAsia="Calibri" w:hAnsi="Calibri Body" w:cs="Calibri"/>
                <w:lang w:val="en-GB"/>
              </w:rPr>
              <w:t xml:space="preserve"> By 2027, more people, especially women, youth, and the most marginalized and poor increasingly participate in and benefit from coordinated, inclusive, </w:t>
            </w:r>
            <w:r w:rsidRPr="00932D1B">
              <w:rPr>
                <w:rFonts w:ascii="Calibri Body" w:eastAsia="Calibri" w:hAnsi="Calibri Body" w:cs="Calibri"/>
                <w:lang w:val="en-GB"/>
              </w:rPr>
              <w:lastRenderedPageBreak/>
              <w:t>participatory, transparent, and gender-responsive governance, access to justice and human rights at federal, provincial, and local levels.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F1529" w14:textId="2D4D3AC8" w:rsidR="00B450C4" w:rsidRPr="00932D1B" w:rsidRDefault="00B450C4" w:rsidP="00A4039F">
            <w:pPr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/>
              </w:rPr>
              <w:lastRenderedPageBreak/>
              <w:t>Structural transformation accelerated, particularly green, inclusive and digital transitions;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ACFF" w14:textId="7EBDF7FA" w:rsidR="00B450C4" w:rsidRPr="00932D1B" w:rsidRDefault="00B450C4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 xml:space="preserve">Mid-term review of Enhancing Access to Justice through institutional reform project phase -II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8A14" w14:textId="5AEE4646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proofErr w:type="spellStart"/>
            <w:r w:rsidRPr="00932D1B">
              <w:rPr>
                <w:rFonts w:ascii="Calibri Body" w:hAnsi="Calibri Body"/>
                <w:lang w:val="en-GB" w:eastAsia="en-GB"/>
              </w:rPr>
              <w:t>MoLJPA</w:t>
            </w:r>
            <w:proofErr w:type="spellEnd"/>
            <w:r w:rsidRPr="00932D1B">
              <w:rPr>
                <w:rFonts w:ascii="Calibri Body" w:hAnsi="Calibri Body"/>
                <w:lang w:val="en-GB" w:eastAsia="en-GB"/>
              </w:rPr>
              <w:t>, UNDP, NBA, CSOs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FA21" w14:textId="2B1C4025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E2A" w14:textId="75D59146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437E" w14:textId="6C497CE7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June 2024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287E" w14:textId="43171EB6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 xml:space="preserve">47,000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3D06" w14:textId="363CEFBD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B450C4" w:rsidRPr="00932D1B" w14:paraId="43E37A25" w14:textId="77777777" w:rsidTr="113DAA3E">
        <w:trPr>
          <w:trHeight w:val="273"/>
        </w:trPr>
        <w:tc>
          <w:tcPr>
            <w:tcW w:w="1795" w:type="dxa"/>
            <w:vMerge/>
          </w:tcPr>
          <w:p w14:paraId="40E2550D" w14:textId="77777777" w:rsidR="00B450C4" w:rsidRPr="00932D1B" w:rsidRDefault="00B450C4" w:rsidP="00A4039F">
            <w:pPr>
              <w:jc w:val="center"/>
              <w:rPr>
                <w:rFonts w:ascii="Calibri Body" w:hAnsi="Calibri Body"/>
                <w:color w:val="000000" w:themeColor="text1"/>
                <w:kern w:val="24"/>
                <w:lang w:val="en-GB"/>
              </w:rPr>
            </w:pPr>
          </w:p>
        </w:tc>
        <w:tc>
          <w:tcPr>
            <w:tcW w:w="1440" w:type="dxa"/>
            <w:vMerge/>
          </w:tcPr>
          <w:p w14:paraId="45E5AEFC" w14:textId="77777777" w:rsidR="00B450C4" w:rsidRPr="00932D1B" w:rsidRDefault="00B450C4" w:rsidP="00A4039F">
            <w:pPr>
              <w:jc w:val="both"/>
              <w:rPr>
                <w:rFonts w:ascii="Calibri Body" w:hAnsi="Calibri Body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C88" w14:textId="65E55333" w:rsidR="00B450C4" w:rsidRPr="00932D1B" w:rsidRDefault="00B450C4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Final evaluation of Enhancing Access to Justice through institutional reform project phase -II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EDC" w14:textId="60CDE6C5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proofErr w:type="spellStart"/>
            <w:r w:rsidRPr="00932D1B">
              <w:rPr>
                <w:rFonts w:ascii="Calibri Body" w:hAnsi="Calibri Body"/>
                <w:lang w:val="en-GB" w:eastAsia="en-GB"/>
              </w:rPr>
              <w:t>MoLJPA</w:t>
            </w:r>
            <w:proofErr w:type="spellEnd"/>
            <w:r w:rsidRPr="00932D1B">
              <w:rPr>
                <w:rFonts w:ascii="Calibri Body" w:hAnsi="Calibri Body"/>
                <w:lang w:val="en-GB" w:eastAsia="en-GB"/>
              </w:rPr>
              <w:t>, UNDP, NBA, CSOs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1344" w14:textId="4CF06847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D46" w14:textId="028592D1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A8B" w14:textId="09B3DF1D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September 2026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E3F" w14:textId="2EB3E2E5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47,000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FC1" w14:textId="0CB1C8B4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B450C4" w:rsidRPr="00932D1B" w14:paraId="3C322287" w14:textId="77777777" w:rsidTr="113DAA3E">
        <w:trPr>
          <w:trHeight w:val="273"/>
        </w:trPr>
        <w:tc>
          <w:tcPr>
            <w:tcW w:w="1795" w:type="dxa"/>
            <w:vMerge/>
          </w:tcPr>
          <w:p w14:paraId="57A53267" w14:textId="77777777" w:rsidR="00B450C4" w:rsidRPr="00932D1B" w:rsidRDefault="00B450C4" w:rsidP="00A4039F">
            <w:pPr>
              <w:jc w:val="center"/>
              <w:rPr>
                <w:rFonts w:ascii="Calibri Body" w:hAnsi="Calibri Body"/>
                <w:color w:val="000000" w:themeColor="text1"/>
                <w:kern w:val="24"/>
                <w:lang w:val="en-GB"/>
              </w:rPr>
            </w:pPr>
          </w:p>
        </w:tc>
        <w:tc>
          <w:tcPr>
            <w:tcW w:w="1440" w:type="dxa"/>
            <w:vMerge/>
          </w:tcPr>
          <w:p w14:paraId="778B7DD2" w14:textId="77777777" w:rsidR="00B450C4" w:rsidRPr="00932D1B" w:rsidRDefault="00B450C4" w:rsidP="00A4039F">
            <w:pPr>
              <w:jc w:val="both"/>
              <w:rPr>
                <w:rFonts w:ascii="Calibri Body" w:hAnsi="Calibri Body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CA6A" w14:textId="0F0B13D5" w:rsidR="00B450C4" w:rsidRPr="00932D1B" w:rsidRDefault="00B450C4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Final evaluation of PLGSP 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85B" w14:textId="0614B32A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MOFAGA, UNDP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85B" w14:textId="003AA13F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E80" w14:textId="3CDFFD92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B1D" w14:textId="6329FC84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June 2023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6D6" w14:textId="7AF9924E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30,000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0F6" w14:textId="0D65AF14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B450C4" w:rsidRPr="00932D1B" w14:paraId="51E39112" w14:textId="77777777" w:rsidTr="113DAA3E">
        <w:trPr>
          <w:trHeight w:val="273"/>
        </w:trPr>
        <w:tc>
          <w:tcPr>
            <w:tcW w:w="1795" w:type="dxa"/>
            <w:vMerge/>
          </w:tcPr>
          <w:p w14:paraId="56CB84F7" w14:textId="77777777" w:rsidR="00B450C4" w:rsidRPr="00932D1B" w:rsidRDefault="00B450C4" w:rsidP="00A4039F">
            <w:pPr>
              <w:jc w:val="center"/>
              <w:rPr>
                <w:rFonts w:ascii="Calibri Body" w:hAnsi="Calibri Body"/>
                <w:color w:val="000000" w:themeColor="text1"/>
                <w:kern w:val="24"/>
                <w:lang w:val="en-GB"/>
              </w:rPr>
            </w:pPr>
          </w:p>
        </w:tc>
        <w:tc>
          <w:tcPr>
            <w:tcW w:w="1440" w:type="dxa"/>
            <w:vMerge/>
          </w:tcPr>
          <w:p w14:paraId="58B8D790" w14:textId="77777777" w:rsidR="00B450C4" w:rsidRPr="00932D1B" w:rsidRDefault="00B450C4" w:rsidP="00A4039F">
            <w:pPr>
              <w:jc w:val="both"/>
              <w:rPr>
                <w:rFonts w:ascii="Calibri Body" w:hAnsi="Calibri Body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55D" w14:textId="3567F64A" w:rsidR="00B450C4" w:rsidRPr="00932D1B" w:rsidRDefault="00B450C4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Final evaluation of European Union Support for Inclusive Federalism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9C3" w14:textId="5323BDA4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MOFAGA, EU, UNDP, Province government, local government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3AD" w14:textId="44D794B9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26A" w14:textId="0D314648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9AF" w14:textId="1E0BD0C3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August 2024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BDC" w14:textId="67B08298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40,000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63B" w14:textId="28E3E167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B450C4" w:rsidRPr="00932D1B" w14:paraId="0C981603" w14:textId="77777777" w:rsidTr="113DAA3E">
        <w:trPr>
          <w:trHeight w:val="273"/>
        </w:trPr>
        <w:tc>
          <w:tcPr>
            <w:tcW w:w="1795" w:type="dxa"/>
            <w:vMerge/>
          </w:tcPr>
          <w:p w14:paraId="49412046" w14:textId="77777777" w:rsidR="00B450C4" w:rsidRPr="00932D1B" w:rsidRDefault="00B450C4" w:rsidP="00A4039F">
            <w:pPr>
              <w:jc w:val="center"/>
              <w:rPr>
                <w:rFonts w:ascii="Calibri Body" w:hAnsi="Calibri Body"/>
                <w:color w:val="000000" w:themeColor="text1"/>
                <w:kern w:val="24"/>
                <w:lang w:val="en-GB"/>
              </w:rPr>
            </w:pPr>
          </w:p>
        </w:tc>
        <w:tc>
          <w:tcPr>
            <w:tcW w:w="1440" w:type="dxa"/>
            <w:vMerge/>
          </w:tcPr>
          <w:p w14:paraId="627FF791" w14:textId="77777777" w:rsidR="00B450C4" w:rsidRPr="00932D1B" w:rsidRDefault="00B450C4" w:rsidP="00A4039F">
            <w:pPr>
              <w:jc w:val="both"/>
              <w:rPr>
                <w:rFonts w:ascii="Calibri Body" w:hAnsi="Calibri Body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81A" w14:textId="214BA831" w:rsidR="00B450C4" w:rsidRPr="00932D1B" w:rsidRDefault="00B450C4" w:rsidP="006E0F37">
            <w:pPr>
              <w:rPr>
                <w:rFonts w:ascii="Calibri Body" w:hAnsi="Calibri Body"/>
              </w:rPr>
            </w:pPr>
          </w:p>
          <w:p w14:paraId="62496338" w14:textId="257E1D6B" w:rsidR="00B450C4" w:rsidRPr="00932D1B" w:rsidRDefault="00B450C4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113DAA3E">
              <w:rPr>
                <w:rFonts w:ascii="Calibri Body" w:hAnsi="Calibri Body"/>
                <w:lang w:val="en-GB" w:eastAsia="en-GB"/>
              </w:rPr>
              <w:t>Thematic evaluation of UNDP’s contribution to Federalism in Nepal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A9D" w14:textId="493970A8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NPC, Provincial governments, EDPs, CSOs, UN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8C2" w14:textId="10CCCB54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E82" w14:textId="04DE131D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Thematic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782" w14:textId="164EE2FE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June 2025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E9B" w14:textId="68D8F48E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40,000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74C2" w14:textId="72638266" w:rsidR="00B450C4" w:rsidRPr="00932D1B" w:rsidRDefault="00B450C4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Regular Resources</w:t>
            </w:r>
          </w:p>
        </w:tc>
      </w:tr>
      <w:tr w:rsidR="00EE6A64" w:rsidRPr="00932D1B" w14:paraId="2EB26FF4" w14:textId="77777777" w:rsidTr="113DAA3E">
        <w:trPr>
          <w:trHeight w:val="699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0525B" w14:textId="66335CA4" w:rsidR="008659EE" w:rsidRPr="00932D1B" w:rsidRDefault="008659EE" w:rsidP="00A74561">
            <w:pPr>
              <w:rPr>
                <w:rFonts w:ascii="Calibri Body" w:hAnsi="Calibri Body"/>
                <w:color w:val="000000" w:themeColor="text1"/>
                <w:kern w:val="24"/>
                <w:lang w:val="en-GB"/>
              </w:rPr>
            </w:pPr>
            <w:r w:rsidRPr="00932D1B">
              <w:rPr>
                <w:rFonts w:ascii="Calibri Body" w:hAnsi="Calibri Body"/>
                <w:color w:val="FF0000"/>
                <w:lang w:val="en-GB"/>
              </w:rPr>
              <w:t xml:space="preserve">Outcome 3: </w:t>
            </w:r>
            <w:r w:rsidR="001961F2" w:rsidRPr="00932D1B">
              <w:rPr>
                <w:rFonts w:ascii="Calibri Body" w:hAnsi="Calibri Body"/>
                <w:color w:val="FF0000"/>
              </w:rPr>
              <w:t xml:space="preserve"> </w:t>
            </w:r>
            <w:r w:rsidR="00A74561" w:rsidRPr="00932D1B">
              <w:rPr>
                <w:rFonts w:ascii="Calibri Body" w:hAnsi="Calibri Body"/>
              </w:rPr>
              <w:t xml:space="preserve"> </w:t>
            </w:r>
            <w:r w:rsidR="00774055" w:rsidRPr="00932D1B">
              <w:rPr>
                <w:rFonts w:ascii="Calibri Body" w:eastAsia="Calibri" w:hAnsi="Calibri Body" w:cs="Calibri"/>
                <w:lang w:val="en-GB"/>
              </w:rPr>
              <w:t xml:space="preserve"> By 2027, more people, especially women, youth, and the most marginalised and poor, increasingly benefit from and contribute to building an inclusive, sustainable, climate-resilient and green society and reduced impacts of disasters at federal, provincial, and local levels.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54D7F" w14:textId="77777777" w:rsidR="008659EE" w:rsidRPr="00932D1B" w:rsidRDefault="008659EE" w:rsidP="00A4039F">
            <w:pPr>
              <w:jc w:val="both"/>
              <w:rPr>
                <w:rFonts w:ascii="Calibri Body" w:hAnsi="Calibri Body"/>
                <w:color w:val="000000" w:themeColor="text1"/>
              </w:rPr>
            </w:pPr>
            <w:r w:rsidRPr="00932D1B">
              <w:rPr>
                <w:rFonts w:ascii="Calibri Body" w:hAnsi="Calibri Body"/>
                <w:color w:val="000000" w:themeColor="text1"/>
              </w:rPr>
              <w:t>Resilience built to respond to systemic uncertainty and risk.</w:t>
            </w:r>
          </w:p>
          <w:p w14:paraId="79844203" w14:textId="5D720060" w:rsidR="008659EE" w:rsidRPr="00932D1B" w:rsidDel="000A36E6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127" w14:textId="61688390" w:rsidR="008659EE" w:rsidRPr="00932D1B" w:rsidRDefault="008659EE" w:rsidP="000825C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Body" w:hAnsi="Calibri Body"/>
                <w:color w:val="000000" w:themeColor="text1"/>
              </w:rPr>
            </w:pPr>
            <w:r w:rsidRPr="113DAA3E">
              <w:rPr>
                <w:rFonts w:ascii="Calibri Body" w:hAnsi="Calibri Body"/>
                <w:color w:val="000000" w:themeColor="text1"/>
              </w:rPr>
              <w:t>Terminal Evaluation of Developing Climate Resilient Livelihoods in the Vulnerable Watershed in Nepal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CF2" w14:textId="1867F8B2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proofErr w:type="spellStart"/>
            <w:r w:rsidRPr="00932D1B">
              <w:rPr>
                <w:rFonts w:ascii="Calibri Body" w:hAnsi="Calibri Body"/>
                <w:lang w:val="en-GB" w:eastAsia="en-GB"/>
              </w:rPr>
              <w:t>MoFE</w:t>
            </w:r>
            <w:proofErr w:type="spellEnd"/>
            <w:r w:rsidRPr="00932D1B">
              <w:rPr>
                <w:rFonts w:ascii="Calibri Body" w:hAnsi="Calibri Body"/>
                <w:lang w:val="en-GB" w:eastAsia="en-GB"/>
              </w:rPr>
              <w:t>, UNDP, GEF, Local municipalities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958" w14:textId="73A1B9AF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9F1B" w14:textId="3FF5B903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C5C" w14:textId="43631B89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March 2024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81E" w14:textId="00A8E6F7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43,000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E33" w14:textId="6E3A5E16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EE6A64" w:rsidRPr="00932D1B" w14:paraId="643C59E7" w14:textId="77777777" w:rsidTr="113DAA3E">
        <w:trPr>
          <w:trHeight w:val="45"/>
        </w:trPr>
        <w:tc>
          <w:tcPr>
            <w:tcW w:w="1795" w:type="dxa"/>
            <w:vMerge/>
          </w:tcPr>
          <w:p w14:paraId="04F51C18" w14:textId="5B3E68DF" w:rsidR="008659EE" w:rsidRPr="00932D1B" w:rsidRDefault="008659EE" w:rsidP="00591666">
            <w:pPr>
              <w:rPr>
                <w:rFonts w:ascii="Calibri Body" w:hAnsi="Calibri Body"/>
                <w:lang w:val="en-GB" w:eastAsia="en-GB"/>
              </w:rPr>
            </w:pPr>
          </w:p>
        </w:tc>
        <w:tc>
          <w:tcPr>
            <w:tcW w:w="1440" w:type="dxa"/>
            <w:vMerge/>
          </w:tcPr>
          <w:p w14:paraId="4A4384C8" w14:textId="77777777" w:rsidR="008659EE" w:rsidRPr="00932D1B" w:rsidRDefault="008659EE" w:rsidP="00A4039F">
            <w:pPr>
              <w:jc w:val="center"/>
              <w:rPr>
                <w:rFonts w:ascii="Calibri Body" w:hAnsi="Calibri Body"/>
                <w:color w:val="000000" w:themeColor="text1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21D" w14:textId="4EA2A9F5" w:rsidR="008659EE" w:rsidRPr="00932D1B" w:rsidRDefault="008659EE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113DAA3E">
              <w:rPr>
                <w:rFonts w:ascii="Calibri Body" w:hAnsi="Calibri Body"/>
                <w:lang w:val="en-GB" w:eastAsia="en-GB"/>
              </w:rPr>
              <w:t>Final evaluation of SUPER project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3C3" w14:textId="4AC49A75" w:rsidR="008659EE" w:rsidRPr="00932D1B" w:rsidRDefault="008659EE" w:rsidP="00A4039F">
            <w:pPr>
              <w:jc w:val="center"/>
              <w:rPr>
                <w:rFonts w:ascii="Calibri Body" w:hAnsi="Calibri Body"/>
                <w:lang w:val="sv-SE" w:eastAsia="en-GB"/>
              </w:rPr>
            </w:pPr>
            <w:r w:rsidRPr="00932D1B">
              <w:rPr>
                <w:rFonts w:ascii="Calibri Body" w:hAnsi="Calibri Body"/>
                <w:lang w:val="sv-SE" w:eastAsia="en-GB"/>
              </w:rPr>
              <w:t>EU, MoHA, UNDP, UNICEF, WFP, CSOs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6A5" w14:textId="7D433FA7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383" w14:textId="6C76412B" w:rsidR="008659EE" w:rsidRPr="00932D1B" w:rsidRDefault="008659EE" w:rsidP="00A4039F">
            <w:pPr>
              <w:jc w:val="center"/>
              <w:rPr>
                <w:rFonts w:ascii="Calibri Body" w:eastAsia="Arial Unicode MS" w:hAnsi="Calibri Body"/>
                <w:lang w:val="en-GB"/>
              </w:rPr>
            </w:pPr>
            <w:r w:rsidRPr="00932D1B">
              <w:rPr>
                <w:rFonts w:ascii="Calibri Body" w:eastAsia="Arial Unicode MS" w:hAnsi="Calibri Body"/>
                <w:lang w:val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B94" w14:textId="129D82B3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September 2023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F14" w14:textId="17652828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10,000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297" w14:textId="6A16D07A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EE6A64" w:rsidRPr="00932D1B" w14:paraId="72979660" w14:textId="77777777" w:rsidTr="113DAA3E">
        <w:trPr>
          <w:trHeight w:val="45"/>
        </w:trPr>
        <w:tc>
          <w:tcPr>
            <w:tcW w:w="1795" w:type="dxa"/>
            <w:vMerge/>
          </w:tcPr>
          <w:p w14:paraId="3AC1B182" w14:textId="77777777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</w:p>
        </w:tc>
        <w:tc>
          <w:tcPr>
            <w:tcW w:w="1440" w:type="dxa"/>
            <w:vMerge/>
          </w:tcPr>
          <w:p w14:paraId="33C3A6CA" w14:textId="77777777" w:rsidR="008659EE" w:rsidRPr="00932D1B" w:rsidRDefault="008659EE" w:rsidP="00A4039F">
            <w:pPr>
              <w:jc w:val="center"/>
              <w:rPr>
                <w:rFonts w:ascii="Calibri Body" w:hAnsi="Calibri Body"/>
                <w:color w:val="000000" w:themeColor="text1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FB2" w14:textId="7C2873E3" w:rsidR="008659EE" w:rsidRPr="00932D1B" w:rsidRDefault="008659EE" w:rsidP="000825CD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113DAA3E">
              <w:rPr>
                <w:rFonts w:ascii="Calibri Body" w:hAnsi="Calibri Body"/>
                <w:lang w:val="en-GB" w:eastAsia="en-GB"/>
              </w:rPr>
              <w:t xml:space="preserve">Final Evaluation of </w:t>
            </w:r>
            <w:r w:rsidR="00075232" w:rsidRPr="113DAA3E">
              <w:rPr>
                <w:rFonts w:ascii="Calibri Body" w:hAnsi="Calibri Body"/>
                <w:lang w:val="en-GB" w:eastAsia="en-GB"/>
              </w:rPr>
              <w:t xml:space="preserve">Renewable Energy for Rural Livelihoods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6855" w14:textId="01CD3543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 xml:space="preserve">AEPC, UNDP, ADB, Mini </w:t>
            </w:r>
            <w:proofErr w:type="spellStart"/>
            <w:r w:rsidRPr="00932D1B">
              <w:rPr>
                <w:rFonts w:ascii="Calibri Body" w:hAnsi="Calibri Body"/>
                <w:lang w:val="en-GB" w:eastAsia="en-GB"/>
              </w:rPr>
              <w:t>Hydros</w:t>
            </w:r>
            <w:proofErr w:type="spellEnd"/>
            <w:r w:rsidRPr="00932D1B">
              <w:rPr>
                <w:rFonts w:ascii="Calibri Body" w:hAnsi="Calibri Body"/>
                <w:lang w:val="en-GB" w:eastAsia="en-GB"/>
              </w:rPr>
              <w:t>, Local governments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AB4" w14:textId="178B1F41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5D3" w14:textId="4BDA780A" w:rsidR="008659EE" w:rsidRPr="00932D1B" w:rsidRDefault="008659EE" w:rsidP="00A4039F">
            <w:pPr>
              <w:jc w:val="center"/>
              <w:rPr>
                <w:rFonts w:ascii="Calibri Body" w:eastAsia="Arial Unicode MS" w:hAnsi="Calibri Body"/>
                <w:lang w:val="en-GB"/>
              </w:rPr>
            </w:pPr>
            <w:r w:rsidRPr="00932D1B">
              <w:rPr>
                <w:rFonts w:ascii="Calibri Body" w:eastAsia="Arial Unicode MS" w:hAnsi="Calibri Body"/>
                <w:lang w:val="en-GB"/>
              </w:rPr>
              <w:t>Project 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F1D9" w14:textId="0A68E0B8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September 2024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5A3" w14:textId="069CCC65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30,000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5F5" w14:textId="0741FFF3" w:rsidR="008659EE" w:rsidRPr="00932D1B" w:rsidRDefault="008659EE" w:rsidP="00A4039F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Project Budget</w:t>
            </w:r>
          </w:p>
        </w:tc>
      </w:tr>
      <w:tr w:rsidR="00330376" w:rsidRPr="00932D1B" w14:paraId="3CECBE8C" w14:textId="77777777" w:rsidTr="113DAA3E">
        <w:trPr>
          <w:trHeight w:val="45"/>
        </w:trPr>
        <w:tc>
          <w:tcPr>
            <w:tcW w:w="1795" w:type="dxa"/>
            <w:vMerge/>
          </w:tcPr>
          <w:p w14:paraId="7CDB8CAA" w14:textId="77777777" w:rsidR="00330376" w:rsidRPr="00932D1B" w:rsidRDefault="00330376" w:rsidP="00330376">
            <w:pPr>
              <w:jc w:val="center"/>
              <w:rPr>
                <w:rFonts w:ascii="Calibri Body" w:hAnsi="Calibri Body"/>
                <w:lang w:val="en-GB" w:eastAsia="en-GB"/>
              </w:rPr>
            </w:pPr>
          </w:p>
        </w:tc>
        <w:tc>
          <w:tcPr>
            <w:tcW w:w="1440" w:type="dxa"/>
            <w:vMerge/>
          </w:tcPr>
          <w:p w14:paraId="0DB059DC" w14:textId="77777777" w:rsidR="00330376" w:rsidRPr="00932D1B" w:rsidRDefault="00330376" w:rsidP="00330376">
            <w:pPr>
              <w:jc w:val="center"/>
              <w:rPr>
                <w:rFonts w:ascii="Calibri Body" w:hAnsi="Calibri Body"/>
                <w:color w:val="000000" w:themeColor="text1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6B6" w14:textId="77777777" w:rsidR="00330376" w:rsidRPr="00932D1B" w:rsidRDefault="00330376" w:rsidP="00330376">
            <w:pPr>
              <w:rPr>
                <w:rFonts w:ascii="Calibri Body" w:hAnsi="Calibri Body"/>
              </w:rPr>
            </w:pPr>
          </w:p>
          <w:p w14:paraId="41740964" w14:textId="6DF7886A" w:rsidR="00330376" w:rsidRPr="00932D1B" w:rsidRDefault="00330376" w:rsidP="00330376">
            <w:pPr>
              <w:pStyle w:val="ListParagraph"/>
              <w:numPr>
                <w:ilvl w:val="0"/>
                <w:numId w:val="3"/>
              </w:numPr>
              <w:rPr>
                <w:rFonts w:ascii="Calibri Body" w:hAnsi="Calibri Body"/>
                <w:lang w:val="en-GB" w:eastAsia="en-GB"/>
              </w:rPr>
            </w:pPr>
            <w:r w:rsidRPr="113DAA3E">
              <w:rPr>
                <w:rFonts w:ascii="Calibri Body" w:hAnsi="Calibri Body"/>
                <w:lang w:val="en-GB" w:eastAsia="en-GB"/>
              </w:rPr>
              <w:t xml:space="preserve">Outcome evaluation of </w:t>
            </w:r>
            <w:r w:rsidR="003A5789" w:rsidRPr="113DAA3E">
              <w:rPr>
                <w:rFonts w:ascii="Calibri Body" w:hAnsi="Calibri Body"/>
                <w:lang w:val="en-GB" w:eastAsia="en-GB"/>
              </w:rPr>
              <w:t>Resilien</w:t>
            </w:r>
            <w:r w:rsidR="6F4A4ACB" w:rsidRPr="113DAA3E">
              <w:rPr>
                <w:rFonts w:ascii="Calibri Body" w:hAnsi="Calibri Body"/>
                <w:lang w:val="en-GB" w:eastAsia="en-GB"/>
              </w:rPr>
              <w:t xml:space="preserve">ce </w:t>
            </w:r>
            <w:r w:rsidR="003A5789" w:rsidRPr="113DAA3E">
              <w:rPr>
                <w:rFonts w:ascii="Calibri Body" w:hAnsi="Calibri Body"/>
                <w:lang w:val="en-GB" w:eastAsia="en-GB"/>
              </w:rPr>
              <w:t>and Climate Portfolio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B36" w14:textId="3D057EFA" w:rsidR="00330376" w:rsidRPr="00932D1B" w:rsidRDefault="00330376" w:rsidP="00330376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 xml:space="preserve">NPC, </w:t>
            </w:r>
            <w:r w:rsidR="004B53DE">
              <w:rPr>
                <w:rFonts w:ascii="Calibri Body" w:hAnsi="Calibri Body"/>
                <w:lang w:val="en-GB" w:eastAsia="en-GB"/>
              </w:rPr>
              <w:t xml:space="preserve">MOFE, </w:t>
            </w:r>
            <w:r w:rsidRPr="00932D1B">
              <w:rPr>
                <w:rFonts w:ascii="Calibri Body" w:hAnsi="Calibri Body"/>
                <w:lang w:val="en-GB" w:eastAsia="en-GB"/>
              </w:rPr>
              <w:t>Provincial governments, EDPs, CSOs, UN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DD7" w14:textId="60B59D7C" w:rsidR="00330376" w:rsidRPr="00932D1B" w:rsidRDefault="00330376" w:rsidP="00330376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UNDP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5EC" w14:textId="162AB7CD" w:rsidR="00330376" w:rsidRPr="00932D1B" w:rsidRDefault="00C859CA" w:rsidP="00330376">
            <w:pPr>
              <w:jc w:val="center"/>
              <w:rPr>
                <w:rFonts w:ascii="Calibri Body" w:eastAsia="Arial Unicode MS" w:hAnsi="Calibri Body"/>
                <w:lang w:val="en-GB"/>
              </w:rPr>
            </w:pPr>
            <w:r>
              <w:rPr>
                <w:rFonts w:ascii="Calibri Body" w:hAnsi="Calibri Body"/>
                <w:lang w:val="en-GB" w:eastAsia="en-GB"/>
              </w:rPr>
              <w:t xml:space="preserve">Outcome </w:t>
            </w:r>
            <w:r w:rsidR="00330376" w:rsidRPr="00932D1B">
              <w:rPr>
                <w:rFonts w:ascii="Calibri Body" w:hAnsi="Calibri Body"/>
                <w:lang w:val="en-GB" w:eastAsia="en-GB"/>
              </w:rPr>
              <w:t>Evaluation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041" w14:textId="71F33DD7" w:rsidR="00330376" w:rsidRPr="00932D1B" w:rsidRDefault="009A57B6" w:rsidP="00330376">
            <w:pPr>
              <w:jc w:val="center"/>
              <w:rPr>
                <w:rFonts w:ascii="Calibri Body" w:hAnsi="Calibri Body"/>
                <w:lang w:val="en-GB" w:eastAsia="en-GB"/>
              </w:rPr>
            </w:pPr>
            <w:r>
              <w:rPr>
                <w:rFonts w:ascii="Calibri Body" w:hAnsi="Calibri Body"/>
                <w:lang w:val="en-GB" w:eastAsia="en-GB"/>
              </w:rPr>
              <w:t>August 2025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835" w14:textId="048ECB96" w:rsidR="00330376" w:rsidRPr="00932D1B" w:rsidRDefault="009A0381" w:rsidP="00330376">
            <w:pPr>
              <w:jc w:val="center"/>
              <w:rPr>
                <w:rFonts w:ascii="Calibri Body" w:hAnsi="Calibri Body"/>
                <w:lang w:val="en-GB" w:eastAsia="en-GB"/>
              </w:rPr>
            </w:pPr>
            <w:r>
              <w:rPr>
                <w:rFonts w:ascii="Calibri Body" w:hAnsi="Calibri Body"/>
                <w:lang w:val="en-GB" w:eastAsia="en-GB"/>
              </w:rPr>
              <w:t>5</w:t>
            </w:r>
            <w:r w:rsidR="00330376" w:rsidRPr="00932D1B">
              <w:rPr>
                <w:rFonts w:ascii="Calibri Body" w:hAnsi="Calibri Body"/>
                <w:lang w:val="en-GB" w:eastAsia="en-GB"/>
              </w:rPr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4BD" w14:textId="10A451F3" w:rsidR="00330376" w:rsidRPr="00932D1B" w:rsidRDefault="00330376" w:rsidP="00330376">
            <w:pPr>
              <w:jc w:val="center"/>
              <w:rPr>
                <w:rFonts w:ascii="Calibri Body" w:hAnsi="Calibri Body"/>
                <w:lang w:val="en-GB" w:eastAsia="en-GB"/>
              </w:rPr>
            </w:pPr>
            <w:r w:rsidRPr="00932D1B">
              <w:rPr>
                <w:rFonts w:ascii="Calibri Body" w:hAnsi="Calibri Body"/>
                <w:lang w:val="en-GB" w:eastAsia="en-GB"/>
              </w:rPr>
              <w:t>Regular Resources</w:t>
            </w:r>
          </w:p>
        </w:tc>
      </w:tr>
    </w:tbl>
    <w:p w14:paraId="72C946B9" w14:textId="77777777" w:rsidR="008A3280" w:rsidRPr="0071394D" w:rsidRDefault="008A3280" w:rsidP="00166BAB">
      <w:pPr>
        <w:rPr>
          <w:color w:val="000000"/>
          <w:sz w:val="16"/>
          <w:szCs w:val="16"/>
        </w:rPr>
      </w:pPr>
    </w:p>
    <w:sectPr w:rsidR="008A3280" w:rsidRPr="0071394D" w:rsidSect="008A32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396A" w14:textId="77777777" w:rsidR="002B484F" w:rsidRDefault="002B484F" w:rsidP="00C65021">
      <w:r>
        <w:separator/>
      </w:r>
    </w:p>
  </w:endnote>
  <w:endnote w:type="continuationSeparator" w:id="0">
    <w:p w14:paraId="64E87F8D" w14:textId="77777777" w:rsidR="002B484F" w:rsidRDefault="002B484F" w:rsidP="00C6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16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E531" w14:textId="77777777" w:rsidR="002B484F" w:rsidRDefault="002B484F" w:rsidP="00C65021">
      <w:r>
        <w:separator/>
      </w:r>
    </w:p>
  </w:footnote>
  <w:footnote w:type="continuationSeparator" w:id="0">
    <w:p w14:paraId="7A139EDC" w14:textId="77777777" w:rsidR="002B484F" w:rsidRDefault="002B484F" w:rsidP="00C6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C55"/>
    <w:multiLevelType w:val="hybridMultilevel"/>
    <w:tmpl w:val="6E66CD76"/>
    <w:lvl w:ilvl="0" w:tplc="BEA8D396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FA1381F"/>
    <w:multiLevelType w:val="hybridMultilevel"/>
    <w:tmpl w:val="5BA6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94ECA"/>
    <w:multiLevelType w:val="multilevel"/>
    <w:tmpl w:val="3FFE5D5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081228"/>
    <w:multiLevelType w:val="hybridMultilevel"/>
    <w:tmpl w:val="64BE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80"/>
    <w:rsid w:val="00001FCE"/>
    <w:rsid w:val="000335FD"/>
    <w:rsid w:val="000543CB"/>
    <w:rsid w:val="000638E6"/>
    <w:rsid w:val="00075232"/>
    <w:rsid w:val="000825CD"/>
    <w:rsid w:val="00082BE9"/>
    <w:rsid w:val="00086137"/>
    <w:rsid w:val="000870A3"/>
    <w:rsid w:val="00087E8B"/>
    <w:rsid w:val="00090BE2"/>
    <w:rsid w:val="000B152C"/>
    <w:rsid w:val="000B4466"/>
    <w:rsid w:val="000C5743"/>
    <w:rsid w:val="000D388F"/>
    <w:rsid w:val="000D7D34"/>
    <w:rsid w:val="000E0737"/>
    <w:rsid w:val="000E7911"/>
    <w:rsid w:val="000F763F"/>
    <w:rsid w:val="000F7BB1"/>
    <w:rsid w:val="00100768"/>
    <w:rsid w:val="00100848"/>
    <w:rsid w:val="0010468A"/>
    <w:rsid w:val="00106E6F"/>
    <w:rsid w:val="001075C4"/>
    <w:rsid w:val="001211F7"/>
    <w:rsid w:val="0013194A"/>
    <w:rsid w:val="00135470"/>
    <w:rsid w:val="00160880"/>
    <w:rsid w:val="0016092B"/>
    <w:rsid w:val="00160C47"/>
    <w:rsid w:val="00166BAB"/>
    <w:rsid w:val="0016711C"/>
    <w:rsid w:val="00171211"/>
    <w:rsid w:val="00190C5A"/>
    <w:rsid w:val="001961F2"/>
    <w:rsid w:val="0019710D"/>
    <w:rsid w:val="001A2366"/>
    <w:rsid w:val="001A3A1F"/>
    <w:rsid w:val="001A4A29"/>
    <w:rsid w:val="001B4C8B"/>
    <w:rsid w:val="001E24B8"/>
    <w:rsid w:val="001E42A2"/>
    <w:rsid w:val="001E50CF"/>
    <w:rsid w:val="001E62E2"/>
    <w:rsid w:val="00205CAF"/>
    <w:rsid w:val="0020729D"/>
    <w:rsid w:val="00210963"/>
    <w:rsid w:val="00216510"/>
    <w:rsid w:val="00226B58"/>
    <w:rsid w:val="00226B6B"/>
    <w:rsid w:val="00231EB5"/>
    <w:rsid w:val="002373AD"/>
    <w:rsid w:val="00250810"/>
    <w:rsid w:val="00255F14"/>
    <w:rsid w:val="00263710"/>
    <w:rsid w:val="00267495"/>
    <w:rsid w:val="002715C6"/>
    <w:rsid w:val="002738E7"/>
    <w:rsid w:val="002947E7"/>
    <w:rsid w:val="002A0A7E"/>
    <w:rsid w:val="002A2C58"/>
    <w:rsid w:val="002A39CB"/>
    <w:rsid w:val="002A3A51"/>
    <w:rsid w:val="002A6AFD"/>
    <w:rsid w:val="002B484F"/>
    <w:rsid w:val="002C11D9"/>
    <w:rsid w:val="002C2023"/>
    <w:rsid w:val="002C3641"/>
    <w:rsid w:val="002C3DC8"/>
    <w:rsid w:val="002C408F"/>
    <w:rsid w:val="002D0E5A"/>
    <w:rsid w:val="002D1C88"/>
    <w:rsid w:val="002D3635"/>
    <w:rsid w:val="002E6F15"/>
    <w:rsid w:val="002F36AF"/>
    <w:rsid w:val="00301060"/>
    <w:rsid w:val="003102E4"/>
    <w:rsid w:val="00325F98"/>
    <w:rsid w:val="003275AD"/>
    <w:rsid w:val="00330376"/>
    <w:rsid w:val="00337180"/>
    <w:rsid w:val="00342293"/>
    <w:rsid w:val="0035112F"/>
    <w:rsid w:val="003525AF"/>
    <w:rsid w:val="00354D6D"/>
    <w:rsid w:val="00356B5F"/>
    <w:rsid w:val="003643CB"/>
    <w:rsid w:val="003749C0"/>
    <w:rsid w:val="00385D57"/>
    <w:rsid w:val="003A5789"/>
    <w:rsid w:val="003B1647"/>
    <w:rsid w:val="003B233B"/>
    <w:rsid w:val="003C07A8"/>
    <w:rsid w:val="003C0B82"/>
    <w:rsid w:val="003C3512"/>
    <w:rsid w:val="003D3EC4"/>
    <w:rsid w:val="003E3264"/>
    <w:rsid w:val="003F56AD"/>
    <w:rsid w:val="004046EB"/>
    <w:rsid w:val="00421791"/>
    <w:rsid w:val="004305FB"/>
    <w:rsid w:val="00441404"/>
    <w:rsid w:val="00443F9F"/>
    <w:rsid w:val="00463D0F"/>
    <w:rsid w:val="00487CC0"/>
    <w:rsid w:val="004A7792"/>
    <w:rsid w:val="004B1C39"/>
    <w:rsid w:val="004B22BF"/>
    <w:rsid w:val="004B53DE"/>
    <w:rsid w:val="004B64E7"/>
    <w:rsid w:val="004C0BB4"/>
    <w:rsid w:val="004D3377"/>
    <w:rsid w:val="004E1FB0"/>
    <w:rsid w:val="004F2F63"/>
    <w:rsid w:val="004F7875"/>
    <w:rsid w:val="00500091"/>
    <w:rsid w:val="005117D1"/>
    <w:rsid w:val="00523093"/>
    <w:rsid w:val="00523879"/>
    <w:rsid w:val="0052531E"/>
    <w:rsid w:val="00561404"/>
    <w:rsid w:val="00564489"/>
    <w:rsid w:val="00567955"/>
    <w:rsid w:val="00571370"/>
    <w:rsid w:val="00575BD7"/>
    <w:rsid w:val="00582C8C"/>
    <w:rsid w:val="00584386"/>
    <w:rsid w:val="00590223"/>
    <w:rsid w:val="00590382"/>
    <w:rsid w:val="00591666"/>
    <w:rsid w:val="005952EC"/>
    <w:rsid w:val="005C22B7"/>
    <w:rsid w:val="005D4BBA"/>
    <w:rsid w:val="005E1370"/>
    <w:rsid w:val="005F356F"/>
    <w:rsid w:val="005F5AA9"/>
    <w:rsid w:val="005F6B25"/>
    <w:rsid w:val="006170EE"/>
    <w:rsid w:val="00626FA2"/>
    <w:rsid w:val="00631742"/>
    <w:rsid w:val="0065116A"/>
    <w:rsid w:val="00670973"/>
    <w:rsid w:val="00691F63"/>
    <w:rsid w:val="00694004"/>
    <w:rsid w:val="006A1890"/>
    <w:rsid w:val="006B4DB6"/>
    <w:rsid w:val="006B6E00"/>
    <w:rsid w:val="006B7D75"/>
    <w:rsid w:val="006C50AB"/>
    <w:rsid w:val="006D1DE4"/>
    <w:rsid w:val="006D34F5"/>
    <w:rsid w:val="006D64DF"/>
    <w:rsid w:val="006D75BF"/>
    <w:rsid w:val="006E0F37"/>
    <w:rsid w:val="006E384B"/>
    <w:rsid w:val="006F2A79"/>
    <w:rsid w:val="006F6B7D"/>
    <w:rsid w:val="00701670"/>
    <w:rsid w:val="0071394D"/>
    <w:rsid w:val="0072336F"/>
    <w:rsid w:val="00723475"/>
    <w:rsid w:val="00725932"/>
    <w:rsid w:val="00733D17"/>
    <w:rsid w:val="00734F00"/>
    <w:rsid w:val="00736A19"/>
    <w:rsid w:val="00742E23"/>
    <w:rsid w:val="00754F08"/>
    <w:rsid w:val="00757E6F"/>
    <w:rsid w:val="00771581"/>
    <w:rsid w:val="00774055"/>
    <w:rsid w:val="00776500"/>
    <w:rsid w:val="00784CC6"/>
    <w:rsid w:val="00784EDB"/>
    <w:rsid w:val="007A1FE3"/>
    <w:rsid w:val="007B123B"/>
    <w:rsid w:val="007C1C5B"/>
    <w:rsid w:val="007C41D6"/>
    <w:rsid w:val="007C479C"/>
    <w:rsid w:val="007D0EC3"/>
    <w:rsid w:val="007D5709"/>
    <w:rsid w:val="007F61EB"/>
    <w:rsid w:val="0081180F"/>
    <w:rsid w:val="00837B74"/>
    <w:rsid w:val="00852BF9"/>
    <w:rsid w:val="00860D90"/>
    <w:rsid w:val="00864D9C"/>
    <w:rsid w:val="008659EE"/>
    <w:rsid w:val="00895F81"/>
    <w:rsid w:val="008A0058"/>
    <w:rsid w:val="008A3280"/>
    <w:rsid w:val="008A3725"/>
    <w:rsid w:val="008B7CF3"/>
    <w:rsid w:val="008C4DED"/>
    <w:rsid w:val="008C6B88"/>
    <w:rsid w:val="008D148B"/>
    <w:rsid w:val="008D1FD2"/>
    <w:rsid w:val="008F53C5"/>
    <w:rsid w:val="00916C51"/>
    <w:rsid w:val="00925DB4"/>
    <w:rsid w:val="00932311"/>
    <w:rsid w:val="00932D1B"/>
    <w:rsid w:val="00935618"/>
    <w:rsid w:val="0095045E"/>
    <w:rsid w:val="0098069A"/>
    <w:rsid w:val="00997049"/>
    <w:rsid w:val="009A0381"/>
    <w:rsid w:val="009A57B6"/>
    <w:rsid w:val="009A5CBD"/>
    <w:rsid w:val="009A7036"/>
    <w:rsid w:val="009B28A4"/>
    <w:rsid w:val="009C2922"/>
    <w:rsid w:val="009D0E92"/>
    <w:rsid w:val="00A00800"/>
    <w:rsid w:val="00A01786"/>
    <w:rsid w:val="00A019B2"/>
    <w:rsid w:val="00A068C0"/>
    <w:rsid w:val="00A106AE"/>
    <w:rsid w:val="00A14284"/>
    <w:rsid w:val="00A16B5D"/>
    <w:rsid w:val="00A2480A"/>
    <w:rsid w:val="00A35F0A"/>
    <w:rsid w:val="00A4039F"/>
    <w:rsid w:val="00A41AFE"/>
    <w:rsid w:val="00A434ED"/>
    <w:rsid w:val="00A438F7"/>
    <w:rsid w:val="00A442E1"/>
    <w:rsid w:val="00A57033"/>
    <w:rsid w:val="00A608E5"/>
    <w:rsid w:val="00A664B7"/>
    <w:rsid w:val="00A70AD3"/>
    <w:rsid w:val="00A74561"/>
    <w:rsid w:val="00A76545"/>
    <w:rsid w:val="00A83BC8"/>
    <w:rsid w:val="00A856DC"/>
    <w:rsid w:val="00A916F0"/>
    <w:rsid w:val="00A925A7"/>
    <w:rsid w:val="00A945CD"/>
    <w:rsid w:val="00AA1514"/>
    <w:rsid w:val="00AB2286"/>
    <w:rsid w:val="00AB431C"/>
    <w:rsid w:val="00AB6FAC"/>
    <w:rsid w:val="00AC6450"/>
    <w:rsid w:val="00AC74E8"/>
    <w:rsid w:val="00AD01BE"/>
    <w:rsid w:val="00AD0FCF"/>
    <w:rsid w:val="00AE0E32"/>
    <w:rsid w:val="00AE4A3C"/>
    <w:rsid w:val="00AF2B26"/>
    <w:rsid w:val="00AF37BF"/>
    <w:rsid w:val="00B035AC"/>
    <w:rsid w:val="00B04D0B"/>
    <w:rsid w:val="00B302F0"/>
    <w:rsid w:val="00B35726"/>
    <w:rsid w:val="00B403A5"/>
    <w:rsid w:val="00B434EF"/>
    <w:rsid w:val="00B450C4"/>
    <w:rsid w:val="00B52D68"/>
    <w:rsid w:val="00B554B8"/>
    <w:rsid w:val="00B67F9C"/>
    <w:rsid w:val="00B73AC0"/>
    <w:rsid w:val="00B8700C"/>
    <w:rsid w:val="00B92E21"/>
    <w:rsid w:val="00B93D32"/>
    <w:rsid w:val="00B96293"/>
    <w:rsid w:val="00BA473B"/>
    <w:rsid w:val="00BA625B"/>
    <w:rsid w:val="00BC1CE9"/>
    <w:rsid w:val="00BC1D4A"/>
    <w:rsid w:val="00BC2D2E"/>
    <w:rsid w:val="00BD076B"/>
    <w:rsid w:val="00BD38B9"/>
    <w:rsid w:val="00BD6CA2"/>
    <w:rsid w:val="00BE168A"/>
    <w:rsid w:val="00BE1D9F"/>
    <w:rsid w:val="00BE78C3"/>
    <w:rsid w:val="00C0760E"/>
    <w:rsid w:val="00C10A4E"/>
    <w:rsid w:val="00C21086"/>
    <w:rsid w:val="00C323BF"/>
    <w:rsid w:val="00C32CA1"/>
    <w:rsid w:val="00C5432C"/>
    <w:rsid w:val="00C65021"/>
    <w:rsid w:val="00C6641E"/>
    <w:rsid w:val="00C82C49"/>
    <w:rsid w:val="00C859CA"/>
    <w:rsid w:val="00C8640D"/>
    <w:rsid w:val="00C874E1"/>
    <w:rsid w:val="00C93352"/>
    <w:rsid w:val="00CC08B3"/>
    <w:rsid w:val="00CC13C5"/>
    <w:rsid w:val="00CD1267"/>
    <w:rsid w:val="00CD1489"/>
    <w:rsid w:val="00CD65B7"/>
    <w:rsid w:val="00CD78B5"/>
    <w:rsid w:val="00CF04C8"/>
    <w:rsid w:val="00CF3748"/>
    <w:rsid w:val="00CF7E0A"/>
    <w:rsid w:val="00D00720"/>
    <w:rsid w:val="00D20E9A"/>
    <w:rsid w:val="00D22DFD"/>
    <w:rsid w:val="00D43115"/>
    <w:rsid w:val="00D441C6"/>
    <w:rsid w:val="00D53315"/>
    <w:rsid w:val="00D55FF4"/>
    <w:rsid w:val="00D60958"/>
    <w:rsid w:val="00D72B58"/>
    <w:rsid w:val="00D806BD"/>
    <w:rsid w:val="00D83A05"/>
    <w:rsid w:val="00D90372"/>
    <w:rsid w:val="00D92713"/>
    <w:rsid w:val="00D95A06"/>
    <w:rsid w:val="00DD795E"/>
    <w:rsid w:val="00DE7EC8"/>
    <w:rsid w:val="00DF6A18"/>
    <w:rsid w:val="00E017E6"/>
    <w:rsid w:val="00E1455A"/>
    <w:rsid w:val="00E24BA5"/>
    <w:rsid w:val="00E55F26"/>
    <w:rsid w:val="00E61F72"/>
    <w:rsid w:val="00E77169"/>
    <w:rsid w:val="00E96839"/>
    <w:rsid w:val="00EB29BE"/>
    <w:rsid w:val="00EB5E9C"/>
    <w:rsid w:val="00EB658E"/>
    <w:rsid w:val="00ED5CE8"/>
    <w:rsid w:val="00EE6A64"/>
    <w:rsid w:val="00F008D5"/>
    <w:rsid w:val="00F04A78"/>
    <w:rsid w:val="00F06896"/>
    <w:rsid w:val="00F16726"/>
    <w:rsid w:val="00F22A07"/>
    <w:rsid w:val="00F23395"/>
    <w:rsid w:val="00F44828"/>
    <w:rsid w:val="00F47797"/>
    <w:rsid w:val="00F55A5D"/>
    <w:rsid w:val="00F56F0A"/>
    <w:rsid w:val="00F57AD1"/>
    <w:rsid w:val="00F62811"/>
    <w:rsid w:val="00F6550A"/>
    <w:rsid w:val="00F666DD"/>
    <w:rsid w:val="00F73401"/>
    <w:rsid w:val="00F819EA"/>
    <w:rsid w:val="00F9637B"/>
    <w:rsid w:val="00FC18B1"/>
    <w:rsid w:val="00FD4FBB"/>
    <w:rsid w:val="00FE1AE0"/>
    <w:rsid w:val="00FF15E5"/>
    <w:rsid w:val="04600CCF"/>
    <w:rsid w:val="0A82D5B6"/>
    <w:rsid w:val="113DAA3E"/>
    <w:rsid w:val="1B268615"/>
    <w:rsid w:val="1DA3B8BE"/>
    <w:rsid w:val="27D18B30"/>
    <w:rsid w:val="290E184B"/>
    <w:rsid w:val="29EAD2AD"/>
    <w:rsid w:val="34293176"/>
    <w:rsid w:val="342F0C1D"/>
    <w:rsid w:val="34DBA9E2"/>
    <w:rsid w:val="37BB0CEF"/>
    <w:rsid w:val="3CCAA38C"/>
    <w:rsid w:val="40265629"/>
    <w:rsid w:val="439D2279"/>
    <w:rsid w:val="44C30AD4"/>
    <w:rsid w:val="4A86B712"/>
    <w:rsid w:val="58A2E814"/>
    <w:rsid w:val="628E5F2D"/>
    <w:rsid w:val="6F4A4ACB"/>
    <w:rsid w:val="74C1E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12EE7"/>
  <w15:docId w15:val="{ECFA5158-DC9D-44F4-9715-652E32F2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qFormat/>
    <w:rsid w:val="008A3280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5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21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AE4A3C"/>
  </w:style>
  <w:style w:type="character" w:customStyle="1" w:styleId="eop">
    <w:name w:val="eop"/>
    <w:basedOn w:val="DefaultParagraphFont"/>
    <w:rsid w:val="00342293"/>
  </w:style>
  <w:style w:type="paragraph" w:styleId="ListParagraph">
    <w:name w:val="List Paragraph"/>
    <w:aliases w:val="List Paragraph (numbered (a)),WB Para,Bullets,List Paragraph1,Akapit z listą BS,List Square,Colorful List - Accent 11,Dot pt,F5 List Paragraph,List Paragraph Char Char Char,Indicator Text,Numbered Para 1,Bullet 1,List Paragraph12,L,CV tex"/>
    <w:basedOn w:val="Normal"/>
    <w:link w:val="ListParagraphChar"/>
    <w:uiPriority w:val="34"/>
    <w:qFormat/>
    <w:rsid w:val="00776500"/>
    <w:pPr>
      <w:ind w:left="720"/>
    </w:pPr>
  </w:style>
  <w:style w:type="character" w:customStyle="1" w:styleId="ListParagraphChar">
    <w:name w:val="List Paragraph Char"/>
    <w:aliases w:val="List Paragraph (numbered (a)) Char,WB Para Char,Bullets Char,List Paragraph1 Char,Akapit z listą BS Char,List Square Char,Colorful List - Accent 11 Char,Dot pt Char,F5 List Paragraph Char,List Paragraph Char Char Char Char,L Char"/>
    <w:link w:val="ListParagraph"/>
    <w:uiPriority w:val="34"/>
    <w:qFormat/>
    <w:locked/>
    <w:rsid w:val="0077650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2C408F"/>
  </w:style>
  <w:style w:type="paragraph" w:styleId="CommentText">
    <w:name w:val="annotation text"/>
    <w:basedOn w:val="Normal"/>
    <w:link w:val="CommentTextChar"/>
    <w:qFormat/>
    <w:rsid w:val="002C408F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2C40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7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74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61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876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B25D55AB-5B5A-446D-B88B-0B9423CC74FC}">
    <t:Anchor>
      <t:Comment id="646001616"/>
    </t:Anchor>
    <t:History>
      <t:Event id="{5857468B-3464-4467-AF09-5C491CBF09ED}" time="2022-07-20T07:21:31.772Z">
        <t:Attribution userId="S::anders.magnusson@undp.org::68c23d78-8e1f-4257-b304-9eb6508420f6" userProvider="AD" userName="Anders Magnusson"/>
        <t:Anchor>
          <t:Comment id="1665814932"/>
        </t:Anchor>
        <t:Create/>
      </t:Event>
      <t:Event id="{7EDFB656-9EE0-4B2D-A89A-D38D9D36966A}" time="2022-07-20T07:21:31.772Z">
        <t:Attribution userId="S::anders.magnusson@undp.org::68c23d78-8e1f-4257-b304-9eb6508420f6" userProvider="AD" userName="Anders Magnusson"/>
        <t:Anchor>
          <t:Comment id="1665814932"/>
        </t:Anchor>
        <t:Assign userId="S::dinesh.bista@undp.org::e01c59b0-e8a7-457d-bdf9-00a06f67cd6b" userProvider="AD" userName="Dinesh Bista"/>
      </t:Event>
      <t:Event id="{E0B1D05E-3BCC-45A6-9EE8-4E9CC2FA32D3}" time="2022-07-20T07:21:31.772Z">
        <t:Attribution userId="S::anders.magnusson@undp.org::68c23d78-8e1f-4257-b304-9eb6508420f6" userProvider="AD" userName="Anders Magnusson"/>
        <t:Anchor>
          <t:Comment id="1665814932"/>
        </t:Anchor>
        <t:SetTitle title="@Dinesh Bista please address"/>
      </t:Event>
    </t:History>
  </t:Task>
  <t:Task id="{7ABA18FD-358F-4935-A340-845D74E9DFC2}">
    <t:Anchor>
      <t:Comment id="646001813"/>
    </t:Anchor>
    <t:History>
      <t:Event id="{B96EAE1E-E4CB-4DB3-AA74-849A1C022D53}" time="2022-07-20T07:22:01.397Z">
        <t:Attribution userId="S::anders.magnusson@undp.org::68c23d78-8e1f-4257-b304-9eb6508420f6" userProvider="AD" userName="Anders Magnusson"/>
        <t:Anchor>
          <t:Comment id="1502459259"/>
        </t:Anchor>
        <t:Create/>
      </t:Event>
      <t:Event id="{EBDB16AC-F8C2-4B6E-8F66-9BBAC846B115}" time="2022-07-20T07:22:01.397Z">
        <t:Attribution userId="S::anders.magnusson@undp.org::68c23d78-8e1f-4257-b304-9eb6508420f6" userProvider="AD" userName="Anders Magnusson"/>
        <t:Anchor>
          <t:Comment id="1502459259"/>
        </t:Anchor>
        <t:Assign userId="S::dinesh.bista@undp.org::e01c59b0-e8a7-457d-bdf9-00a06f67cd6b" userProvider="AD" userName="Dinesh Bista"/>
      </t:Event>
      <t:Event id="{6951EAB4-F528-4CEE-B35E-2D62F844F7BF}" time="2022-07-20T07:22:01.397Z">
        <t:Attribution userId="S::anders.magnusson@undp.org::68c23d78-8e1f-4257-b304-9eb6508420f6" userProvider="AD" userName="Anders Magnusson"/>
        <t:Anchor>
          <t:Comment id="1502459259"/>
        </t:Anchor>
        <t:SetTitle title="@Dinesh Bista please address"/>
      </t:Event>
    </t:History>
  </t:Task>
  <t:Task id="{65820B76-0A53-4BCF-AB6D-13210E0D1FD1}">
    <t:Anchor>
      <t:Comment id="646001421"/>
    </t:Anchor>
    <t:History>
      <t:Event id="{DA5C4968-FE77-4226-A8B8-643996A4E9D6}" time="2022-07-20T07:22:15.892Z">
        <t:Attribution userId="S::anders.magnusson@undp.org::68c23d78-8e1f-4257-b304-9eb6508420f6" userProvider="AD" userName="Anders Magnusson"/>
        <t:Anchor>
          <t:Comment id="1791104897"/>
        </t:Anchor>
        <t:Create/>
      </t:Event>
      <t:Event id="{4AC8F9B5-1F8B-4E5D-B7B3-1557A10466AA}" time="2022-07-20T07:22:15.892Z">
        <t:Attribution userId="S::anders.magnusson@undp.org::68c23d78-8e1f-4257-b304-9eb6508420f6" userProvider="AD" userName="Anders Magnusson"/>
        <t:Anchor>
          <t:Comment id="1791104897"/>
        </t:Anchor>
        <t:Assign userId="S::dinesh.bista@undp.org::e01c59b0-e8a7-457d-bdf9-00a06f67cd6b" userProvider="AD" userName="Dinesh Bista"/>
      </t:Event>
      <t:Event id="{E62E62F0-41A1-4F06-823B-01F9F308C6EC}" time="2022-07-20T07:22:15.892Z">
        <t:Attribution userId="S::anders.magnusson@undp.org::68c23d78-8e1f-4257-b304-9eb6508420f6" userProvider="AD" userName="Anders Magnusson"/>
        <t:Anchor>
          <t:Comment id="1791104897"/>
        </t:Anchor>
        <t:SetTitle title="@Dinesh Bista please address"/>
      </t:Event>
    </t:History>
  </t:Task>
  <t:Task id="{4F018792-295D-4887-BB2A-B83EC4991AC3}">
    <t:Anchor>
      <t:Comment id="1672833348"/>
    </t:Anchor>
    <t:History>
      <t:Event id="{D68BE307-FD4D-403C-9826-92D738301DAF}" time="2022-09-15T08:34:35.49Z">
        <t:Attribution userId="S::anders.magnusson@undp.org::68c23d78-8e1f-4257-b304-9eb6508420f6" userProvider="AD" userName="Anders Magnusson"/>
        <t:Anchor>
          <t:Comment id="353438451"/>
        </t:Anchor>
        <t:Create/>
      </t:Event>
      <t:Event id="{9BF4A6BC-6A8F-4D1D-8D73-1C70A616B60A}" time="2022-09-15T08:34:35.49Z">
        <t:Attribution userId="S::anders.magnusson@undp.org::68c23d78-8e1f-4257-b304-9eb6508420f6" userProvider="AD" userName="Anders Magnusson"/>
        <t:Anchor>
          <t:Comment id="353438451"/>
        </t:Anchor>
        <t:Assign userId="S::bernardo.cocco@undp.org::e90cc632-dec1-4140-b07e-0ce13d463a3e" userProvider="AD" userName="Bernardo Cocco"/>
      </t:Event>
      <t:Event id="{AD02A54F-8918-4817-BBDC-DF6D3DD978C2}" time="2022-09-15T08:34:35.49Z">
        <t:Attribution userId="S::anders.magnusson@undp.org::68c23d78-8e1f-4257-b304-9eb6508420f6" userProvider="AD" userName="Anders Magnusson"/>
        <t:Anchor>
          <t:Comment id="353438451"/>
        </t:Anchor>
        <t:SetTitle title="@Bernardo Cocco @Dinesh Bista any final thoughts on thi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UNITOFFICE-440-2442</_dlc_DocId>
    <_dlc_DocIdUrl xmlns="5ebeba3d-fd60-4dcb-8548-a9fd3c51d9ff">
      <Url>https://intranet.undp.org/unit/office/exo/sp2014/SP201417/_layouts/15/DocIdRedir.aspx?ID=UNITOFFICE-440-2442</Url>
      <Description>UNITOFFICE-440-2442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BCABA-A64D-474A-8DCE-8A1D8A79C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DEF80-642E-4E39-8943-6FC1D3440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FD0F8-2057-472A-96AB-F96AFD4A82B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ebeba3d-fd60-4dcb-8548-a9fd3c51d9f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DBDDC4-9483-4CB4-84BB-2BA46379BA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F72FF7-1FBA-406A-A626-82228CE6D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4</DocSecurity>
  <Lines>27</Lines>
  <Paragraphs>7</Paragraphs>
  <ScaleCrop>false</ScaleCrop>
  <Company>HP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 Berdiyev</dc:creator>
  <cp:keywords/>
  <cp:lastModifiedBy>Svetlana Iazykova</cp:lastModifiedBy>
  <cp:revision>2</cp:revision>
  <cp:lastPrinted>2016-04-04T17:40:00Z</cp:lastPrinted>
  <dcterms:created xsi:type="dcterms:W3CDTF">2022-10-21T14:38:00Z</dcterms:created>
  <dcterms:modified xsi:type="dcterms:W3CDTF">2022-10-21T14:38:00Z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bea4ce86-1eb6-428c-9060-48d2cf3b96c7</vt:lpwstr>
  </property>
</Properties>
</file>