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462A" w14:textId="7034A5C5" w:rsidR="003521DB" w:rsidRPr="00C77E28" w:rsidRDefault="003521DB" w:rsidP="003521DB">
      <w:pPr>
        <w:pStyle w:val="Heading3"/>
        <w:jc w:val="left"/>
        <w:rPr>
          <w:rFonts w:asciiTheme="minorHAnsi" w:hAnsiTheme="minorHAnsi" w:cstheme="minorHAnsi"/>
          <w:sz w:val="22"/>
          <w:szCs w:val="22"/>
        </w:rPr>
      </w:pPr>
      <w:r w:rsidRPr="00C77E28">
        <w:rPr>
          <w:rFonts w:asciiTheme="minorHAnsi" w:hAnsiTheme="minorHAnsi" w:cstheme="minorHAnsi"/>
          <w:sz w:val="22"/>
          <w:szCs w:val="22"/>
        </w:rPr>
        <w:t>Country:</w:t>
      </w:r>
      <w:r w:rsidRPr="00C77E28">
        <w:rPr>
          <w:rFonts w:asciiTheme="minorHAnsi" w:hAnsiTheme="minorHAnsi" w:cstheme="minorHAnsi"/>
          <w:sz w:val="22"/>
          <w:szCs w:val="22"/>
        </w:rPr>
        <w:tab/>
      </w:r>
      <w:r w:rsidRPr="00C77E28">
        <w:rPr>
          <w:rFonts w:asciiTheme="minorHAnsi" w:hAnsiTheme="minorHAnsi" w:cstheme="minorHAnsi"/>
          <w:sz w:val="22"/>
          <w:szCs w:val="22"/>
        </w:rPr>
        <w:tab/>
        <w:t>[Gabon]</w:t>
      </w:r>
    </w:p>
    <w:p w14:paraId="252D82D7" w14:textId="77777777" w:rsidR="003521DB" w:rsidRPr="00C77E28" w:rsidRDefault="003521DB" w:rsidP="003521DB">
      <w:pPr>
        <w:pStyle w:val="Heading3"/>
        <w:rPr>
          <w:rFonts w:asciiTheme="minorHAnsi" w:hAnsiTheme="minorHAnsi" w:cstheme="minorHAnsi"/>
          <w:sz w:val="22"/>
          <w:szCs w:val="22"/>
        </w:rPr>
      </w:pPr>
    </w:p>
    <w:p w14:paraId="5E0133D1" w14:textId="77777777" w:rsidR="003521DB" w:rsidRPr="00C77E28" w:rsidRDefault="003521DB" w:rsidP="003521DB">
      <w:pPr>
        <w:pStyle w:val="Heading3"/>
        <w:rPr>
          <w:rFonts w:asciiTheme="minorHAnsi" w:hAnsiTheme="minorHAnsi" w:cstheme="minorHAnsi"/>
          <w:b/>
          <w:sz w:val="22"/>
          <w:szCs w:val="22"/>
        </w:rPr>
      </w:pPr>
      <w:r w:rsidRPr="00C77E28">
        <w:rPr>
          <w:rFonts w:asciiTheme="minorHAnsi" w:hAnsiTheme="minorHAnsi" w:cstheme="minorHAnsi"/>
          <w:b/>
          <w:sz w:val="22"/>
          <w:szCs w:val="22"/>
        </w:rPr>
        <w:t>COUNTRY PROGRAMME PERFORMANCE SUMMARY</w:t>
      </w:r>
      <w:r w:rsidRPr="00C77E28">
        <w:rPr>
          <w:rStyle w:val="FootnoteReference"/>
          <w:rFonts w:asciiTheme="minorHAnsi" w:hAnsiTheme="minorHAnsi" w:cstheme="minorHAnsi"/>
          <w:b/>
          <w:sz w:val="22"/>
          <w:szCs w:val="22"/>
        </w:rPr>
        <w:footnoteReference w:id="2"/>
      </w:r>
    </w:p>
    <w:p w14:paraId="6F2DBE3A" w14:textId="77777777" w:rsidR="003521DB" w:rsidRPr="00C77E28" w:rsidRDefault="003521DB" w:rsidP="003521DB">
      <w:pPr>
        <w:pStyle w:val="Heading3"/>
        <w:rPr>
          <w:rFonts w:asciiTheme="minorHAnsi" w:hAnsiTheme="minorHAnsi" w:cstheme="minorHAnsi"/>
          <w:b/>
          <w:sz w:val="22"/>
          <w:szCs w:val="22"/>
        </w:rPr>
      </w:pPr>
    </w:p>
    <w:p w14:paraId="48E7A717" w14:textId="77777777" w:rsidR="003521DB" w:rsidRPr="00C77E28" w:rsidRDefault="003521DB" w:rsidP="003521DB">
      <w:pPr>
        <w:pStyle w:val="Heading3"/>
        <w:jc w:val="left"/>
        <w:rPr>
          <w:rFonts w:asciiTheme="minorHAnsi" w:hAnsiTheme="minorHAnsi" w:cstheme="minorHAnsi"/>
          <w:sz w:val="22"/>
          <w:szCs w:val="22"/>
        </w:rPr>
      </w:pPr>
      <w:r w:rsidRPr="00C77E28">
        <w:rPr>
          <w:rFonts w:asciiTheme="minorHAnsi" w:hAnsiTheme="minorHAnsi" w:cstheme="minorHAnsi"/>
          <w:sz w:val="22"/>
          <w:szCs w:val="22"/>
        </w:rPr>
        <w:t xml:space="preserve">Reporting period: </w:t>
      </w:r>
      <w:r w:rsidRPr="00C77E28">
        <w:rPr>
          <w:rFonts w:asciiTheme="minorHAnsi" w:hAnsiTheme="minorHAnsi" w:cstheme="minorHAnsi"/>
          <w:sz w:val="22"/>
          <w:szCs w:val="22"/>
        </w:rPr>
        <w:tab/>
        <w:t>[2018-2022]</w:t>
      </w:r>
    </w:p>
    <w:p w14:paraId="7A01E61C" w14:textId="77777777" w:rsidR="003521DB" w:rsidRPr="00C77E28" w:rsidRDefault="003521DB" w:rsidP="003521DB">
      <w:pPr>
        <w:pStyle w:val="Heading3"/>
        <w:rPr>
          <w:rFonts w:asciiTheme="minorHAnsi" w:hAnsiTheme="minorHAnsi" w:cstheme="minorHAnsi"/>
          <w:sz w:val="22"/>
          <w:szCs w:val="22"/>
        </w:rPr>
      </w:pPr>
    </w:p>
    <w:p w14:paraId="35E5A853" w14:textId="77777777" w:rsidR="003521DB" w:rsidRPr="00C77E28" w:rsidRDefault="003521DB" w:rsidP="003521DB">
      <w:pPr>
        <w:rPr>
          <w:rFonts w:asciiTheme="minorHAnsi" w:hAnsiTheme="minorHAnsi" w:cstheme="minorHAnsi"/>
          <w:sz w:val="22"/>
          <w:szCs w:val="22"/>
        </w:rPr>
      </w:pPr>
    </w:p>
    <w:p w14:paraId="46773E36" w14:textId="1AAB2196" w:rsidR="003521DB" w:rsidRPr="00C77E28" w:rsidRDefault="003521DB" w:rsidP="003521DB">
      <w:pPr>
        <w:pStyle w:val="Heading3"/>
        <w:rPr>
          <w:rFonts w:asciiTheme="minorHAnsi" w:hAnsiTheme="minorHAnsi" w:cstheme="minorHAnsi"/>
          <w:b/>
          <w:sz w:val="22"/>
          <w:szCs w:val="22"/>
        </w:rPr>
      </w:pPr>
      <w:r w:rsidRPr="00C77E28">
        <w:rPr>
          <w:rFonts w:asciiTheme="minorHAnsi" w:hAnsiTheme="minorHAnsi" w:cstheme="minorHAnsi"/>
          <w:b/>
          <w:sz w:val="22"/>
          <w:szCs w:val="22"/>
        </w:rPr>
        <w:t xml:space="preserve">I.  EXECUTIVE SUMMARY </w:t>
      </w:r>
    </w:p>
    <w:p w14:paraId="679A7116" w14:textId="77777777" w:rsidR="003521DB" w:rsidRPr="00C77E28" w:rsidRDefault="003521DB" w:rsidP="003521DB">
      <w:pPr>
        <w:pStyle w:val="BodyText2"/>
        <w:jc w:val="both"/>
        <w:rPr>
          <w:rFonts w:asciiTheme="minorHAnsi" w:hAnsiTheme="minorHAnsi" w:cstheme="minorHAnsi"/>
          <w:sz w:val="22"/>
          <w:szCs w:val="22"/>
        </w:rPr>
      </w:pPr>
    </w:p>
    <w:p w14:paraId="23CC5F72" w14:textId="2B53786E" w:rsidR="009A3446" w:rsidRPr="00C77E28" w:rsidRDefault="00007AE3" w:rsidP="00A45A03">
      <w:pPr>
        <w:widowControl/>
        <w:jc w:val="both"/>
        <w:rPr>
          <w:rFonts w:asciiTheme="minorHAnsi" w:hAnsiTheme="minorHAnsi" w:cstheme="minorHAnsi"/>
          <w:sz w:val="22"/>
          <w:szCs w:val="22"/>
          <w:lang w:eastAsia="fr-FR"/>
        </w:rPr>
      </w:pPr>
      <w:r w:rsidRPr="00C77E28">
        <w:rPr>
          <w:rFonts w:asciiTheme="minorHAnsi" w:hAnsiTheme="minorHAnsi" w:cstheme="minorHAnsi"/>
          <w:sz w:val="22"/>
          <w:szCs w:val="22"/>
        </w:rPr>
        <w:t>Starting</w:t>
      </w:r>
      <w:r w:rsidR="009A3446" w:rsidRPr="00C77E28">
        <w:rPr>
          <w:rFonts w:asciiTheme="minorHAnsi" w:hAnsiTheme="minorHAnsi" w:cstheme="minorHAnsi"/>
          <w:sz w:val="22"/>
          <w:szCs w:val="22"/>
        </w:rPr>
        <w:t xml:space="preserve"> </w:t>
      </w:r>
      <w:r w:rsidR="000D56A3" w:rsidRPr="00C77E28">
        <w:rPr>
          <w:rFonts w:asciiTheme="minorHAnsi" w:hAnsiTheme="minorHAnsi" w:cstheme="minorHAnsi"/>
          <w:sz w:val="22"/>
          <w:szCs w:val="22"/>
        </w:rPr>
        <w:t>2017</w:t>
      </w:r>
      <w:r w:rsidR="009A3446" w:rsidRPr="00C77E28">
        <w:rPr>
          <w:rFonts w:asciiTheme="minorHAnsi" w:hAnsiTheme="minorHAnsi" w:cstheme="minorHAnsi"/>
          <w:sz w:val="22"/>
          <w:szCs w:val="22"/>
        </w:rPr>
        <w:t xml:space="preserve">, the Government's </w:t>
      </w:r>
      <w:r w:rsidRPr="00C77E28">
        <w:rPr>
          <w:rFonts w:asciiTheme="minorHAnsi" w:hAnsiTheme="minorHAnsi" w:cstheme="minorHAnsi"/>
          <w:sz w:val="22"/>
          <w:szCs w:val="22"/>
        </w:rPr>
        <w:t xml:space="preserve">main </w:t>
      </w:r>
      <w:r w:rsidR="009A3446" w:rsidRPr="00C77E28">
        <w:rPr>
          <w:rFonts w:asciiTheme="minorHAnsi" w:hAnsiTheme="minorHAnsi" w:cstheme="minorHAnsi"/>
          <w:sz w:val="22"/>
          <w:szCs w:val="22"/>
        </w:rPr>
        <w:t xml:space="preserve">orientation </w:t>
      </w:r>
      <w:r w:rsidRPr="00C77E28">
        <w:rPr>
          <w:rFonts w:asciiTheme="minorHAnsi" w:hAnsiTheme="minorHAnsi" w:cstheme="minorHAnsi"/>
          <w:sz w:val="22"/>
          <w:szCs w:val="22"/>
        </w:rPr>
        <w:t>has been</w:t>
      </w:r>
      <w:r w:rsidR="009A3446" w:rsidRPr="00C77E28">
        <w:rPr>
          <w:rFonts w:asciiTheme="minorHAnsi" w:hAnsiTheme="minorHAnsi" w:cstheme="minorHAnsi"/>
          <w:sz w:val="22"/>
          <w:szCs w:val="22"/>
        </w:rPr>
        <w:t xml:space="preserve"> to prepar</w:t>
      </w:r>
      <w:r w:rsidRPr="00C77E28">
        <w:rPr>
          <w:rFonts w:asciiTheme="minorHAnsi" w:hAnsiTheme="minorHAnsi" w:cstheme="minorHAnsi"/>
          <w:sz w:val="22"/>
          <w:szCs w:val="22"/>
        </w:rPr>
        <w:t>e the transition to what they named “a</w:t>
      </w:r>
      <w:r w:rsidRPr="00C77E28">
        <w:rPr>
          <w:rFonts w:asciiTheme="minorHAnsi" w:hAnsiTheme="minorHAnsi" w:cstheme="minorHAnsi"/>
          <w:i/>
          <w:sz w:val="22"/>
          <w:szCs w:val="22"/>
        </w:rPr>
        <w:t xml:space="preserve"> </w:t>
      </w:r>
      <w:r w:rsidR="009A3446" w:rsidRPr="00C77E28">
        <w:rPr>
          <w:rFonts w:asciiTheme="minorHAnsi" w:hAnsiTheme="minorHAnsi" w:cstheme="minorHAnsi"/>
          <w:i/>
          <w:sz w:val="22"/>
          <w:szCs w:val="22"/>
        </w:rPr>
        <w:t>post-oil era</w:t>
      </w:r>
      <w:r w:rsidRPr="00C77E28">
        <w:rPr>
          <w:rFonts w:asciiTheme="minorHAnsi" w:hAnsiTheme="minorHAnsi" w:cstheme="minorHAnsi"/>
          <w:sz w:val="22"/>
          <w:szCs w:val="22"/>
        </w:rPr>
        <w:t>”</w:t>
      </w:r>
      <w:r w:rsidR="009A3446" w:rsidRPr="00C77E28">
        <w:rPr>
          <w:rFonts w:asciiTheme="minorHAnsi" w:hAnsiTheme="minorHAnsi" w:cstheme="minorHAnsi"/>
          <w:sz w:val="22"/>
          <w:szCs w:val="22"/>
        </w:rPr>
        <w:t xml:space="preserve">, </w:t>
      </w:r>
      <w:r w:rsidRPr="00C77E28">
        <w:rPr>
          <w:rFonts w:asciiTheme="minorHAnsi" w:hAnsiTheme="minorHAnsi" w:cstheme="minorHAnsi"/>
          <w:sz w:val="22"/>
          <w:szCs w:val="22"/>
        </w:rPr>
        <w:t xml:space="preserve">focusing on diversifying the economy and finding new economics drivers to </w:t>
      </w:r>
      <w:r w:rsidR="002E2474" w:rsidRPr="00C77E28">
        <w:rPr>
          <w:rFonts w:asciiTheme="minorHAnsi" w:hAnsiTheme="minorHAnsi" w:cstheme="minorHAnsi"/>
          <w:sz w:val="22"/>
          <w:szCs w:val="22"/>
        </w:rPr>
        <w:t>rebuild</w:t>
      </w:r>
      <w:r w:rsidR="000D56A3" w:rsidRPr="00C77E28">
        <w:rPr>
          <w:rFonts w:asciiTheme="minorHAnsi" w:hAnsiTheme="minorHAnsi" w:cstheme="minorHAnsi"/>
          <w:sz w:val="22"/>
          <w:szCs w:val="22"/>
        </w:rPr>
        <w:t xml:space="preserve"> </w:t>
      </w:r>
      <w:r w:rsidRPr="00C77E28">
        <w:rPr>
          <w:rFonts w:asciiTheme="minorHAnsi" w:hAnsiTheme="minorHAnsi" w:cstheme="minorHAnsi"/>
          <w:sz w:val="22"/>
          <w:szCs w:val="22"/>
        </w:rPr>
        <w:t xml:space="preserve">the social cohesion. This new strategic orientation, from which UNDP </w:t>
      </w:r>
      <w:r w:rsidR="000D56A3" w:rsidRPr="00C77E28">
        <w:rPr>
          <w:rFonts w:asciiTheme="minorHAnsi" w:hAnsiTheme="minorHAnsi" w:cstheme="minorHAnsi"/>
          <w:sz w:val="22"/>
          <w:szCs w:val="22"/>
        </w:rPr>
        <w:t>CPD was deriv</w:t>
      </w:r>
      <w:r w:rsidR="006C159B" w:rsidRPr="00C77E28">
        <w:rPr>
          <w:rFonts w:asciiTheme="minorHAnsi" w:hAnsiTheme="minorHAnsi" w:cstheme="minorHAnsi"/>
          <w:sz w:val="22"/>
          <w:szCs w:val="22"/>
        </w:rPr>
        <w:t>ed</w:t>
      </w:r>
      <w:r w:rsidR="000D56A3" w:rsidRPr="00C77E28">
        <w:rPr>
          <w:rFonts w:asciiTheme="minorHAnsi" w:hAnsiTheme="minorHAnsi" w:cstheme="minorHAnsi"/>
          <w:sz w:val="22"/>
          <w:szCs w:val="22"/>
        </w:rPr>
        <w:t xml:space="preserve"> put the basis of the </w:t>
      </w:r>
      <w:r w:rsidR="00B050C6" w:rsidRPr="00C77E28">
        <w:rPr>
          <w:rFonts w:asciiTheme="minorHAnsi" w:hAnsiTheme="minorHAnsi" w:cstheme="minorHAnsi"/>
          <w:sz w:val="22"/>
          <w:szCs w:val="22"/>
        </w:rPr>
        <w:t>development of the former CPD for 2018-2022.</w:t>
      </w:r>
    </w:p>
    <w:p w14:paraId="1F38C2C0" w14:textId="77777777" w:rsidR="005F17BD" w:rsidRPr="00C77E28" w:rsidRDefault="005F17BD" w:rsidP="005F17BD">
      <w:pPr>
        <w:widowControl/>
        <w:jc w:val="both"/>
        <w:rPr>
          <w:rFonts w:asciiTheme="minorHAnsi" w:hAnsiTheme="minorHAnsi" w:cstheme="minorHAnsi"/>
          <w:sz w:val="22"/>
          <w:szCs w:val="22"/>
          <w:lang w:eastAsia="fr-FR"/>
        </w:rPr>
      </w:pPr>
    </w:p>
    <w:p w14:paraId="27C34554" w14:textId="18C7F057" w:rsidR="00CC07EF" w:rsidRPr="00C77E28" w:rsidRDefault="003172EE" w:rsidP="2C2D9058">
      <w:pPr>
        <w:autoSpaceDE w:val="0"/>
        <w:autoSpaceDN w:val="0"/>
        <w:adjustRightInd w:val="0"/>
        <w:jc w:val="both"/>
        <w:rPr>
          <w:rFonts w:asciiTheme="minorHAnsi" w:hAnsiTheme="minorHAnsi" w:cstheme="minorHAnsi"/>
          <w:color w:val="000000" w:themeColor="text1"/>
          <w:sz w:val="22"/>
          <w:szCs w:val="22"/>
        </w:rPr>
      </w:pPr>
      <w:r w:rsidRPr="00C77E28">
        <w:rPr>
          <w:rFonts w:asciiTheme="minorHAnsi" w:hAnsiTheme="minorHAnsi" w:cstheme="minorHAnsi"/>
          <w:color w:val="000000" w:themeColor="text1"/>
          <w:sz w:val="22"/>
          <w:szCs w:val="22"/>
        </w:rPr>
        <w:t>T</w:t>
      </w:r>
      <w:r w:rsidR="00C54AF8" w:rsidRPr="00C77E28">
        <w:rPr>
          <w:rFonts w:asciiTheme="minorHAnsi" w:hAnsiTheme="minorHAnsi" w:cstheme="minorHAnsi"/>
          <w:color w:val="000000" w:themeColor="text1"/>
          <w:sz w:val="22"/>
          <w:szCs w:val="22"/>
        </w:rPr>
        <w:t>he</w:t>
      </w:r>
      <w:r w:rsidR="005F40FC" w:rsidRPr="00C77E28">
        <w:rPr>
          <w:rFonts w:asciiTheme="minorHAnsi" w:hAnsiTheme="minorHAnsi" w:cstheme="minorHAnsi"/>
          <w:color w:val="000000" w:themeColor="text1"/>
          <w:sz w:val="22"/>
          <w:szCs w:val="22"/>
        </w:rPr>
        <w:t xml:space="preserve"> </w:t>
      </w:r>
      <w:r w:rsidR="00066D24" w:rsidRPr="00C77E28">
        <w:rPr>
          <w:rFonts w:asciiTheme="minorHAnsi" w:hAnsiTheme="minorHAnsi" w:cstheme="minorHAnsi"/>
          <w:color w:val="000000" w:themeColor="text1"/>
          <w:sz w:val="22"/>
          <w:szCs w:val="22"/>
        </w:rPr>
        <w:t>previous CPD was</w:t>
      </w:r>
      <w:r w:rsidR="00C54AF8" w:rsidRPr="00C77E28">
        <w:rPr>
          <w:rFonts w:asciiTheme="minorHAnsi" w:hAnsiTheme="minorHAnsi" w:cstheme="minorHAnsi"/>
          <w:color w:val="000000" w:themeColor="text1"/>
          <w:sz w:val="22"/>
          <w:szCs w:val="22"/>
        </w:rPr>
        <w:t xml:space="preserve"> developed in a context</w:t>
      </w:r>
      <w:r w:rsidR="00066D24" w:rsidRPr="00C77E28">
        <w:rPr>
          <w:rFonts w:asciiTheme="minorHAnsi" w:hAnsiTheme="minorHAnsi" w:cstheme="minorHAnsi"/>
          <w:color w:val="000000" w:themeColor="text1"/>
          <w:sz w:val="22"/>
          <w:szCs w:val="22"/>
        </w:rPr>
        <w:t xml:space="preserve"> </w:t>
      </w:r>
      <w:r w:rsidR="00E04ACC" w:rsidRPr="00C77E28">
        <w:rPr>
          <w:rFonts w:asciiTheme="minorHAnsi" w:hAnsiTheme="minorHAnsi" w:cstheme="minorHAnsi"/>
          <w:color w:val="000000" w:themeColor="text1"/>
          <w:sz w:val="22"/>
          <w:szCs w:val="22"/>
        </w:rPr>
        <w:t>in which</w:t>
      </w:r>
      <w:r w:rsidR="00066D24" w:rsidRPr="00C77E28">
        <w:rPr>
          <w:rFonts w:asciiTheme="minorHAnsi" w:hAnsiTheme="minorHAnsi" w:cstheme="minorHAnsi"/>
          <w:color w:val="000000" w:themeColor="text1"/>
          <w:sz w:val="22"/>
          <w:szCs w:val="22"/>
        </w:rPr>
        <w:t xml:space="preserve"> Gabon had to promote the creation of inclusive and job-creating wealth, </w:t>
      </w:r>
      <w:r w:rsidR="00470B01" w:rsidRPr="00C77E28">
        <w:rPr>
          <w:rFonts w:asciiTheme="minorHAnsi" w:hAnsiTheme="minorHAnsi" w:cstheme="minorHAnsi"/>
          <w:color w:val="000000" w:themeColor="text1"/>
          <w:sz w:val="22"/>
          <w:szCs w:val="22"/>
        </w:rPr>
        <w:t>to</w:t>
      </w:r>
      <w:r w:rsidR="00066D24" w:rsidRPr="00C77E28">
        <w:rPr>
          <w:rFonts w:asciiTheme="minorHAnsi" w:hAnsiTheme="minorHAnsi" w:cstheme="minorHAnsi"/>
          <w:color w:val="000000" w:themeColor="text1"/>
          <w:sz w:val="22"/>
          <w:szCs w:val="22"/>
        </w:rPr>
        <w:t xml:space="preserve"> reduce inequalities. </w:t>
      </w:r>
      <w:r w:rsidR="00DC1205" w:rsidRPr="00C77E28">
        <w:rPr>
          <w:rFonts w:asciiTheme="minorHAnsi" w:hAnsiTheme="minorHAnsi" w:cstheme="minorHAnsi"/>
          <w:color w:val="000000" w:themeColor="text1"/>
          <w:sz w:val="22"/>
          <w:szCs w:val="22"/>
        </w:rPr>
        <w:t>The CPD was aligned to one UNDA</w:t>
      </w:r>
      <w:r w:rsidR="00882261" w:rsidRPr="00C77E28">
        <w:rPr>
          <w:rFonts w:asciiTheme="minorHAnsi" w:hAnsiTheme="minorHAnsi" w:cstheme="minorHAnsi"/>
          <w:color w:val="000000" w:themeColor="text1"/>
          <w:sz w:val="22"/>
          <w:szCs w:val="22"/>
        </w:rPr>
        <w:t>F</w:t>
      </w:r>
      <w:r w:rsidR="00DC1205" w:rsidRPr="00C77E28">
        <w:rPr>
          <w:rFonts w:asciiTheme="minorHAnsi" w:hAnsiTheme="minorHAnsi" w:cstheme="minorHAnsi"/>
          <w:color w:val="000000" w:themeColor="text1"/>
          <w:sz w:val="22"/>
          <w:szCs w:val="22"/>
        </w:rPr>
        <w:t xml:space="preserve"> outcome, “By 2022, the quality of social sector budgeting is significantly improved and people, especially the most vulnerable, have made better use of quality basic social services”. </w:t>
      </w:r>
      <w:r w:rsidR="00066D24" w:rsidRPr="00C77E28">
        <w:rPr>
          <w:rFonts w:asciiTheme="minorHAnsi" w:hAnsiTheme="minorHAnsi" w:cstheme="minorHAnsi"/>
          <w:color w:val="000000" w:themeColor="text1"/>
          <w:sz w:val="22"/>
          <w:szCs w:val="22"/>
        </w:rPr>
        <w:t xml:space="preserve">To </w:t>
      </w:r>
      <w:r w:rsidR="00305840" w:rsidRPr="00C77E28">
        <w:rPr>
          <w:rFonts w:asciiTheme="minorHAnsi" w:hAnsiTheme="minorHAnsi" w:cstheme="minorHAnsi"/>
          <w:color w:val="000000" w:themeColor="text1"/>
          <w:sz w:val="22"/>
          <w:szCs w:val="22"/>
        </w:rPr>
        <w:t>ensure results,</w:t>
      </w:r>
      <w:r w:rsidR="00066D24" w:rsidRPr="00C77E28">
        <w:rPr>
          <w:rFonts w:asciiTheme="minorHAnsi" w:hAnsiTheme="minorHAnsi" w:cstheme="minorHAnsi"/>
          <w:color w:val="000000" w:themeColor="text1"/>
          <w:sz w:val="22"/>
          <w:szCs w:val="22"/>
        </w:rPr>
        <w:t xml:space="preserve"> </w:t>
      </w:r>
      <w:r w:rsidR="008F1E17" w:rsidRPr="00C77E28">
        <w:rPr>
          <w:rFonts w:asciiTheme="minorHAnsi" w:hAnsiTheme="minorHAnsi" w:cstheme="minorHAnsi"/>
          <w:color w:val="000000" w:themeColor="text1"/>
          <w:sz w:val="22"/>
          <w:szCs w:val="22"/>
        </w:rPr>
        <w:t xml:space="preserve">UNDP </w:t>
      </w:r>
      <w:r w:rsidR="00305840" w:rsidRPr="00C77E28">
        <w:rPr>
          <w:rFonts w:asciiTheme="minorHAnsi" w:hAnsiTheme="minorHAnsi" w:cstheme="minorHAnsi"/>
          <w:color w:val="000000" w:themeColor="text1"/>
          <w:sz w:val="22"/>
          <w:szCs w:val="22"/>
        </w:rPr>
        <w:t>approach</w:t>
      </w:r>
      <w:r w:rsidR="006E7068" w:rsidRPr="00C77E28">
        <w:rPr>
          <w:rFonts w:asciiTheme="minorHAnsi" w:hAnsiTheme="minorHAnsi" w:cstheme="minorHAnsi"/>
          <w:color w:val="000000" w:themeColor="text1"/>
          <w:sz w:val="22"/>
          <w:szCs w:val="22"/>
        </w:rPr>
        <w:t xml:space="preserve"> </w:t>
      </w:r>
      <w:r w:rsidR="00066D24" w:rsidRPr="00C77E28">
        <w:rPr>
          <w:rFonts w:asciiTheme="minorHAnsi" w:hAnsiTheme="minorHAnsi" w:cstheme="minorHAnsi"/>
          <w:color w:val="000000" w:themeColor="text1"/>
          <w:sz w:val="22"/>
          <w:szCs w:val="22"/>
        </w:rPr>
        <w:t>was</w:t>
      </w:r>
      <w:r w:rsidR="00305840" w:rsidRPr="00C77E28">
        <w:rPr>
          <w:rFonts w:asciiTheme="minorHAnsi" w:hAnsiTheme="minorHAnsi" w:cstheme="minorHAnsi"/>
          <w:color w:val="000000" w:themeColor="text1"/>
          <w:sz w:val="22"/>
          <w:szCs w:val="22"/>
        </w:rPr>
        <w:t xml:space="preserve"> </w:t>
      </w:r>
      <w:r w:rsidR="00066D24" w:rsidRPr="00C77E28">
        <w:rPr>
          <w:rFonts w:asciiTheme="minorHAnsi" w:hAnsiTheme="minorHAnsi" w:cstheme="minorHAnsi"/>
          <w:color w:val="000000" w:themeColor="text1"/>
          <w:sz w:val="22"/>
          <w:szCs w:val="22"/>
        </w:rPr>
        <w:t xml:space="preserve">to move away from the strong centralization of political and administrative </w:t>
      </w:r>
      <w:r w:rsidR="00E04ACC" w:rsidRPr="00C77E28">
        <w:rPr>
          <w:rFonts w:asciiTheme="minorHAnsi" w:hAnsiTheme="minorHAnsi" w:cstheme="minorHAnsi"/>
          <w:color w:val="000000" w:themeColor="text1"/>
          <w:sz w:val="22"/>
          <w:szCs w:val="22"/>
        </w:rPr>
        <w:t xml:space="preserve">actions </w:t>
      </w:r>
      <w:r w:rsidR="00066D24" w:rsidRPr="00C77E28">
        <w:rPr>
          <w:rFonts w:asciiTheme="minorHAnsi" w:hAnsiTheme="minorHAnsi" w:cstheme="minorHAnsi"/>
          <w:color w:val="000000" w:themeColor="text1"/>
          <w:sz w:val="22"/>
          <w:szCs w:val="22"/>
        </w:rPr>
        <w:t xml:space="preserve">to promote </w:t>
      </w:r>
      <w:r w:rsidR="00D455D3" w:rsidRPr="00C77E28">
        <w:rPr>
          <w:rFonts w:asciiTheme="minorHAnsi" w:hAnsiTheme="minorHAnsi" w:cstheme="minorHAnsi"/>
          <w:color w:val="000000" w:themeColor="text1"/>
          <w:sz w:val="22"/>
          <w:szCs w:val="22"/>
        </w:rPr>
        <w:t>SDG</w:t>
      </w:r>
      <w:r w:rsidR="00D50D1C" w:rsidRPr="00C77E28">
        <w:rPr>
          <w:rFonts w:asciiTheme="minorHAnsi" w:hAnsiTheme="minorHAnsi" w:cstheme="minorHAnsi"/>
          <w:color w:val="000000" w:themeColor="text1"/>
          <w:sz w:val="22"/>
          <w:szCs w:val="22"/>
        </w:rPr>
        <w:t xml:space="preserve">s </w:t>
      </w:r>
      <w:r w:rsidR="008568E9" w:rsidRPr="00C77E28">
        <w:rPr>
          <w:rFonts w:asciiTheme="minorHAnsi" w:hAnsiTheme="minorHAnsi" w:cstheme="minorHAnsi"/>
          <w:color w:val="000000" w:themeColor="text1"/>
          <w:sz w:val="22"/>
          <w:szCs w:val="22"/>
        </w:rPr>
        <w:t xml:space="preserve">appropriation </w:t>
      </w:r>
      <w:r w:rsidR="00F76356" w:rsidRPr="00C77E28">
        <w:rPr>
          <w:rFonts w:asciiTheme="minorHAnsi" w:hAnsiTheme="minorHAnsi" w:cstheme="minorHAnsi"/>
          <w:color w:val="000000" w:themeColor="text1"/>
          <w:sz w:val="22"/>
          <w:szCs w:val="22"/>
        </w:rPr>
        <w:t>of</w:t>
      </w:r>
      <w:r w:rsidR="00D50D1C" w:rsidRPr="00C77E28">
        <w:rPr>
          <w:rFonts w:asciiTheme="minorHAnsi" w:hAnsiTheme="minorHAnsi" w:cstheme="minorHAnsi"/>
          <w:color w:val="000000" w:themeColor="text1"/>
          <w:sz w:val="22"/>
          <w:szCs w:val="22"/>
        </w:rPr>
        <w:t xml:space="preserve"> </w:t>
      </w:r>
      <w:r w:rsidR="00066D24" w:rsidRPr="00C77E28">
        <w:rPr>
          <w:rFonts w:asciiTheme="minorHAnsi" w:hAnsiTheme="minorHAnsi" w:cstheme="minorHAnsi"/>
          <w:color w:val="000000" w:themeColor="text1"/>
          <w:sz w:val="22"/>
          <w:szCs w:val="22"/>
        </w:rPr>
        <w:t xml:space="preserve">local authorities. </w:t>
      </w:r>
      <w:r w:rsidR="006B345E" w:rsidRPr="00C77E28">
        <w:rPr>
          <w:rFonts w:asciiTheme="minorHAnsi" w:hAnsiTheme="minorHAnsi" w:cstheme="minorHAnsi"/>
          <w:color w:val="000000" w:themeColor="text1"/>
          <w:sz w:val="22"/>
          <w:szCs w:val="22"/>
        </w:rPr>
        <w:t xml:space="preserve">In that contact, </w:t>
      </w:r>
      <w:r w:rsidR="001531CE" w:rsidRPr="00C77E28">
        <w:rPr>
          <w:rFonts w:asciiTheme="minorHAnsi" w:eastAsia="Calibri" w:hAnsiTheme="minorHAnsi" w:cstheme="minorHAnsi"/>
          <w:color w:val="000000" w:themeColor="text1"/>
          <w:sz w:val="22"/>
          <w:szCs w:val="22"/>
        </w:rPr>
        <w:t xml:space="preserve">UNDP </w:t>
      </w:r>
      <w:r w:rsidR="006B345E" w:rsidRPr="00C77E28">
        <w:rPr>
          <w:rFonts w:asciiTheme="minorHAnsi" w:eastAsia="Calibri" w:hAnsiTheme="minorHAnsi" w:cstheme="minorHAnsi"/>
          <w:color w:val="000000" w:themeColor="text1"/>
          <w:sz w:val="22"/>
          <w:szCs w:val="22"/>
        </w:rPr>
        <w:t xml:space="preserve">helped the development of 88 </w:t>
      </w:r>
      <w:r w:rsidR="00B64C10" w:rsidRPr="00C77E28">
        <w:rPr>
          <w:rFonts w:asciiTheme="minorHAnsi" w:eastAsia="Calibri" w:hAnsiTheme="minorHAnsi" w:cstheme="minorHAnsi"/>
          <w:color w:val="000000" w:themeColor="text1"/>
          <w:sz w:val="22"/>
          <w:szCs w:val="22"/>
        </w:rPr>
        <w:t xml:space="preserve">local </w:t>
      </w:r>
      <w:r w:rsidR="006B345E" w:rsidRPr="00C77E28">
        <w:rPr>
          <w:rFonts w:asciiTheme="minorHAnsi" w:eastAsia="Calibri" w:hAnsiTheme="minorHAnsi" w:cstheme="minorHAnsi"/>
          <w:color w:val="000000" w:themeColor="text1"/>
          <w:sz w:val="22"/>
          <w:szCs w:val="22"/>
        </w:rPr>
        <w:t xml:space="preserve">development plans </w:t>
      </w:r>
      <w:r w:rsidR="00B64C10" w:rsidRPr="00C77E28">
        <w:rPr>
          <w:rFonts w:asciiTheme="minorHAnsi" w:eastAsia="Calibri" w:hAnsiTheme="minorHAnsi" w:cstheme="minorHAnsi"/>
          <w:color w:val="000000" w:themeColor="text1"/>
          <w:sz w:val="22"/>
          <w:szCs w:val="22"/>
        </w:rPr>
        <w:t>aligned with the SDG</w:t>
      </w:r>
      <w:r w:rsidR="008568E9" w:rsidRPr="00C77E28">
        <w:rPr>
          <w:rFonts w:asciiTheme="minorHAnsi" w:eastAsia="Calibri" w:hAnsiTheme="minorHAnsi" w:cstheme="minorHAnsi"/>
          <w:color w:val="000000" w:themeColor="text1"/>
          <w:sz w:val="22"/>
          <w:szCs w:val="22"/>
        </w:rPr>
        <w:t xml:space="preserve"> and the Agenda 2063</w:t>
      </w:r>
      <w:r w:rsidR="00B64C10" w:rsidRPr="00C77E28">
        <w:rPr>
          <w:rFonts w:asciiTheme="minorHAnsi" w:eastAsia="Calibri" w:hAnsiTheme="minorHAnsi" w:cstheme="minorHAnsi"/>
          <w:color w:val="000000" w:themeColor="text1"/>
          <w:sz w:val="22"/>
          <w:szCs w:val="22"/>
        </w:rPr>
        <w:t>.</w:t>
      </w:r>
      <w:r w:rsidR="005B3299" w:rsidRPr="00C77E28">
        <w:rPr>
          <w:rFonts w:asciiTheme="minorHAnsi" w:eastAsia="Calibri" w:hAnsiTheme="minorHAnsi" w:cstheme="minorHAnsi"/>
          <w:color w:val="000000" w:themeColor="text1"/>
          <w:sz w:val="22"/>
          <w:szCs w:val="22"/>
        </w:rPr>
        <w:t xml:space="preserve"> The main success of these development plans </w:t>
      </w:r>
      <w:r w:rsidR="00B9019B" w:rsidRPr="00C77E28">
        <w:rPr>
          <w:rFonts w:asciiTheme="minorHAnsi" w:eastAsia="Calibri" w:hAnsiTheme="minorHAnsi" w:cstheme="minorHAnsi"/>
          <w:color w:val="000000" w:themeColor="text1"/>
          <w:sz w:val="22"/>
          <w:szCs w:val="22"/>
        </w:rPr>
        <w:t>was</w:t>
      </w:r>
      <w:r w:rsidR="005B3299" w:rsidRPr="00C77E28">
        <w:rPr>
          <w:rFonts w:asciiTheme="minorHAnsi" w:eastAsia="Calibri" w:hAnsiTheme="minorHAnsi" w:cstheme="minorHAnsi"/>
          <w:color w:val="000000" w:themeColor="text1"/>
          <w:sz w:val="22"/>
          <w:szCs w:val="22"/>
        </w:rPr>
        <w:t xml:space="preserve"> </w:t>
      </w:r>
      <w:r w:rsidR="008568E9" w:rsidRPr="00C77E28">
        <w:rPr>
          <w:rFonts w:asciiTheme="minorHAnsi" w:eastAsia="Calibri" w:hAnsiTheme="minorHAnsi" w:cstheme="minorHAnsi"/>
          <w:color w:val="000000" w:themeColor="text1"/>
          <w:sz w:val="22"/>
          <w:szCs w:val="22"/>
        </w:rPr>
        <w:t>their</w:t>
      </w:r>
      <w:r w:rsidR="009D0776" w:rsidRPr="00C77E28">
        <w:rPr>
          <w:rFonts w:asciiTheme="minorHAnsi" w:eastAsia="Calibri" w:hAnsiTheme="minorHAnsi" w:cstheme="minorHAnsi"/>
          <w:color w:val="000000" w:themeColor="text1"/>
          <w:sz w:val="22"/>
          <w:szCs w:val="22"/>
        </w:rPr>
        <w:t xml:space="preserve"> integration with the</w:t>
      </w:r>
      <w:r w:rsidR="008568E9" w:rsidRPr="00C77E28">
        <w:rPr>
          <w:rFonts w:asciiTheme="minorHAnsi" w:eastAsia="Calibri" w:hAnsiTheme="minorHAnsi" w:cstheme="minorHAnsi"/>
          <w:color w:val="000000" w:themeColor="text1"/>
          <w:sz w:val="22"/>
          <w:szCs w:val="22"/>
        </w:rPr>
        <w:t xml:space="preserve"> SDG and </w:t>
      </w:r>
      <w:r w:rsidR="00CD1FAF" w:rsidRPr="00C77E28">
        <w:rPr>
          <w:rFonts w:asciiTheme="minorHAnsi" w:eastAsia="Calibri" w:hAnsiTheme="minorHAnsi" w:cstheme="minorHAnsi"/>
          <w:color w:val="000000" w:themeColor="text1"/>
          <w:sz w:val="22"/>
          <w:szCs w:val="22"/>
        </w:rPr>
        <w:t>strengthened</w:t>
      </w:r>
      <w:r w:rsidR="009564F8" w:rsidRPr="00C77E28">
        <w:rPr>
          <w:rFonts w:asciiTheme="minorHAnsi" w:eastAsia="Calibri" w:hAnsiTheme="minorHAnsi" w:cstheme="minorHAnsi"/>
          <w:color w:val="000000" w:themeColor="text1"/>
          <w:sz w:val="22"/>
          <w:szCs w:val="22"/>
        </w:rPr>
        <w:t xml:space="preserve"> </w:t>
      </w:r>
      <w:r w:rsidR="008568E9" w:rsidRPr="00C77E28">
        <w:rPr>
          <w:rFonts w:asciiTheme="minorHAnsi" w:eastAsia="Calibri" w:hAnsiTheme="minorHAnsi" w:cstheme="minorHAnsi"/>
          <w:color w:val="000000" w:themeColor="text1"/>
          <w:sz w:val="22"/>
          <w:szCs w:val="22"/>
        </w:rPr>
        <w:t>capacit</w:t>
      </w:r>
      <w:r w:rsidR="009564F8" w:rsidRPr="00C77E28">
        <w:rPr>
          <w:rFonts w:asciiTheme="minorHAnsi" w:eastAsia="Calibri" w:hAnsiTheme="minorHAnsi" w:cstheme="minorHAnsi"/>
          <w:color w:val="000000" w:themeColor="text1"/>
          <w:sz w:val="22"/>
          <w:szCs w:val="22"/>
        </w:rPr>
        <w:t>ies of</w:t>
      </w:r>
      <w:r w:rsidR="008568E9" w:rsidRPr="00C77E28">
        <w:rPr>
          <w:rFonts w:asciiTheme="minorHAnsi" w:eastAsia="Calibri" w:hAnsiTheme="minorHAnsi" w:cstheme="minorHAnsi"/>
          <w:color w:val="000000" w:themeColor="text1"/>
          <w:sz w:val="22"/>
          <w:szCs w:val="22"/>
        </w:rPr>
        <w:t xml:space="preserve"> local authorities and communities</w:t>
      </w:r>
      <w:r w:rsidR="008F0201" w:rsidRPr="00C77E28">
        <w:rPr>
          <w:rFonts w:asciiTheme="minorHAnsi" w:eastAsia="Calibri" w:hAnsiTheme="minorHAnsi" w:cstheme="minorHAnsi"/>
          <w:color w:val="000000" w:themeColor="text1"/>
          <w:sz w:val="22"/>
          <w:szCs w:val="22"/>
        </w:rPr>
        <w:t xml:space="preserve"> </w:t>
      </w:r>
      <w:r w:rsidR="001166AD" w:rsidRPr="00C77E28">
        <w:rPr>
          <w:rFonts w:asciiTheme="minorHAnsi" w:eastAsia="Calibri" w:hAnsiTheme="minorHAnsi" w:cstheme="minorHAnsi"/>
          <w:color w:val="000000" w:themeColor="text1"/>
          <w:sz w:val="22"/>
          <w:szCs w:val="22"/>
        </w:rPr>
        <w:t xml:space="preserve">to </w:t>
      </w:r>
      <w:r w:rsidR="00372BD7" w:rsidRPr="00C77E28">
        <w:rPr>
          <w:rFonts w:asciiTheme="minorHAnsi" w:eastAsia="Calibri" w:hAnsiTheme="minorHAnsi" w:cstheme="minorHAnsi"/>
          <w:color w:val="000000" w:themeColor="text1"/>
          <w:sz w:val="22"/>
          <w:szCs w:val="22"/>
        </w:rPr>
        <w:t xml:space="preserve">develop </w:t>
      </w:r>
      <w:r w:rsidR="00223CCB" w:rsidRPr="00C77E28">
        <w:rPr>
          <w:rFonts w:asciiTheme="minorHAnsi" w:eastAsia="Calibri" w:hAnsiTheme="minorHAnsi" w:cstheme="minorHAnsi"/>
          <w:color w:val="000000" w:themeColor="text1"/>
          <w:sz w:val="22"/>
          <w:szCs w:val="22"/>
        </w:rPr>
        <w:t>budget</w:t>
      </w:r>
      <w:r w:rsidR="00780C31" w:rsidRPr="00C77E28">
        <w:rPr>
          <w:rFonts w:asciiTheme="minorHAnsi" w:eastAsia="Calibri" w:hAnsiTheme="minorHAnsi" w:cstheme="minorHAnsi"/>
          <w:color w:val="000000" w:themeColor="text1"/>
          <w:sz w:val="22"/>
          <w:szCs w:val="22"/>
        </w:rPr>
        <w:t>ed</w:t>
      </w:r>
      <w:r w:rsidR="008F0201" w:rsidRPr="00C77E28">
        <w:rPr>
          <w:rFonts w:asciiTheme="minorHAnsi" w:eastAsia="Calibri" w:hAnsiTheme="minorHAnsi" w:cstheme="minorHAnsi"/>
          <w:color w:val="000000" w:themeColor="text1"/>
          <w:sz w:val="22"/>
          <w:szCs w:val="22"/>
        </w:rPr>
        <w:t xml:space="preserve"> local plans </w:t>
      </w:r>
      <w:r w:rsidR="00223CCB" w:rsidRPr="00C77E28">
        <w:rPr>
          <w:rFonts w:asciiTheme="minorHAnsi" w:eastAsia="Calibri" w:hAnsiTheme="minorHAnsi" w:cstheme="minorHAnsi"/>
          <w:color w:val="000000" w:themeColor="text1"/>
          <w:sz w:val="22"/>
          <w:szCs w:val="22"/>
        </w:rPr>
        <w:t>adapted</w:t>
      </w:r>
      <w:r w:rsidR="008F0201" w:rsidRPr="00C77E28">
        <w:rPr>
          <w:rFonts w:asciiTheme="minorHAnsi" w:eastAsia="Calibri" w:hAnsiTheme="minorHAnsi" w:cstheme="minorHAnsi"/>
          <w:color w:val="000000" w:themeColor="text1"/>
          <w:sz w:val="22"/>
          <w:szCs w:val="22"/>
        </w:rPr>
        <w:t xml:space="preserve"> to their</w:t>
      </w:r>
      <w:r w:rsidR="00223CCB" w:rsidRPr="00C77E28">
        <w:rPr>
          <w:rFonts w:asciiTheme="minorHAnsi" w:eastAsia="Calibri" w:hAnsiTheme="minorHAnsi" w:cstheme="minorHAnsi"/>
          <w:color w:val="000000" w:themeColor="text1"/>
          <w:sz w:val="22"/>
          <w:szCs w:val="22"/>
        </w:rPr>
        <w:t xml:space="preserve"> </w:t>
      </w:r>
      <w:r w:rsidR="008F0201" w:rsidRPr="00C77E28">
        <w:rPr>
          <w:rFonts w:asciiTheme="minorHAnsi" w:eastAsia="Calibri" w:hAnsiTheme="minorHAnsi" w:cstheme="minorHAnsi"/>
          <w:color w:val="000000" w:themeColor="text1"/>
          <w:sz w:val="22"/>
          <w:szCs w:val="22"/>
        </w:rPr>
        <w:t>needs</w:t>
      </w:r>
      <w:r w:rsidR="001166AD" w:rsidRPr="00C77E28">
        <w:rPr>
          <w:rFonts w:asciiTheme="minorHAnsi" w:eastAsia="Calibri" w:hAnsiTheme="minorHAnsi" w:cstheme="minorHAnsi"/>
          <w:color w:val="000000" w:themeColor="text1"/>
          <w:sz w:val="22"/>
          <w:szCs w:val="22"/>
        </w:rPr>
        <w:t xml:space="preserve">. </w:t>
      </w:r>
      <w:r w:rsidR="00D27D36" w:rsidRPr="00C77E28">
        <w:rPr>
          <w:rFonts w:asciiTheme="minorHAnsi" w:eastAsia="Calibri" w:hAnsiTheme="minorHAnsi" w:cstheme="minorHAnsi"/>
          <w:color w:val="000000" w:themeColor="text1"/>
          <w:sz w:val="22"/>
          <w:szCs w:val="22"/>
        </w:rPr>
        <w:t xml:space="preserve">These Plans were also </w:t>
      </w:r>
      <w:r w:rsidR="006E0713" w:rsidRPr="00C77E28">
        <w:rPr>
          <w:rFonts w:asciiTheme="minorHAnsi" w:eastAsia="Calibri" w:hAnsiTheme="minorHAnsi" w:cstheme="minorHAnsi"/>
          <w:color w:val="000000" w:themeColor="text1"/>
          <w:sz w:val="22"/>
          <w:szCs w:val="22"/>
        </w:rPr>
        <w:t>accompanied by</w:t>
      </w:r>
      <w:r w:rsidR="00B55653" w:rsidRPr="00C77E28">
        <w:rPr>
          <w:rFonts w:asciiTheme="minorHAnsi" w:eastAsia="Calibri" w:hAnsiTheme="minorHAnsi" w:cstheme="minorHAnsi"/>
          <w:color w:val="000000" w:themeColor="text1"/>
          <w:sz w:val="22"/>
          <w:szCs w:val="22"/>
        </w:rPr>
        <w:t xml:space="preserve"> a funding scheme developed by the Government, through the </w:t>
      </w:r>
      <w:r w:rsidR="006230C5" w:rsidRPr="00C77E28">
        <w:rPr>
          <w:rFonts w:asciiTheme="minorHAnsi" w:eastAsia="Calibri" w:hAnsiTheme="minorHAnsi" w:cstheme="minorHAnsi"/>
          <w:color w:val="000000" w:themeColor="text1"/>
          <w:sz w:val="22"/>
          <w:szCs w:val="22"/>
        </w:rPr>
        <w:t>Departmental</w:t>
      </w:r>
      <w:r w:rsidR="00345529" w:rsidRPr="00C77E28">
        <w:rPr>
          <w:rFonts w:asciiTheme="minorHAnsi" w:eastAsia="Calibri" w:hAnsiTheme="minorHAnsi" w:cstheme="minorHAnsi"/>
          <w:color w:val="000000" w:themeColor="text1"/>
          <w:sz w:val="22"/>
          <w:szCs w:val="22"/>
        </w:rPr>
        <w:t xml:space="preserve"> Initiative Fund (FID).</w:t>
      </w:r>
    </w:p>
    <w:p w14:paraId="13FE76FB" w14:textId="77777777" w:rsidR="00CC07EF" w:rsidRPr="00C77E28" w:rsidRDefault="00CC07EF" w:rsidP="2C2D9058">
      <w:pPr>
        <w:autoSpaceDE w:val="0"/>
        <w:autoSpaceDN w:val="0"/>
        <w:adjustRightInd w:val="0"/>
        <w:jc w:val="both"/>
        <w:rPr>
          <w:rFonts w:asciiTheme="minorHAnsi" w:hAnsiTheme="minorHAnsi" w:cstheme="minorHAnsi"/>
          <w:color w:val="000000" w:themeColor="text1"/>
          <w:sz w:val="22"/>
          <w:szCs w:val="22"/>
        </w:rPr>
      </w:pPr>
    </w:p>
    <w:p w14:paraId="615923E5" w14:textId="66FE30B7" w:rsidR="00345529" w:rsidRPr="00C77E28" w:rsidRDefault="2D35BA59" w:rsidP="2C2D9058">
      <w:pPr>
        <w:autoSpaceDE w:val="0"/>
        <w:autoSpaceDN w:val="0"/>
        <w:adjustRightInd w:val="0"/>
        <w:jc w:val="both"/>
        <w:rPr>
          <w:rFonts w:asciiTheme="minorHAnsi" w:hAnsiTheme="minorHAnsi" w:cstheme="minorHAnsi"/>
          <w:color w:val="000000" w:themeColor="text1"/>
          <w:sz w:val="22"/>
          <w:szCs w:val="22"/>
        </w:rPr>
      </w:pPr>
      <w:r w:rsidRPr="00C77E28">
        <w:rPr>
          <w:rFonts w:asciiTheme="minorHAnsi" w:hAnsiTheme="minorHAnsi" w:cstheme="minorHAnsi"/>
          <w:color w:val="000000" w:themeColor="text1"/>
          <w:sz w:val="22"/>
          <w:szCs w:val="22"/>
        </w:rPr>
        <w:t>Even though</w:t>
      </w:r>
      <w:r w:rsidR="20D8809C" w:rsidRPr="00C77E28">
        <w:rPr>
          <w:rFonts w:asciiTheme="minorHAnsi" w:hAnsiTheme="minorHAnsi" w:cstheme="minorHAnsi"/>
          <w:color w:val="000000" w:themeColor="text1"/>
          <w:sz w:val="22"/>
          <w:szCs w:val="22"/>
        </w:rPr>
        <w:t xml:space="preserve"> the FID was never operationalize</w:t>
      </w:r>
      <w:r w:rsidRPr="00C77E28">
        <w:rPr>
          <w:rFonts w:asciiTheme="minorHAnsi" w:hAnsiTheme="minorHAnsi" w:cstheme="minorHAnsi"/>
          <w:color w:val="000000" w:themeColor="text1"/>
          <w:sz w:val="22"/>
          <w:szCs w:val="22"/>
        </w:rPr>
        <w:t>d</w:t>
      </w:r>
      <w:r w:rsidR="48CA3F78" w:rsidRPr="00C77E28">
        <w:rPr>
          <w:rFonts w:asciiTheme="minorHAnsi" w:hAnsiTheme="minorHAnsi" w:cstheme="minorHAnsi"/>
          <w:color w:val="000000" w:themeColor="text1"/>
          <w:sz w:val="22"/>
          <w:szCs w:val="22"/>
        </w:rPr>
        <w:t xml:space="preserve"> to implement these strategic documents</w:t>
      </w:r>
      <w:r w:rsidR="20D8809C" w:rsidRPr="00C77E28">
        <w:rPr>
          <w:rFonts w:asciiTheme="minorHAnsi" w:hAnsiTheme="minorHAnsi" w:cstheme="minorHAnsi"/>
          <w:color w:val="000000" w:themeColor="text1"/>
          <w:sz w:val="22"/>
          <w:szCs w:val="22"/>
        </w:rPr>
        <w:t xml:space="preserve">, </w:t>
      </w:r>
      <w:r w:rsidR="0090360A" w:rsidRPr="00C77E28">
        <w:rPr>
          <w:rFonts w:asciiTheme="minorHAnsi" w:hAnsiTheme="minorHAnsi" w:cstheme="minorHAnsi"/>
          <w:color w:val="000000" w:themeColor="text1"/>
          <w:sz w:val="22"/>
          <w:szCs w:val="22"/>
        </w:rPr>
        <w:t xml:space="preserve">a </w:t>
      </w:r>
      <w:r w:rsidR="20D8809C" w:rsidRPr="00C77E28">
        <w:rPr>
          <w:rFonts w:asciiTheme="minorHAnsi" w:hAnsiTheme="minorHAnsi" w:cstheme="minorHAnsi"/>
          <w:color w:val="000000" w:themeColor="text1"/>
          <w:sz w:val="22"/>
          <w:szCs w:val="22"/>
        </w:rPr>
        <w:t xml:space="preserve">few concrete results </w:t>
      </w:r>
      <w:r w:rsidR="19F143EB" w:rsidRPr="00C77E28">
        <w:rPr>
          <w:rFonts w:asciiTheme="minorHAnsi" w:hAnsiTheme="minorHAnsi" w:cstheme="minorHAnsi"/>
          <w:color w:val="000000" w:themeColor="text1"/>
          <w:sz w:val="22"/>
          <w:szCs w:val="22"/>
        </w:rPr>
        <w:t>were</w:t>
      </w:r>
      <w:r w:rsidR="20D8809C" w:rsidRPr="00C77E28">
        <w:rPr>
          <w:rFonts w:asciiTheme="minorHAnsi" w:hAnsiTheme="minorHAnsi" w:cstheme="minorHAnsi"/>
          <w:color w:val="000000" w:themeColor="text1"/>
          <w:sz w:val="22"/>
          <w:szCs w:val="22"/>
        </w:rPr>
        <w:t xml:space="preserve"> </w:t>
      </w:r>
      <w:r w:rsidR="15A24D76" w:rsidRPr="00C77E28">
        <w:rPr>
          <w:rFonts w:asciiTheme="minorHAnsi" w:hAnsiTheme="minorHAnsi" w:cstheme="minorHAnsi"/>
          <w:color w:val="000000" w:themeColor="text1"/>
          <w:sz w:val="22"/>
          <w:szCs w:val="22"/>
        </w:rPr>
        <w:t xml:space="preserve">achieved at the local </w:t>
      </w:r>
      <w:r w:rsidRPr="00C77E28">
        <w:rPr>
          <w:rFonts w:asciiTheme="minorHAnsi" w:hAnsiTheme="minorHAnsi" w:cstheme="minorHAnsi"/>
          <w:color w:val="000000" w:themeColor="text1"/>
          <w:sz w:val="22"/>
          <w:szCs w:val="22"/>
        </w:rPr>
        <w:t>level:</w:t>
      </w:r>
      <w:r w:rsidR="15A24D76" w:rsidRPr="00C77E28">
        <w:rPr>
          <w:rFonts w:asciiTheme="minorHAnsi" w:hAnsiTheme="minorHAnsi" w:cstheme="minorHAnsi"/>
          <w:color w:val="000000" w:themeColor="text1"/>
          <w:sz w:val="22"/>
          <w:szCs w:val="22"/>
        </w:rPr>
        <w:t xml:space="preserve"> </w:t>
      </w:r>
      <w:r w:rsidR="5D81B54F" w:rsidRPr="00C77E28">
        <w:rPr>
          <w:rFonts w:asciiTheme="minorHAnsi" w:hAnsiTheme="minorHAnsi" w:cstheme="minorHAnsi"/>
          <w:color w:val="000000" w:themeColor="text1"/>
          <w:sz w:val="22"/>
          <w:szCs w:val="22"/>
        </w:rPr>
        <w:t>six</w:t>
      </w:r>
      <w:r w:rsidR="19F143EB" w:rsidRPr="00C77E28">
        <w:rPr>
          <w:rFonts w:asciiTheme="minorHAnsi" w:hAnsiTheme="minorHAnsi" w:cstheme="minorHAnsi"/>
          <w:color w:val="000000" w:themeColor="text1"/>
          <w:sz w:val="22"/>
          <w:szCs w:val="22"/>
        </w:rPr>
        <w:t xml:space="preserve"> national institutions (</w:t>
      </w:r>
      <w:r w:rsidR="00BD7CA5" w:rsidRPr="00C77E28">
        <w:rPr>
          <w:rFonts w:asciiTheme="minorHAnsi" w:hAnsiTheme="minorHAnsi" w:cstheme="minorHAnsi"/>
          <w:color w:val="000000" w:themeColor="text1"/>
          <w:sz w:val="22"/>
          <w:szCs w:val="22"/>
        </w:rPr>
        <w:t xml:space="preserve">Ministry of Interior, 2 </w:t>
      </w:r>
      <w:r w:rsidR="00287514" w:rsidRPr="00C77E28">
        <w:rPr>
          <w:rFonts w:asciiTheme="minorHAnsi" w:hAnsiTheme="minorHAnsi" w:cstheme="minorHAnsi"/>
          <w:color w:val="000000" w:themeColor="text1"/>
          <w:sz w:val="22"/>
          <w:szCs w:val="22"/>
        </w:rPr>
        <w:t>city halls, Departmental Councils and Ministry of Economy of Budget</w:t>
      </w:r>
      <w:r w:rsidR="00B454A7" w:rsidRPr="00C77E28">
        <w:rPr>
          <w:rFonts w:asciiTheme="minorHAnsi" w:hAnsiTheme="minorHAnsi" w:cstheme="minorHAnsi"/>
          <w:color w:val="000000" w:themeColor="text1"/>
          <w:sz w:val="22"/>
          <w:szCs w:val="22"/>
        </w:rPr>
        <w:t>)</w:t>
      </w:r>
      <w:r w:rsidR="19F143EB" w:rsidRPr="00C77E28">
        <w:rPr>
          <w:rFonts w:asciiTheme="minorHAnsi" w:hAnsiTheme="minorHAnsi" w:cstheme="minorHAnsi"/>
          <w:color w:val="000000" w:themeColor="text1"/>
          <w:sz w:val="22"/>
          <w:szCs w:val="22"/>
        </w:rPr>
        <w:t xml:space="preserve"> </w:t>
      </w:r>
      <w:r w:rsidR="0090360A" w:rsidRPr="00C77E28">
        <w:rPr>
          <w:rFonts w:asciiTheme="minorHAnsi" w:hAnsiTheme="minorHAnsi" w:cstheme="minorHAnsi"/>
          <w:color w:val="000000" w:themeColor="text1"/>
          <w:sz w:val="22"/>
          <w:szCs w:val="22"/>
        </w:rPr>
        <w:t>have strengthened capacities</w:t>
      </w:r>
      <w:r w:rsidR="19F143EB" w:rsidRPr="00C77E28">
        <w:rPr>
          <w:rFonts w:asciiTheme="minorHAnsi" w:hAnsiTheme="minorHAnsi" w:cstheme="minorHAnsi"/>
          <w:color w:val="000000" w:themeColor="text1"/>
          <w:sz w:val="22"/>
          <w:szCs w:val="22"/>
        </w:rPr>
        <w:t xml:space="preserve"> to </w:t>
      </w:r>
      <w:r w:rsidR="576D7E64" w:rsidRPr="00C77E28">
        <w:rPr>
          <w:rFonts w:asciiTheme="minorHAnsi" w:hAnsiTheme="minorHAnsi" w:cstheme="minorHAnsi"/>
          <w:color w:val="000000" w:themeColor="text1"/>
          <w:sz w:val="22"/>
          <w:szCs w:val="22"/>
        </w:rPr>
        <w:t>support local authorities to develop local development plan</w:t>
      </w:r>
      <w:r w:rsidR="5931FD30" w:rsidRPr="00C77E28">
        <w:rPr>
          <w:rFonts w:asciiTheme="minorHAnsi" w:hAnsiTheme="minorHAnsi" w:cstheme="minorHAnsi"/>
          <w:color w:val="000000" w:themeColor="text1"/>
          <w:sz w:val="22"/>
          <w:szCs w:val="22"/>
        </w:rPr>
        <w:t>s</w:t>
      </w:r>
      <w:r w:rsidR="576D7E64" w:rsidRPr="00C77E28">
        <w:rPr>
          <w:rFonts w:asciiTheme="minorHAnsi" w:hAnsiTheme="minorHAnsi" w:cstheme="minorHAnsi"/>
          <w:color w:val="000000" w:themeColor="text1"/>
          <w:sz w:val="22"/>
          <w:szCs w:val="22"/>
        </w:rPr>
        <w:t xml:space="preserve">. Three </w:t>
      </w:r>
      <w:r w:rsidRPr="00C77E28">
        <w:rPr>
          <w:rFonts w:asciiTheme="minorHAnsi" w:hAnsiTheme="minorHAnsi" w:cstheme="minorHAnsi"/>
          <w:color w:val="000000" w:themeColor="text1"/>
          <w:sz w:val="22"/>
          <w:szCs w:val="22"/>
        </w:rPr>
        <w:t>monitoring systems</w:t>
      </w:r>
      <w:r w:rsidR="576D7E64" w:rsidRPr="00C77E28">
        <w:rPr>
          <w:rFonts w:asciiTheme="minorHAnsi" w:hAnsiTheme="minorHAnsi" w:cstheme="minorHAnsi"/>
          <w:color w:val="000000" w:themeColor="text1"/>
          <w:sz w:val="22"/>
          <w:szCs w:val="22"/>
        </w:rPr>
        <w:t xml:space="preserve"> were put in place, </w:t>
      </w:r>
      <w:r w:rsidR="0090360A" w:rsidRPr="00C77E28">
        <w:rPr>
          <w:rFonts w:asciiTheme="minorHAnsi" w:hAnsiTheme="minorHAnsi" w:cstheme="minorHAnsi"/>
          <w:color w:val="000000" w:themeColor="text1"/>
          <w:sz w:val="22"/>
          <w:szCs w:val="22"/>
        </w:rPr>
        <w:t xml:space="preserve">including the development of result frameworks, </w:t>
      </w:r>
      <w:r w:rsidR="576D7E64" w:rsidRPr="00C77E28">
        <w:rPr>
          <w:rFonts w:asciiTheme="minorHAnsi" w:hAnsiTheme="minorHAnsi" w:cstheme="minorHAnsi"/>
          <w:color w:val="000000" w:themeColor="text1"/>
          <w:sz w:val="22"/>
          <w:szCs w:val="22"/>
        </w:rPr>
        <w:t xml:space="preserve">to allow </w:t>
      </w:r>
      <w:r w:rsidR="0090360A" w:rsidRPr="00C77E28">
        <w:rPr>
          <w:rFonts w:asciiTheme="minorHAnsi" w:hAnsiTheme="minorHAnsi" w:cstheme="minorHAnsi"/>
          <w:color w:val="000000" w:themeColor="text1"/>
          <w:sz w:val="22"/>
          <w:szCs w:val="22"/>
        </w:rPr>
        <w:t>for a regular</w:t>
      </w:r>
      <w:r w:rsidR="576D7E64" w:rsidRPr="00C77E28">
        <w:rPr>
          <w:rFonts w:asciiTheme="minorHAnsi" w:hAnsiTheme="minorHAnsi" w:cstheme="minorHAnsi"/>
          <w:color w:val="000000" w:themeColor="text1"/>
          <w:sz w:val="22"/>
          <w:szCs w:val="22"/>
        </w:rPr>
        <w:t xml:space="preserve"> </w:t>
      </w:r>
      <w:r w:rsidR="00C82AC7" w:rsidRPr="00C77E28">
        <w:rPr>
          <w:rFonts w:asciiTheme="minorHAnsi" w:hAnsiTheme="minorHAnsi" w:cstheme="minorHAnsi"/>
          <w:color w:val="000000" w:themeColor="text1"/>
          <w:sz w:val="22"/>
          <w:szCs w:val="22"/>
        </w:rPr>
        <w:t>monitoring and reporting</w:t>
      </w:r>
      <w:r w:rsidR="0090360A" w:rsidRPr="00C77E28">
        <w:rPr>
          <w:rFonts w:asciiTheme="minorHAnsi" w:hAnsiTheme="minorHAnsi" w:cstheme="minorHAnsi"/>
          <w:color w:val="000000" w:themeColor="text1"/>
          <w:sz w:val="22"/>
          <w:szCs w:val="22"/>
        </w:rPr>
        <w:t xml:space="preserve"> of the plans </w:t>
      </w:r>
      <w:r w:rsidR="008C5051" w:rsidRPr="00C77E28">
        <w:rPr>
          <w:rFonts w:asciiTheme="minorHAnsi" w:hAnsiTheme="minorHAnsi" w:cstheme="minorHAnsi"/>
          <w:color w:val="000000" w:themeColor="text1"/>
          <w:sz w:val="22"/>
          <w:szCs w:val="22"/>
        </w:rPr>
        <w:t>and</w:t>
      </w:r>
      <w:r w:rsidRPr="00C77E28">
        <w:rPr>
          <w:rFonts w:asciiTheme="minorHAnsi" w:hAnsiTheme="minorHAnsi" w:cstheme="minorHAnsi"/>
          <w:color w:val="000000" w:themeColor="text1"/>
          <w:sz w:val="22"/>
          <w:szCs w:val="22"/>
        </w:rPr>
        <w:t xml:space="preserve"> assess</w:t>
      </w:r>
      <w:r w:rsidR="008D6DA5" w:rsidRPr="00C77E28">
        <w:rPr>
          <w:rFonts w:asciiTheme="minorHAnsi" w:hAnsiTheme="minorHAnsi" w:cstheme="minorHAnsi"/>
          <w:color w:val="000000" w:themeColor="text1"/>
          <w:sz w:val="22"/>
          <w:szCs w:val="22"/>
        </w:rPr>
        <w:t>ment of</w:t>
      </w:r>
      <w:r w:rsidRPr="00C77E28">
        <w:rPr>
          <w:rFonts w:asciiTheme="minorHAnsi" w:hAnsiTheme="minorHAnsi" w:cstheme="minorHAnsi"/>
          <w:color w:val="000000" w:themeColor="text1"/>
          <w:sz w:val="22"/>
          <w:szCs w:val="22"/>
        </w:rPr>
        <w:t xml:space="preserve"> results</w:t>
      </w:r>
      <w:r w:rsidR="00C82AC7" w:rsidRPr="00C77E28">
        <w:rPr>
          <w:rFonts w:asciiTheme="minorHAnsi" w:hAnsiTheme="minorHAnsi" w:cstheme="minorHAnsi"/>
          <w:color w:val="000000" w:themeColor="text1"/>
          <w:sz w:val="22"/>
          <w:szCs w:val="22"/>
        </w:rPr>
        <w:t xml:space="preserve"> achieved</w:t>
      </w:r>
      <w:r w:rsidRPr="00C77E28">
        <w:rPr>
          <w:rFonts w:asciiTheme="minorHAnsi" w:hAnsiTheme="minorHAnsi" w:cstheme="minorHAnsi"/>
          <w:color w:val="000000" w:themeColor="text1"/>
          <w:sz w:val="22"/>
          <w:szCs w:val="22"/>
        </w:rPr>
        <w:t xml:space="preserve">. </w:t>
      </w:r>
    </w:p>
    <w:p w14:paraId="50B4098E" w14:textId="77777777" w:rsidR="000D53E2" w:rsidRPr="00C77E28" w:rsidRDefault="000D53E2" w:rsidP="2C2D9058">
      <w:pPr>
        <w:autoSpaceDE w:val="0"/>
        <w:autoSpaceDN w:val="0"/>
        <w:adjustRightInd w:val="0"/>
        <w:jc w:val="both"/>
        <w:rPr>
          <w:rFonts w:asciiTheme="minorHAnsi" w:hAnsiTheme="minorHAnsi" w:cstheme="minorHAnsi"/>
          <w:color w:val="000000" w:themeColor="text1"/>
          <w:sz w:val="22"/>
          <w:szCs w:val="22"/>
        </w:rPr>
      </w:pPr>
    </w:p>
    <w:p w14:paraId="3472B1C6" w14:textId="1C6A4D13" w:rsidR="00066D24" w:rsidRPr="00C77E28" w:rsidRDefault="2D35BA59" w:rsidP="2C2D9058">
      <w:pPr>
        <w:autoSpaceDE w:val="0"/>
        <w:autoSpaceDN w:val="0"/>
        <w:adjustRightInd w:val="0"/>
        <w:jc w:val="both"/>
        <w:rPr>
          <w:rFonts w:asciiTheme="minorHAnsi" w:eastAsia="Calibri" w:hAnsiTheme="minorHAnsi" w:cstheme="minorHAnsi"/>
          <w:color w:val="000000" w:themeColor="text1"/>
          <w:sz w:val="22"/>
          <w:szCs w:val="22"/>
        </w:rPr>
      </w:pPr>
      <w:r w:rsidRPr="00C77E28">
        <w:rPr>
          <w:rFonts w:asciiTheme="minorHAnsi" w:hAnsiTheme="minorHAnsi" w:cstheme="minorHAnsi"/>
          <w:color w:val="000000" w:themeColor="text1"/>
          <w:sz w:val="22"/>
          <w:szCs w:val="22"/>
        </w:rPr>
        <w:t xml:space="preserve">One of the </w:t>
      </w:r>
      <w:r w:rsidR="00C77E28" w:rsidRPr="00C77E28">
        <w:rPr>
          <w:rFonts w:asciiTheme="minorHAnsi" w:hAnsiTheme="minorHAnsi" w:cstheme="minorHAnsi"/>
          <w:color w:val="000000" w:themeColor="text1"/>
          <w:sz w:val="22"/>
          <w:szCs w:val="22"/>
        </w:rPr>
        <w:t>particularities</w:t>
      </w:r>
      <w:r w:rsidRPr="00C77E28">
        <w:rPr>
          <w:rFonts w:asciiTheme="minorHAnsi" w:hAnsiTheme="minorHAnsi" w:cstheme="minorHAnsi"/>
          <w:color w:val="000000" w:themeColor="text1"/>
          <w:sz w:val="22"/>
          <w:szCs w:val="22"/>
        </w:rPr>
        <w:t xml:space="preserve"> of these local development plan was </w:t>
      </w:r>
      <w:r w:rsidR="008D6DA5" w:rsidRPr="00C77E28">
        <w:rPr>
          <w:rFonts w:asciiTheme="minorHAnsi" w:hAnsiTheme="minorHAnsi" w:cstheme="minorHAnsi"/>
          <w:color w:val="000000" w:themeColor="text1"/>
          <w:sz w:val="22"/>
          <w:szCs w:val="22"/>
        </w:rPr>
        <w:t>their focus</w:t>
      </w:r>
      <w:r w:rsidRPr="00C77E28">
        <w:rPr>
          <w:rFonts w:asciiTheme="minorHAnsi" w:hAnsiTheme="minorHAnsi" w:cstheme="minorHAnsi"/>
          <w:color w:val="000000" w:themeColor="text1"/>
          <w:sz w:val="22"/>
          <w:szCs w:val="22"/>
        </w:rPr>
        <w:t xml:space="preserve"> on promoting youth, women and vulnerable people </w:t>
      </w:r>
      <w:r w:rsidR="48CA3F78" w:rsidRPr="00C77E28">
        <w:rPr>
          <w:rFonts w:asciiTheme="minorHAnsi" w:hAnsiTheme="minorHAnsi" w:cstheme="minorHAnsi"/>
          <w:color w:val="000000" w:themeColor="text1"/>
          <w:sz w:val="22"/>
          <w:szCs w:val="22"/>
        </w:rPr>
        <w:t xml:space="preserve">opportunities, in alignment with the “Leave No One Behind Principe”. </w:t>
      </w:r>
      <w:r w:rsidR="008135CF" w:rsidRPr="00C77E28">
        <w:rPr>
          <w:rFonts w:asciiTheme="minorHAnsi" w:eastAsia="Calibri" w:hAnsiTheme="minorHAnsi" w:cstheme="minorHAnsi"/>
          <w:color w:val="000000" w:themeColor="text1"/>
          <w:sz w:val="22"/>
          <w:szCs w:val="22"/>
        </w:rPr>
        <w:t xml:space="preserve">Seven </w:t>
      </w:r>
      <w:r w:rsidR="00A53281" w:rsidRPr="00C77E28">
        <w:rPr>
          <w:rFonts w:asciiTheme="minorHAnsi" w:eastAsia="Calibri" w:hAnsiTheme="minorHAnsi" w:cstheme="minorHAnsi"/>
          <w:color w:val="000000" w:themeColor="text1"/>
          <w:sz w:val="22"/>
          <w:szCs w:val="22"/>
        </w:rPr>
        <w:t>hundred</w:t>
      </w:r>
      <w:r w:rsidR="008135CF" w:rsidRPr="00C77E28">
        <w:rPr>
          <w:rFonts w:asciiTheme="minorHAnsi" w:eastAsia="Calibri" w:hAnsiTheme="minorHAnsi" w:cstheme="minorHAnsi"/>
          <w:color w:val="000000" w:themeColor="text1"/>
          <w:sz w:val="22"/>
          <w:szCs w:val="22"/>
        </w:rPr>
        <w:t xml:space="preserve"> and fifty</w:t>
      </w:r>
      <w:r w:rsidR="19D86E19" w:rsidRPr="00C77E28">
        <w:rPr>
          <w:rFonts w:asciiTheme="minorHAnsi" w:eastAsia="Calibri" w:hAnsiTheme="minorHAnsi" w:cstheme="minorHAnsi"/>
          <w:color w:val="000000" w:themeColor="text1"/>
          <w:sz w:val="22"/>
          <w:szCs w:val="22"/>
        </w:rPr>
        <w:t xml:space="preserve"> jobs</w:t>
      </w:r>
      <w:r w:rsidR="09DE783D" w:rsidRPr="00C77E28">
        <w:rPr>
          <w:rFonts w:asciiTheme="minorHAnsi" w:eastAsia="Calibri" w:hAnsiTheme="minorHAnsi" w:cstheme="minorHAnsi"/>
          <w:color w:val="000000" w:themeColor="text1"/>
          <w:sz w:val="22"/>
          <w:szCs w:val="22"/>
        </w:rPr>
        <w:t xml:space="preserve"> </w:t>
      </w:r>
      <w:r w:rsidR="19D86E19" w:rsidRPr="00C77E28">
        <w:rPr>
          <w:rFonts w:asciiTheme="minorHAnsi" w:eastAsia="Calibri" w:hAnsiTheme="minorHAnsi" w:cstheme="minorHAnsi"/>
          <w:color w:val="000000" w:themeColor="text1"/>
          <w:sz w:val="22"/>
          <w:szCs w:val="22"/>
        </w:rPr>
        <w:t xml:space="preserve">were created </w:t>
      </w:r>
      <w:r w:rsidR="055B2FEF" w:rsidRPr="00C77E28">
        <w:rPr>
          <w:rFonts w:asciiTheme="minorHAnsi" w:eastAsia="Calibri" w:hAnsiTheme="minorHAnsi" w:cstheme="minorHAnsi"/>
          <w:color w:val="000000" w:themeColor="text1"/>
          <w:sz w:val="22"/>
          <w:szCs w:val="22"/>
        </w:rPr>
        <w:t xml:space="preserve">in local communities, through protected areas management or agricultural green value chains, with 30% </w:t>
      </w:r>
      <w:r w:rsidR="09DE783D" w:rsidRPr="00C77E28">
        <w:rPr>
          <w:rFonts w:asciiTheme="minorHAnsi" w:eastAsia="Calibri" w:hAnsiTheme="minorHAnsi" w:cstheme="minorHAnsi"/>
          <w:color w:val="000000" w:themeColor="text1"/>
          <w:sz w:val="22"/>
          <w:szCs w:val="22"/>
        </w:rPr>
        <w:t>for women</w:t>
      </w:r>
      <w:r w:rsidR="055B2FEF" w:rsidRPr="00C77E28">
        <w:rPr>
          <w:rFonts w:asciiTheme="minorHAnsi" w:eastAsia="Calibri" w:hAnsiTheme="minorHAnsi" w:cstheme="minorHAnsi"/>
          <w:color w:val="000000" w:themeColor="text1"/>
          <w:sz w:val="22"/>
          <w:szCs w:val="22"/>
        </w:rPr>
        <w:t>.</w:t>
      </w:r>
      <w:r w:rsidR="35B127DA" w:rsidRPr="00C77E28">
        <w:rPr>
          <w:rFonts w:asciiTheme="minorHAnsi" w:eastAsia="Calibri" w:hAnsiTheme="minorHAnsi" w:cstheme="minorHAnsi"/>
          <w:color w:val="000000" w:themeColor="text1"/>
          <w:sz w:val="22"/>
          <w:szCs w:val="22"/>
        </w:rPr>
        <w:t xml:space="preserve"> At </w:t>
      </w:r>
      <w:r w:rsidR="00F96F90" w:rsidRPr="00C77E28">
        <w:rPr>
          <w:rFonts w:asciiTheme="minorHAnsi" w:eastAsia="Calibri" w:hAnsiTheme="minorHAnsi" w:cstheme="minorHAnsi"/>
          <w:color w:val="000000" w:themeColor="text1"/>
          <w:sz w:val="22"/>
          <w:szCs w:val="22"/>
        </w:rPr>
        <w:t xml:space="preserve">the </w:t>
      </w:r>
      <w:r w:rsidR="35B127DA" w:rsidRPr="00C77E28">
        <w:rPr>
          <w:rFonts w:asciiTheme="minorHAnsi" w:eastAsia="Calibri" w:hAnsiTheme="minorHAnsi" w:cstheme="minorHAnsi"/>
          <w:color w:val="000000" w:themeColor="text1"/>
          <w:sz w:val="22"/>
          <w:szCs w:val="22"/>
        </w:rPr>
        <w:t xml:space="preserve">institutional </w:t>
      </w:r>
      <w:r w:rsidR="006B4981" w:rsidRPr="00C77E28">
        <w:rPr>
          <w:rFonts w:asciiTheme="minorHAnsi" w:eastAsia="Calibri" w:hAnsiTheme="minorHAnsi" w:cstheme="minorHAnsi"/>
          <w:color w:val="000000" w:themeColor="text1"/>
          <w:sz w:val="22"/>
          <w:szCs w:val="22"/>
        </w:rPr>
        <w:t>level</w:t>
      </w:r>
      <w:r w:rsidR="35B127DA" w:rsidRPr="00C77E28">
        <w:rPr>
          <w:rFonts w:asciiTheme="minorHAnsi" w:eastAsia="Calibri" w:hAnsiTheme="minorHAnsi" w:cstheme="minorHAnsi"/>
          <w:color w:val="000000" w:themeColor="text1"/>
          <w:sz w:val="22"/>
          <w:szCs w:val="22"/>
        </w:rPr>
        <w:t xml:space="preserve">, </w:t>
      </w:r>
      <w:r w:rsidR="00BD7CA5" w:rsidRPr="00C77E28">
        <w:rPr>
          <w:rFonts w:asciiTheme="minorHAnsi" w:eastAsia="Calibri" w:hAnsiTheme="minorHAnsi" w:cstheme="minorHAnsi"/>
          <w:color w:val="000000" w:themeColor="text1"/>
          <w:sz w:val="22"/>
          <w:szCs w:val="22"/>
        </w:rPr>
        <w:t xml:space="preserve">12 </w:t>
      </w:r>
      <w:r w:rsidR="46678EDE" w:rsidRPr="00C77E28">
        <w:rPr>
          <w:rFonts w:asciiTheme="minorHAnsi" w:eastAsia="Calibri" w:hAnsiTheme="minorHAnsi" w:cstheme="minorHAnsi"/>
          <w:color w:val="000000" w:themeColor="text1"/>
          <w:sz w:val="22"/>
          <w:szCs w:val="22"/>
        </w:rPr>
        <w:t>state financial institution</w:t>
      </w:r>
      <w:r w:rsidR="007B2D80" w:rsidRPr="00C77E28">
        <w:rPr>
          <w:rFonts w:asciiTheme="minorHAnsi" w:eastAsia="Calibri" w:hAnsiTheme="minorHAnsi" w:cstheme="minorHAnsi"/>
          <w:color w:val="000000" w:themeColor="text1"/>
          <w:sz w:val="22"/>
          <w:szCs w:val="22"/>
        </w:rPr>
        <w:t>s</w:t>
      </w:r>
      <w:r w:rsidR="46678EDE" w:rsidRPr="00C77E28">
        <w:rPr>
          <w:rFonts w:asciiTheme="minorHAnsi" w:eastAsia="Calibri" w:hAnsiTheme="minorHAnsi" w:cstheme="minorHAnsi"/>
          <w:color w:val="000000" w:themeColor="text1"/>
          <w:sz w:val="22"/>
          <w:szCs w:val="22"/>
        </w:rPr>
        <w:t xml:space="preserve"> </w:t>
      </w:r>
      <w:r w:rsidR="00F96F90" w:rsidRPr="00C77E28">
        <w:rPr>
          <w:rFonts w:asciiTheme="minorHAnsi" w:eastAsia="Calibri" w:hAnsiTheme="minorHAnsi" w:cstheme="minorHAnsi"/>
          <w:color w:val="000000" w:themeColor="text1"/>
          <w:sz w:val="22"/>
          <w:szCs w:val="22"/>
        </w:rPr>
        <w:t xml:space="preserve">have </w:t>
      </w:r>
      <w:r w:rsidR="00FC5048" w:rsidRPr="00C77E28">
        <w:rPr>
          <w:rFonts w:asciiTheme="minorHAnsi" w:eastAsia="Calibri" w:hAnsiTheme="minorHAnsi" w:cstheme="minorHAnsi"/>
          <w:color w:val="000000" w:themeColor="text1"/>
          <w:sz w:val="22"/>
          <w:szCs w:val="22"/>
        </w:rPr>
        <w:t>strengthened</w:t>
      </w:r>
      <w:r w:rsidR="00F96F90" w:rsidRPr="00C77E28">
        <w:rPr>
          <w:rFonts w:asciiTheme="minorHAnsi" w:eastAsia="Calibri" w:hAnsiTheme="minorHAnsi" w:cstheme="minorHAnsi"/>
          <w:color w:val="000000" w:themeColor="text1"/>
          <w:sz w:val="22"/>
          <w:szCs w:val="22"/>
        </w:rPr>
        <w:t xml:space="preserve"> capacities on </w:t>
      </w:r>
      <w:r w:rsidR="00C97021" w:rsidRPr="00C77E28">
        <w:rPr>
          <w:rFonts w:asciiTheme="minorHAnsi" w:eastAsia="Calibri" w:hAnsiTheme="minorHAnsi" w:cstheme="minorHAnsi"/>
          <w:color w:val="000000" w:themeColor="text1"/>
          <w:sz w:val="22"/>
          <w:szCs w:val="22"/>
        </w:rPr>
        <w:t xml:space="preserve">gender-sensitive budgeting </w:t>
      </w:r>
      <w:r w:rsidR="5B5083A6" w:rsidRPr="00C77E28">
        <w:rPr>
          <w:rFonts w:asciiTheme="minorHAnsi" w:eastAsia="Calibri" w:hAnsiTheme="minorHAnsi" w:cstheme="minorHAnsi"/>
          <w:color w:val="000000" w:themeColor="text1"/>
          <w:sz w:val="22"/>
          <w:szCs w:val="22"/>
        </w:rPr>
        <w:t>to ensure a better inclusion o</w:t>
      </w:r>
      <w:r w:rsidR="7927F746" w:rsidRPr="00C77E28">
        <w:rPr>
          <w:rFonts w:asciiTheme="minorHAnsi" w:eastAsia="Calibri" w:hAnsiTheme="minorHAnsi" w:cstheme="minorHAnsi"/>
          <w:color w:val="000000" w:themeColor="text1"/>
          <w:sz w:val="22"/>
          <w:szCs w:val="22"/>
        </w:rPr>
        <w:t xml:space="preserve">f gender priorities </w:t>
      </w:r>
      <w:r w:rsidR="00C6373B" w:rsidRPr="00C77E28">
        <w:rPr>
          <w:rFonts w:asciiTheme="minorHAnsi" w:eastAsia="Calibri" w:hAnsiTheme="minorHAnsi" w:cstheme="minorHAnsi"/>
          <w:color w:val="000000" w:themeColor="text1"/>
          <w:sz w:val="22"/>
          <w:szCs w:val="22"/>
        </w:rPr>
        <w:t xml:space="preserve">in </w:t>
      </w:r>
      <w:r w:rsidR="2223222F" w:rsidRPr="00C77E28">
        <w:rPr>
          <w:rFonts w:asciiTheme="minorHAnsi" w:eastAsia="Calibri" w:hAnsiTheme="minorHAnsi" w:cstheme="minorHAnsi"/>
          <w:color w:val="000000" w:themeColor="text1"/>
          <w:sz w:val="22"/>
          <w:szCs w:val="22"/>
        </w:rPr>
        <w:t xml:space="preserve">budgeting exercises. </w:t>
      </w:r>
    </w:p>
    <w:p w14:paraId="25635576" w14:textId="77777777" w:rsidR="00E079C0" w:rsidRPr="00C77E28" w:rsidRDefault="00E079C0" w:rsidP="2C2D9058">
      <w:pPr>
        <w:autoSpaceDE w:val="0"/>
        <w:autoSpaceDN w:val="0"/>
        <w:adjustRightInd w:val="0"/>
        <w:jc w:val="both"/>
        <w:rPr>
          <w:rFonts w:asciiTheme="minorHAnsi" w:eastAsia="Calibri" w:hAnsiTheme="minorHAnsi" w:cstheme="minorHAnsi"/>
          <w:color w:val="000000" w:themeColor="text1"/>
          <w:sz w:val="22"/>
          <w:szCs w:val="22"/>
        </w:rPr>
      </w:pPr>
    </w:p>
    <w:p w14:paraId="166256A1" w14:textId="1212896E" w:rsidR="00E079C0" w:rsidRPr="00C77E28" w:rsidRDefault="00E079C0" w:rsidP="2C2D9058">
      <w:pPr>
        <w:autoSpaceDE w:val="0"/>
        <w:autoSpaceDN w:val="0"/>
        <w:adjustRightInd w:val="0"/>
        <w:jc w:val="both"/>
        <w:rPr>
          <w:rFonts w:asciiTheme="minorHAnsi" w:hAnsiTheme="minorHAnsi" w:cstheme="minorHAnsi"/>
          <w:color w:val="000000" w:themeColor="text1"/>
          <w:sz w:val="22"/>
          <w:szCs w:val="22"/>
        </w:rPr>
      </w:pPr>
      <w:r w:rsidRPr="00C77E28">
        <w:rPr>
          <w:rFonts w:asciiTheme="minorHAnsi" w:eastAsia="Calibri" w:hAnsiTheme="minorHAnsi" w:cstheme="minorHAnsi"/>
          <w:color w:val="000000" w:themeColor="text1"/>
          <w:sz w:val="22"/>
          <w:szCs w:val="22"/>
        </w:rPr>
        <w:t xml:space="preserve">To implement </w:t>
      </w:r>
      <w:r w:rsidR="00846C5A" w:rsidRPr="00C77E28">
        <w:rPr>
          <w:rFonts w:asciiTheme="minorHAnsi" w:eastAsia="Calibri" w:hAnsiTheme="minorHAnsi" w:cstheme="minorHAnsi"/>
          <w:color w:val="000000" w:themeColor="text1"/>
          <w:sz w:val="22"/>
          <w:szCs w:val="22"/>
        </w:rPr>
        <w:t>interventions related to job creation</w:t>
      </w:r>
      <w:r w:rsidRPr="00C77E28">
        <w:rPr>
          <w:rFonts w:asciiTheme="minorHAnsi" w:eastAsia="Calibri" w:hAnsiTheme="minorHAnsi" w:cstheme="minorHAnsi"/>
          <w:color w:val="000000" w:themeColor="text1"/>
          <w:sz w:val="22"/>
          <w:szCs w:val="22"/>
        </w:rPr>
        <w:t xml:space="preserve">, UNDP </w:t>
      </w:r>
      <w:r w:rsidR="006B546C" w:rsidRPr="00C77E28">
        <w:rPr>
          <w:rFonts w:asciiTheme="minorHAnsi" w:eastAsia="Calibri" w:hAnsiTheme="minorHAnsi" w:cstheme="minorHAnsi"/>
          <w:color w:val="000000" w:themeColor="text1"/>
          <w:sz w:val="22"/>
          <w:szCs w:val="22"/>
        </w:rPr>
        <w:t>worked in partnership with the FAO</w:t>
      </w:r>
      <w:r w:rsidR="00846C5A" w:rsidRPr="00C77E28">
        <w:rPr>
          <w:rFonts w:asciiTheme="minorHAnsi" w:eastAsia="Calibri" w:hAnsiTheme="minorHAnsi" w:cstheme="minorHAnsi"/>
          <w:color w:val="000000" w:themeColor="text1"/>
          <w:sz w:val="22"/>
          <w:szCs w:val="22"/>
        </w:rPr>
        <w:t>,</w:t>
      </w:r>
      <w:r w:rsidR="00E613DD" w:rsidRPr="00C77E28">
        <w:rPr>
          <w:rFonts w:asciiTheme="minorHAnsi" w:eastAsia="Calibri" w:hAnsiTheme="minorHAnsi" w:cstheme="minorHAnsi"/>
          <w:color w:val="000000" w:themeColor="text1"/>
          <w:sz w:val="22"/>
          <w:szCs w:val="22"/>
        </w:rPr>
        <w:t xml:space="preserve"> </w:t>
      </w:r>
      <w:r w:rsidR="00B9019B" w:rsidRPr="00C77E28">
        <w:rPr>
          <w:rFonts w:asciiTheme="minorHAnsi" w:eastAsia="Calibri" w:hAnsiTheme="minorHAnsi" w:cstheme="minorHAnsi"/>
          <w:color w:val="000000" w:themeColor="text1"/>
          <w:sz w:val="22"/>
          <w:szCs w:val="22"/>
        </w:rPr>
        <w:t xml:space="preserve">which allowed to </w:t>
      </w:r>
      <w:r w:rsidR="0082236F" w:rsidRPr="00C77E28">
        <w:rPr>
          <w:rFonts w:asciiTheme="minorHAnsi" w:eastAsia="Calibri" w:hAnsiTheme="minorHAnsi" w:cstheme="minorHAnsi"/>
          <w:color w:val="000000" w:themeColor="text1"/>
          <w:sz w:val="22"/>
          <w:szCs w:val="22"/>
        </w:rPr>
        <w:t>both promote better business management and</w:t>
      </w:r>
      <w:r w:rsidR="00682A7C" w:rsidRPr="00C77E28">
        <w:rPr>
          <w:rFonts w:asciiTheme="minorHAnsi" w:eastAsia="Calibri" w:hAnsiTheme="minorHAnsi" w:cstheme="minorHAnsi"/>
          <w:color w:val="000000" w:themeColor="text1"/>
          <w:sz w:val="22"/>
          <w:szCs w:val="22"/>
        </w:rPr>
        <w:t xml:space="preserve"> innovative </w:t>
      </w:r>
      <w:r w:rsidR="0082236F" w:rsidRPr="00C77E28">
        <w:rPr>
          <w:rFonts w:asciiTheme="minorHAnsi" w:eastAsia="Calibri" w:hAnsiTheme="minorHAnsi" w:cstheme="minorHAnsi"/>
          <w:color w:val="000000" w:themeColor="text1"/>
          <w:sz w:val="22"/>
          <w:szCs w:val="22"/>
        </w:rPr>
        <w:t xml:space="preserve">agricultural practices. </w:t>
      </w:r>
      <w:r w:rsidR="00F0177C" w:rsidRPr="00C77E28">
        <w:rPr>
          <w:rFonts w:asciiTheme="minorHAnsi" w:eastAsia="Calibri" w:hAnsiTheme="minorHAnsi" w:cstheme="minorHAnsi"/>
          <w:color w:val="000000" w:themeColor="text1"/>
          <w:sz w:val="22"/>
          <w:szCs w:val="22"/>
        </w:rPr>
        <w:t>The pilot phase initiated during COVID-19 was complement</w:t>
      </w:r>
      <w:r w:rsidR="00682A7C" w:rsidRPr="00C77E28">
        <w:rPr>
          <w:rFonts w:asciiTheme="minorHAnsi" w:eastAsia="Calibri" w:hAnsiTheme="minorHAnsi" w:cstheme="minorHAnsi"/>
          <w:color w:val="000000" w:themeColor="text1"/>
          <w:sz w:val="22"/>
          <w:szCs w:val="22"/>
        </w:rPr>
        <w:t>ed</w:t>
      </w:r>
      <w:r w:rsidR="00F0177C" w:rsidRPr="00C77E28">
        <w:rPr>
          <w:rFonts w:asciiTheme="minorHAnsi" w:eastAsia="Calibri" w:hAnsiTheme="minorHAnsi" w:cstheme="minorHAnsi"/>
          <w:color w:val="000000" w:themeColor="text1"/>
          <w:sz w:val="22"/>
          <w:szCs w:val="22"/>
        </w:rPr>
        <w:t xml:space="preserve"> by </w:t>
      </w:r>
      <w:r w:rsidR="00682A7C" w:rsidRPr="00C77E28">
        <w:rPr>
          <w:rFonts w:asciiTheme="minorHAnsi" w:eastAsia="Calibri" w:hAnsiTheme="minorHAnsi" w:cstheme="minorHAnsi"/>
          <w:color w:val="000000" w:themeColor="text1"/>
          <w:sz w:val="22"/>
          <w:szCs w:val="22"/>
        </w:rPr>
        <w:t xml:space="preserve">a </w:t>
      </w:r>
      <w:r w:rsidR="00F0177C" w:rsidRPr="00C77E28">
        <w:rPr>
          <w:rFonts w:asciiTheme="minorHAnsi" w:eastAsia="Calibri" w:hAnsiTheme="minorHAnsi" w:cstheme="minorHAnsi"/>
          <w:color w:val="000000" w:themeColor="text1"/>
          <w:sz w:val="22"/>
          <w:szCs w:val="22"/>
        </w:rPr>
        <w:t xml:space="preserve">1.5 million USD additional fund, and 200 young people and 100 women </w:t>
      </w:r>
      <w:r w:rsidR="00DB23DC" w:rsidRPr="00C77E28">
        <w:rPr>
          <w:rFonts w:asciiTheme="minorHAnsi" w:eastAsia="Calibri" w:hAnsiTheme="minorHAnsi" w:cstheme="minorHAnsi"/>
          <w:color w:val="000000" w:themeColor="text1"/>
          <w:sz w:val="22"/>
          <w:szCs w:val="22"/>
        </w:rPr>
        <w:t>scale</w:t>
      </w:r>
      <w:r w:rsidR="001B54AE" w:rsidRPr="00C77E28">
        <w:rPr>
          <w:rFonts w:asciiTheme="minorHAnsi" w:eastAsia="Calibri" w:hAnsiTheme="minorHAnsi" w:cstheme="minorHAnsi"/>
          <w:color w:val="000000" w:themeColor="text1"/>
          <w:sz w:val="22"/>
          <w:szCs w:val="22"/>
        </w:rPr>
        <w:t>d</w:t>
      </w:r>
      <w:r w:rsidR="00DB23DC" w:rsidRPr="00C77E28">
        <w:rPr>
          <w:rFonts w:asciiTheme="minorHAnsi" w:eastAsia="Calibri" w:hAnsiTheme="minorHAnsi" w:cstheme="minorHAnsi"/>
          <w:color w:val="000000" w:themeColor="text1"/>
          <w:sz w:val="22"/>
          <w:szCs w:val="22"/>
        </w:rPr>
        <w:t>-up their businesses</w:t>
      </w:r>
      <w:r w:rsidR="00CA222E" w:rsidRPr="00C77E28">
        <w:rPr>
          <w:rFonts w:asciiTheme="minorHAnsi" w:eastAsia="Calibri" w:hAnsiTheme="minorHAnsi" w:cstheme="minorHAnsi"/>
          <w:color w:val="000000" w:themeColor="text1"/>
          <w:sz w:val="22"/>
          <w:szCs w:val="22"/>
        </w:rPr>
        <w:t xml:space="preserve"> and continue implementing green agricultural practices. </w:t>
      </w:r>
      <w:r w:rsidR="00D515EE" w:rsidRPr="00C77E28">
        <w:rPr>
          <w:rFonts w:asciiTheme="minorHAnsi" w:eastAsia="Calibri" w:hAnsiTheme="minorHAnsi" w:cstheme="minorHAnsi"/>
          <w:color w:val="000000" w:themeColor="text1"/>
          <w:sz w:val="22"/>
          <w:szCs w:val="22"/>
        </w:rPr>
        <w:t>UNDP</w:t>
      </w:r>
      <w:r w:rsidR="00CA222E" w:rsidRPr="00C77E28">
        <w:rPr>
          <w:rFonts w:asciiTheme="minorHAnsi" w:eastAsia="Calibri" w:hAnsiTheme="minorHAnsi" w:cstheme="minorHAnsi"/>
          <w:color w:val="000000" w:themeColor="text1"/>
          <w:sz w:val="22"/>
          <w:szCs w:val="22"/>
        </w:rPr>
        <w:t xml:space="preserve"> also partnered with UNEP and </w:t>
      </w:r>
      <w:r w:rsidR="008552DA" w:rsidRPr="00C77E28">
        <w:rPr>
          <w:rFonts w:asciiTheme="minorHAnsi" w:eastAsia="Calibri" w:hAnsiTheme="minorHAnsi" w:cstheme="minorHAnsi"/>
          <w:color w:val="000000" w:themeColor="text1"/>
          <w:sz w:val="22"/>
          <w:szCs w:val="22"/>
        </w:rPr>
        <w:t>UN</w:t>
      </w:r>
      <w:r w:rsidR="00CA222E" w:rsidRPr="00C77E28">
        <w:rPr>
          <w:rFonts w:asciiTheme="minorHAnsi" w:eastAsia="Calibri" w:hAnsiTheme="minorHAnsi" w:cstheme="minorHAnsi"/>
          <w:color w:val="000000" w:themeColor="text1"/>
          <w:sz w:val="22"/>
          <w:szCs w:val="22"/>
        </w:rPr>
        <w:t xml:space="preserve">ECA </w:t>
      </w:r>
      <w:r w:rsidR="002D1EA3" w:rsidRPr="00C77E28">
        <w:rPr>
          <w:rFonts w:asciiTheme="minorHAnsi" w:eastAsia="Calibri" w:hAnsiTheme="minorHAnsi" w:cstheme="minorHAnsi"/>
          <w:color w:val="000000" w:themeColor="text1"/>
          <w:sz w:val="22"/>
          <w:szCs w:val="22"/>
        </w:rPr>
        <w:t xml:space="preserve">to develop green budgeting instruments, facilitating access to climate finance. </w:t>
      </w:r>
    </w:p>
    <w:p w14:paraId="4438DFDB" w14:textId="59095883" w:rsidR="00066D24" w:rsidRPr="00C77E28" w:rsidRDefault="00066D24" w:rsidP="2C2D9058">
      <w:pPr>
        <w:autoSpaceDE w:val="0"/>
        <w:autoSpaceDN w:val="0"/>
        <w:adjustRightInd w:val="0"/>
        <w:jc w:val="both"/>
        <w:rPr>
          <w:rFonts w:asciiTheme="minorHAnsi" w:hAnsiTheme="minorHAnsi" w:cstheme="minorHAnsi"/>
          <w:color w:val="000000" w:themeColor="text1"/>
          <w:sz w:val="22"/>
          <w:szCs w:val="22"/>
        </w:rPr>
      </w:pPr>
    </w:p>
    <w:p w14:paraId="6F8F7FD8" w14:textId="77777777" w:rsidR="003521DB" w:rsidRPr="00C77E28" w:rsidRDefault="003521DB" w:rsidP="00C77E28">
      <w:pPr>
        <w:pStyle w:val="BodyText2"/>
        <w:rPr>
          <w:rFonts w:asciiTheme="minorHAnsi" w:hAnsiTheme="minorHAnsi" w:cstheme="minorHAnsi"/>
          <w:b/>
          <w:sz w:val="22"/>
          <w:szCs w:val="22"/>
        </w:rPr>
        <w:sectPr w:rsidR="003521DB" w:rsidRPr="00C77E28">
          <w:footerReference w:type="default" r:id="rId12"/>
          <w:endnotePr>
            <w:numFmt w:val="decimal"/>
          </w:endnotePr>
          <w:pgSz w:w="11907" w:h="16840" w:code="9"/>
          <w:pgMar w:top="1440" w:right="1440" w:bottom="1440" w:left="1440" w:header="720" w:footer="720" w:gutter="0"/>
          <w:cols w:space="720"/>
        </w:sectPr>
      </w:pPr>
    </w:p>
    <w:p w14:paraId="6F2867BE" w14:textId="77777777" w:rsidR="003521DB" w:rsidRPr="00C77E28" w:rsidRDefault="003521DB" w:rsidP="003521DB">
      <w:pPr>
        <w:pStyle w:val="Heading3"/>
        <w:jc w:val="left"/>
        <w:rPr>
          <w:rFonts w:asciiTheme="minorHAnsi" w:hAnsiTheme="minorHAnsi" w:cstheme="minorHAnsi"/>
          <w:b/>
          <w:sz w:val="22"/>
          <w:szCs w:val="22"/>
        </w:rPr>
      </w:pPr>
      <w:r w:rsidRPr="00C77E28">
        <w:rPr>
          <w:rFonts w:asciiTheme="minorHAnsi" w:hAnsiTheme="minorHAnsi" w:cstheme="minorHAnsi"/>
          <w:b/>
          <w:sz w:val="22"/>
          <w:szCs w:val="22"/>
        </w:rPr>
        <w:lastRenderedPageBreak/>
        <w:t>II: Country Programme Performance Summary</w:t>
      </w:r>
    </w:p>
    <w:p w14:paraId="7C20E1F9" w14:textId="77777777" w:rsidR="003521DB" w:rsidRPr="00C77E28" w:rsidRDefault="003521DB" w:rsidP="003521DB">
      <w:pPr>
        <w:pStyle w:val="BodyText2"/>
        <w:jc w:val="center"/>
        <w:rPr>
          <w:rFonts w:asciiTheme="minorHAnsi" w:hAnsiTheme="minorHAnsi" w:cstheme="minorHAnsi"/>
          <w:b/>
          <w:sz w:val="22"/>
          <w:szCs w:val="22"/>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900"/>
        <w:gridCol w:w="4860"/>
        <w:gridCol w:w="5063"/>
      </w:tblGrid>
      <w:tr w:rsidR="003521DB" w:rsidRPr="00C77E28" w14:paraId="5444E469" w14:textId="77777777" w:rsidTr="2F9C3523">
        <w:tc>
          <w:tcPr>
            <w:tcW w:w="2217" w:type="dxa"/>
            <w:tcBorders>
              <w:right w:val="nil"/>
            </w:tcBorders>
            <w:shd w:val="clear" w:color="auto" w:fill="FFC000" w:themeFill="accent4"/>
          </w:tcPr>
          <w:p w14:paraId="148A1AB3" w14:textId="77777777"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Country information</w:t>
            </w:r>
          </w:p>
        </w:tc>
        <w:tc>
          <w:tcPr>
            <w:tcW w:w="11823" w:type="dxa"/>
            <w:gridSpan w:val="3"/>
            <w:tcBorders>
              <w:left w:val="nil"/>
            </w:tcBorders>
            <w:shd w:val="clear" w:color="auto" w:fill="FFC000" w:themeFill="accent4"/>
          </w:tcPr>
          <w:p w14:paraId="112F07A4" w14:textId="77777777" w:rsidR="003521DB" w:rsidRPr="00C77E28" w:rsidRDefault="003521DB" w:rsidP="00A45A03">
            <w:pPr>
              <w:pStyle w:val="BodyText2"/>
              <w:rPr>
                <w:rFonts w:asciiTheme="minorHAnsi" w:hAnsiTheme="minorHAnsi" w:cstheme="minorHAnsi"/>
                <w:b/>
                <w:sz w:val="22"/>
                <w:szCs w:val="22"/>
              </w:rPr>
            </w:pPr>
          </w:p>
        </w:tc>
      </w:tr>
      <w:tr w:rsidR="003521DB" w:rsidRPr="00C77E28" w14:paraId="56C72714" w14:textId="77777777" w:rsidTr="00D24B1C">
        <w:tc>
          <w:tcPr>
            <w:tcW w:w="14040" w:type="dxa"/>
            <w:gridSpan w:val="4"/>
          </w:tcPr>
          <w:p w14:paraId="71FB7512" w14:textId="7148DB82"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 xml:space="preserve">Country name: </w:t>
            </w:r>
            <w:r w:rsidR="00B211BA" w:rsidRPr="00C77E28">
              <w:rPr>
                <w:rFonts w:asciiTheme="minorHAnsi" w:hAnsiTheme="minorHAnsi" w:cstheme="minorHAnsi"/>
                <w:b/>
                <w:sz w:val="22"/>
                <w:szCs w:val="22"/>
              </w:rPr>
              <w:t>Gabon</w:t>
            </w:r>
            <w:r w:rsidRPr="00C77E28">
              <w:rPr>
                <w:rFonts w:asciiTheme="minorHAnsi" w:hAnsiTheme="minorHAnsi" w:cstheme="minorHAnsi"/>
                <w:b/>
                <w:sz w:val="22"/>
                <w:szCs w:val="22"/>
              </w:rPr>
              <w:t xml:space="preserve"> </w:t>
            </w:r>
          </w:p>
        </w:tc>
      </w:tr>
      <w:tr w:rsidR="003521DB" w:rsidRPr="00C77E28" w14:paraId="0DBB4B47" w14:textId="77777777" w:rsidTr="00D24B1C">
        <w:tc>
          <w:tcPr>
            <w:tcW w:w="14040" w:type="dxa"/>
            <w:gridSpan w:val="4"/>
          </w:tcPr>
          <w:p w14:paraId="313307B4" w14:textId="77777777"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Current country programme period: 2018-2022</w:t>
            </w:r>
          </w:p>
        </w:tc>
      </w:tr>
      <w:tr w:rsidR="003521DB" w:rsidRPr="00C77E28" w14:paraId="2712462B" w14:textId="77777777" w:rsidTr="00A461B7">
        <w:tc>
          <w:tcPr>
            <w:tcW w:w="2217" w:type="dxa"/>
          </w:tcPr>
          <w:p w14:paraId="65438FD3" w14:textId="77777777"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Outcomes</w:t>
            </w:r>
          </w:p>
        </w:tc>
        <w:tc>
          <w:tcPr>
            <w:tcW w:w="1900" w:type="dxa"/>
            <w:shd w:val="clear" w:color="auto" w:fill="auto"/>
          </w:tcPr>
          <w:p w14:paraId="6BF171DC" w14:textId="77777777"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Total Expenditure</w:t>
            </w:r>
          </w:p>
        </w:tc>
        <w:tc>
          <w:tcPr>
            <w:tcW w:w="4860" w:type="dxa"/>
            <w:tcBorders>
              <w:left w:val="single" w:sz="4" w:space="0" w:color="auto"/>
            </w:tcBorders>
          </w:tcPr>
          <w:p w14:paraId="28A9E774" w14:textId="24F1FF33"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Key Indicators of outcome (1-4 per outcome)</w:t>
            </w:r>
          </w:p>
        </w:tc>
        <w:tc>
          <w:tcPr>
            <w:tcW w:w="5063" w:type="dxa"/>
          </w:tcPr>
          <w:p w14:paraId="19212196" w14:textId="77777777"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Progress made against key indicators</w:t>
            </w:r>
          </w:p>
        </w:tc>
      </w:tr>
      <w:tr w:rsidR="007D5CF2" w:rsidRPr="00C77E28" w14:paraId="13F3EB50" w14:textId="77777777" w:rsidTr="2F9C3523">
        <w:trPr>
          <w:trHeight w:val="2060"/>
        </w:trPr>
        <w:tc>
          <w:tcPr>
            <w:tcW w:w="2217" w:type="dxa"/>
            <w:tcBorders>
              <w:bottom w:val="single" w:sz="4" w:space="0" w:color="auto"/>
            </w:tcBorders>
            <w:shd w:val="clear" w:color="auto" w:fill="8EAADB" w:themeFill="accent1" w:themeFillTint="99"/>
          </w:tcPr>
          <w:p w14:paraId="031AAED3" w14:textId="4A246451" w:rsidR="007D5CF2" w:rsidRPr="00C77E28" w:rsidRDefault="007D5CF2" w:rsidP="007D5CF2">
            <w:pPr>
              <w:pStyle w:val="BodyText2"/>
              <w:rPr>
                <w:rFonts w:asciiTheme="minorHAnsi" w:hAnsiTheme="minorHAnsi" w:cstheme="minorHAnsi"/>
                <w:b/>
                <w:sz w:val="22"/>
                <w:szCs w:val="22"/>
              </w:rPr>
            </w:pPr>
            <w:r w:rsidRPr="00C77E28">
              <w:rPr>
                <w:rFonts w:asciiTheme="minorHAnsi" w:hAnsiTheme="minorHAnsi" w:cstheme="minorHAnsi"/>
                <w:b/>
                <w:sz w:val="22"/>
                <w:szCs w:val="22"/>
              </w:rPr>
              <w:t xml:space="preserve">1. </w:t>
            </w:r>
            <w:r w:rsidR="00F838BD" w:rsidRPr="00C77E28">
              <w:rPr>
                <w:rFonts w:asciiTheme="minorHAnsi" w:hAnsiTheme="minorHAnsi" w:cstheme="minorHAnsi"/>
                <w:sz w:val="22"/>
                <w:szCs w:val="22"/>
              </w:rPr>
              <w:t>By 2022, the quality of social sector budgeting is significantly improved and people, especially the most vulnerable, have made better use of quality basic social services</w:t>
            </w:r>
          </w:p>
        </w:tc>
        <w:tc>
          <w:tcPr>
            <w:tcW w:w="1900" w:type="dxa"/>
            <w:tcBorders>
              <w:bottom w:val="single" w:sz="4" w:space="0" w:color="auto"/>
            </w:tcBorders>
            <w:shd w:val="clear" w:color="auto" w:fill="auto"/>
          </w:tcPr>
          <w:p w14:paraId="5004F49C" w14:textId="77777777" w:rsidR="006B5F94" w:rsidRPr="00C77E28" w:rsidRDefault="006B5F94" w:rsidP="00B11B17">
            <w:pPr>
              <w:pStyle w:val="BodyText2"/>
              <w:jc w:val="center"/>
              <w:rPr>
                <w:rFonts w:asciiTheme="minorHAnsi" w:hAnsiTheme="minorHAnsi" w:cstheme="minorHAnsi"/>
                <w:b/>
                <w:bCs/>
                <w:sz w:val="22"/>
                <w:szCs w:val="22"/>
              </w:rPr>
            </w:pPr>
          </w:p>
          <w:p w14:paraId="31B187E8" w14:textId="050EE33E" w:rsidR="007D5CF2" w:rsidRPr="00C77E28" w:rsidRDefault="00967C8D" w:rsidP="00B11B17">
            <w:pPr>
              <w:pStyle w:val="BodyText2"/>
              <w:jc w:val="center"/>
              <w:rPr>
                <w:rFonts w:asciiTheme="minorHAnsi" w:hAnsiTheme="minorHAnsi" w:cstheme="minorHAnsi"/>
                <w:b/>
                <w:sz w:val="22"/>
                <w:szCs w:val="22"/>
              </w:rPr>
            </w:pPr>
            <w:r w:rsidRPr="00C77E28">
              <w:rPr>
                <w:rFonts w:asciiTheme="minorHAnsi" w:hAnsiTheme="minorHAnsi" w:cstheme="minorHAnsi"/>
                <w:b/>
                <w:bCs/>
                <w:sz w:val="22"/>
                <w:szCs w:val="22"/>
                <w:lang w:val="fr-FR"/>
              </w:rPr>
              <w:t xml:space="preserve">10 750 642 </w:t>
            </w:r>
            <w:r w:rsidR="00FC4602" w:rsidRPr="00C77E28">
              <w:rPr>
                <w:rFonts w:asciiTheme="minorHAnsi" w:hAnsiTheme="minorHAnsi" w:cstheme="minorHAnsi"/>
                <w:b/>
                <w:bCs/>
                <w:sz w:val="22"/>
                <w:szCs w:val="22"/>
                <w:lang w:val="fr-FR"/>
              </w:rPr>
              <w:t>USD</w:t>
            </w:r>
          </w:p>
        </w:tc>
        <w:tc>
          <w:tcPr>
            <w:tcW w:w="4860" w:type="dxa"/>
            <w:tcBorders>
              <w:left w:val="single" w:sz="4" w:space="0" w:color="auto"/>
              <w:bottom w:val="single" w:sz="4" w:space="0" w:color="auto"/>
            </w:tcBorders>
          </w:tcPr>
          <w:p w14:paraId="799FF8D8" w14:textId="6FBCB6F0" w:rsidR="00B92A22" w:rsidRPr="00C77E28" w:rsidRDefault="56000B09" w:rsidP="008134D3">
            <w:pPr>
              <w:pStyle w:val="BodyText2"/>
              <w:numPr>
                <w:ilvl w:val="0"/>
                <w:numId w:val="50"/>
              </w:numPr>
              <w:rPr>
                <w:rFonts w:asciiTheme="minorHAnsi" w:hAnsiTheme="minorHAnsi" w:cstheme="minorHAnsi"/>
                <w:sz w:val="22"/>
                <w:szCs w:val="22"/>
              </w:rPr>
            </w:pPr>
            <w:bookmarkStart w:id="0" w:name="_Hlk89887004"/>
            <w:bookmarkEnd w:id="0"/>
            <w:r w:rsidRPr="00C77E28">
              <w:rPr>
                <w:rFonts w:asciiTheme="minorHAnsi" w:hAnsiTheme="minorHAnsi" w:cstheme="minorHAnsi"/>
                <w:sz w:val="22"/>
                <w:szCs w:val="22"/>
              </w:rPr>
              <w:t>Indicator 1.1 The Mo Ibrahim index on Sustainable economic opportunity (National)</w:t>
            </w:r>
          </w:p>
          <w:p w14:paraId="27CF04F4" w14:textId="09AD323A" w:rsidR="009A3446" w:rsidRDefault="009A3446" w:rsidP="008134D3">
            <w:pPr>
              <w:pStyle w:val="BodyText2"/>
              <w:ind w:left="360"/>
              <w:rPr>
                <w:rFonts w:asciiTheme="minorHAnsi" w:hAnsiTheme="minorHAnsi" w:cstheme="minorHAnsi"/>
                <w:sz w:val="22"/>
                <w:szCs w:val="22"/>
              </w:rPr>
            </w:pPr>
          </w:p>
          <w:p w14:paraId="268F20D6" w14:textId="77777777" w:rsidR="00C77E28" w:rsidRPr="00C77E28" w:rsidRDefault="00C77E28" w:rsidP="008134D3">
            <w:pPr>
              <w:pStyle w:val="BodyText2"/>
              <w:ind w:left="360"/>
              <w:rPr>
                <w:rFonts w:asciiTheme="minorHAnsi" w:hAnsiTheme="minorHAnsi" w:cstheme="minorHAnsi"/>
                <w:sz w:val="22"/>
                <w:szCs w:val="22"/>
              </w:rPr>
            </w:pPr>
          </w:p>
          <w:p w14:paraId="021F7888" w14:textId="140AD4C4" w:rsidR="00B92A22" w:rsidRPr="00C77E28" w:rsidRDefault="56000B09" w:rsidP="008134D3">
            <w:pPr>
              <w:pStyle w:val="BodyText2"/>
              <w:numPr>
                <w:ilvl w:val="0"/>
                <w:numId w:val="50"/>
              </w:numPr>
              <w:rPr>
                <w:rFonts w:asciiTheme="minorHAnsi" w:hAnsiTheme="minorHAnsi" w:cstheme="minorHAnsi"/>
                <w:sz w:val="22"/>
                <w:szCs w:val="22"/>
              </w:rPr>
            </w:pPr>
            <w:r w:rsidRPr="00C77E28">
              <w:rPr>
                <w:rFonts w:asciiTheme="minorHAnsi" w:hAnsiTheme="minorHAnsi" w:cstheme="minorHAnsi"/>
                <w:sz w:val="22"/>
                <w:szCs w:val="22"/>
              </w:rPr>
              <w:t>Indicator 1.2 Level of public confidence in the delivery of basic services (National)</w:t>
            </w:r>
            <w:r w:rsidR="009A3446" w:rsidRPr="00C77E28">
              <w:rPr>
                <w:rFonts w:asciiTheme="minorHAnsi" w:hAnsiTheme="minorHAnsi" w:cstheme="minorHAnsi"/>
                <w:sz w:val="22"/>
                <w:szCs w:val="22"/>
              </w:rPr>
              <w:tab/>
            </w:r>
          </w:p>
          <w:p w14:paraId="4C027C96" w14:textId="77777777" w:rsidR="00B92A22" w:rsidRDefault="00B92A22" w:rsidP="008134D3">
            <w:pPr>
              <w:pStyle w:val="BodyText2"/>
              <w:ind w:left="360"/>
              <w:rPr>
                <w:rFonts w:asciiTheme="minorHAnsi" w:hAnsiTheme="minorHAnsi" w:cstheme="minorHAnsi"/>
                <w:sz w:val="22"/>
                <w:szCs w:val="22"/>
              </w:rPr>
            </w:pPr>
          </w:p>
          <w:p w14:paraId="765C648A" w14:textId="77777777" w:rsidR="00C77E28" w:rsidRPr="00C77E28" w:rsidRDefault="00C77E28" w:rsidP="008134D3">
            <w:pPr>
              <w:pStyle w:val="BodyText2"/>
              <w:ind w:left="360"/>
              <w:rPr>
                <w:rFonts w:asciiTheme="minorHAnsi" w:hAnsiTheme="minorHAnsi" w:cstheme="minorHAnsi"/>
                <w:sz w:val="22"/>
                <w:szCs w:val="22"/>
              </w:rPr>
            </w:pPr>
          </w:p>
          <w:p w14:paraId="6BE009A2" w14:textId="233913AE" w:rsidR="00B92A22" w:rsidRPr="00C77E28" w:rsidRDefault="56000B09" w:rsidP="008134D3">
            <w:pPr>
              <w:pStyle w:val="BodyText2"/>
              <w:numPr>
                <w:ilvl w:val="0"/>
                <w:numId w:val="50"/>
              </w:numPr>
              <w:rPr>
                <w:rFonts w:asciiTheme="minorHAnsi" w:hAnsiTheme="minorHAnsi" w:cstheme="minorHAnsi"/>
                <w:sz w:val="22"/>
                <w:szCs w:val="22"/>
              </w:rPr>
            </w:pPr>
            <w:r w:rsidRPr="00C77E28">
              <w:rPr>
                <w:rFonts w:asciiTheme="minorHAnsi" w:hAnsiTheme="minorHAnsi" w:cstheme="minorHAnsi"/>
                <w:sz w:val="22"/>
                <w:szCs w:val="22"/>
              </w:rPr>
              <w:t>Indicator 1.3 Human development index (National)</w:t>
            </w:r>
          </w:p>
          <w:p w14:paraId="4C76F775" w14:textId="77777777" w:rsidR="00B92A22" w:rsidRPr="00C77E28" w:rsidRDefault="00B92A22" w:rsidP="008134D3">
            <w:pPr>
              <w:pStyle w:val="BodyText2"/>
              <w:ind w:left="360"/>
              <w:rPr>
                <w:rFonts w:asciiTheme="minorHAnsi" w:hAnsiTheme="minorHAnsi" w:cstheme="minorHAnsi"/>
                <w:sz w:val="22"/>
                <w:szCs w:val="22"/>
              </w:rPr>
            </w:pPr>
          </w:p>
          <w:p w14:paraId="773845F7" w14:textId="5D0DABFB" w:rsidR="007D5CF2" w:rsidRPr="00C77E28" w:rsidRDefault="56000B09" w:rsidP="00C77E28">
            <w:pPr>
              <w:pStyle w:val="BodyText2"/>
              <w:numPr>
                <w:ilvl w:val="0"/>
                <w:numId w:val="50"/>
              </w:numPr>
              <w:rPr>
                <w:rFonts w:asciiTheme="minorHAnsi" w:hAnsiTheme="minorHAnsi" w:cstheme="minorHAnsi"/>
                <w:sz w:val="22"/>
                <w:szCs w:val="22"/>
              </w:rPr>
            </w:pPr>
            <w:r w:rsidRPr="00C77E28">
              <w:rPr>
                <w:rFonts w:asciiTheme="minorHAnsi" w:hAnsiTheme="minorHAnsi" w:cstheme="minorHAnsi"/>
                <w:sz w:val="22"/>
                <w:szCs w:val="22"/>
              </w:rPr>
              <w:t>Indicator 1.4 Rate of unemployment at local level</w:t>
            </w:r>
          </w:p>
        </w:tc>
        <w:tc>
          <w:tcPr>
            <w:tcW w:w="5063" w:type="dxa"/>
            <w:tcBorders>
              <w:bottom w:val="single" w:sz="4" w:space="0" w:color="auto"/>
            </w:tcBorders>
            <w:shd w:val="clear" w:color="auto" w:fill="auto"/>
          </w:tcPr>
          <w:p w14:paraId="503A502E" w14:textId="6086AA52" w:rsidR="008A6A7E" w:rsidRPr="00C77E28" w:rsidRDefault="2029A3DD" w:rsidP="008134D3">
            <w:pPr>
              <w:pStyle w:val="BodyText2"/>
              <w:numPr>
                <w:ilvl w:val="0"/>
                <w:numId w:val="52"/>
              </w:numPr>
              <w:rPr>
                <w:rFonts w:asciiTheme="minorHAnsi" w:hAnsiTheme="minorHAnsi" w:cstheme="minorHAnsi"/>
                <w:sz w:val="22"/>
                <w:szCs w:val="22"/>
              </w:rPr>
            </w:pPr>
            <w:r w:rsidRPr="00C77E28">
              <w:rPr>
                <w:rFonts w:asciiTheme="minorHAnsi" w:hAnsiTheme="minorHAnsi" w:cstheme="minorHAnsi"/>
                <w:sz w:val="22"/>
                <w:szCs w:val="22"/>
              </w:rPr>
              <w:t>The Mo Ibrahim index of the perception of sustainable economic opportunities at the national level rose from 40.7 to 41.5%.</w:t>
            </w:r>
          </w:p>
          <w:p w14:paraId="035E23F3" w14:textId="078B87BD" w:rsidR="008A6A7E" w:rsidRPr="00C77E28" w:rsidRDefault="008A6A7E" w:rsidP="008134D3">
            <w:pPr>
              <w:pStyle w:val="BodyText2"/>
              <w:ind w:left="360"/>
              <w:rPr>
                <w:rFonts w:asciiTheme="minorHAnsi" w:hAnsiTheme="minorHAnsi" w:cstheme="minorHAnsi"/>
                <w:sz w:val="22"/>
                <w:szCs w:val="22"/>
              </w:rPr>
            </w:pPr>
          </w:p>
          <w:p w14:paraId="1D88250A" w14:textId="7920BDA7" w:rsidR="00B92A22" w:rsidRPr="00C77E28" w:rsidRDefault="008A6A7E" w:rsidP="008134D3">
            <w:pPr>
              <w:pStyle w:val="BodyText2"/>
              <w:numPr>
                <w:ilvl w:val="0"/>
                <w:numId w:val="52"/>
              </w:numPr>
              <w:rPr>
                <w:rFonts w:asciiTheme="minorHAnsi" w:hAnsiTheme="minorHAnsi" w:cstheme="minorHAnsi"/>
                <w:sz w:val="22"/>
                <w:szCs w:val="22"/>
              </w:rPr>
            </w:pPr>
            <w:r w:rsidRPr="00C77E28">
              <w:rPr>
                <w:rFonts w:asciiTheme="minorHAnsi" w:hAnsiTheme="minorHAnsi" w:cstheme="minorHAnsi"/>
                <w:sz w:val="22"/>
                <w:szCs w:val="22"/>
              </w:rPr>
              <w:t>The population's level of confidence in access to basic social services remained stable throughout the period with a score of 47.7%.</w:t>
            </w:r>
          </w:p>
          <w:p w14:paraId="1D3ACB57" w14:textId="77777777" w:rsidR="008A6A7E" w:rsidRPr="00C77E28" w:rsidRDefault="008A6A7E" w:rsidP="008134D3">
            <w:pPr>
              <w:pStyle w:val="BodyText2"/>
              <w:ind w:left="360"/>
              <w:rPr>
                <w:rFonts w:asciiTheme="minorHAnsi" w:hAnsiTheme="minorHAnsi" w:cstheme="minorHAnsi"/>
                <w:sz w:val="22"/>
                <w:szCs w:val="22"/>
              </w:rPr>
            </w:pPr>
          </w:p>
          <w:p w14:paraId="2B32DFF7" w14:textId="5189F9A5" w:rsidR="007D41AF" w:rsidRDefault="00650644" w:rsidP="008A25E5">
            <w:pPr>
              <w:pStyle w:val="BodyText2"/>
              <w:numPr>
                <w:ilvl w:val="0"/>
                <w:numId w:val="52"/>
              </w:numPr>
              <w:rPr>
                <w:rFonts w:asciiTheme="minorHAnsi" w:hAnsiTheme="minorHAnsi" w:cstheme="minorHAnsi"/>
                <w:sz w:val="22"/>
                <w:szCs w:val="22"/>
              </w:rPr>
            </w:pPr>
            <w:r w:rsidRPr="00C77E28">
              <w:rPr>
                <w:rFonts w:asciiTheme="minorHAnsi" w:hAnsiTheme="minorHAnsi" w:cstheme="minorHAnsi"/>
                <w:sz w:val="22"/>
                <w:szCs w:val="22"/>
              </w:rPr>
              <w:t>HDI</w:t>
            </w:r>
            <w:r w:rsidR="008E0453" w:rsidRPr="00C77E28">
              <w:rPr>
                <w:rFonts w:asciiTheme="minorHAnsi" w:hAnsiTheme="minorHAnsi" w:cstheme="minorHAnsi"/>
                <w:sz w:val="22"/>
                <w:szCs w:val="22"/>
              </w:rPr>
              <w:t xml:space="preserve"> increased from 0.697 </w:t>
            </w:r>
            <w:r w:rsidR="00E62A0A" w:rsidRPr="00C77E28">
              <w:rPr>
                <w:rFonts w:asciiTheme="minorHAnsi" w:hAnsiTheme="minorHAnsi" w:cstheme="minorHAnsi"/>
                <w:sz w:val="22"/>
                <w:szCs w:val="22"/>
              </w:rPr>
              <w:t>(r</w:t>
            </w:r>
            <w:r w:rsidR="00A95F5D" w:rsidRPr="00C77E28">
              <w:rPr>
                <w:rFonts w:asciiTheme="minorHAnsi" w:hAnsiTheme="minorHAnsi" w:cstheme="minorHAnsi"/>
                <w:sz w:val="22"/>
                <w:szCs w:val="22"/>
              </w:rPr>
              <w:t>ank</w:t>
            </w:r>
            <w:r w:rsidR="00691D9D" w:rsidRPr="00C77E28">
              <w:rPr>
                <w:rFonts w:asciiTheme="minorHAnsi" w:hAnsiTheme="minorHAnsi" w:cstheme="minorHAnsi"/>
                <w:sz w:val="22"/>
                <w:szCs w:val="22"/>
              </w:rPr>
              <w:t xml:space="preserve"> 119</w:t>
            </w:r>
            <w:r w:rsidR="00E62A0A" w:rsidRPr="00C77E28">
              <w:rPr>
                <w:rFonts w:asciiTheme="minorHAnsi" w:hAnsiTheme="minorHAnsi" w:cstheme="minorHAnsi"/>
                <w:sz w:val="22"/>
                <w:szCs w:val="22"/>
              </w:rPr>
              <w:t>) in 2018 to 0.70</w:t>
            </w:r>
            <w:r w:rsidR="00FC67D1" w:rsidRPr="00C77E28">
              <w:rPr>
                <w:rFonts w:asciiTheme="minorHAnsi" w:hAnsiTheme="minorHAnsi" w:cstheme="minorHAnsi"/>
                <w:sz w:val="22"/>
                <w:szCs w:val="22"/>
              </w:rPr>
              <w:t>6</w:t>
            </w:r>
            <w:r w:rsidR="00E62A0A" w:rsidRPr="00C77E28">
              <w:rPr>
                <w:rFonts w:asciiTheme="minorHAnsi" w:hAnsiTheme="minorHAnsi" w:cstheme="minorHAnsi"/>
                <w:sz w:val="22"/>
                <w:szCs w:val="22"/>
              </w:rPr>
              <w:t xml:space="preserve"> </w:t>
            </w:r>
            <w:r w:rsidR="00FC67D1" w:rsidRPr="00C77E28">
              <w:rPr>
                <w:rFonts w:asciiTheme="minorHAnsi" w:hAnsiTheme="minorHAnsi" w:cstheme="minorHAnsi"/>
                <w:sz w:val="22"/>
                <w:szCs w:val="22"/>
              </w:rPr>
              <w:t>(</w:t>
            </w:r>
            <w:r w:rsidR="00625E6D" w:rsidRPr="00C77E28">
              <w:rPr>
                <w:rFonts w:asciiTheme="minorHAnsi" w:hAnsiTheme="minorHAnsi" w:cstheme="minorHAnsi"/>
                <w:sz w:val="22"/>
                <w:szCs w:val="22"/>
              </w:rPr>
              <w:t>rank 112</w:t>
            </w:r>
            <w:r w:rsidR="00A95F5D" w:rsidRPr="00C77E28">
              <w:rPr>
                <w:rFonts w:asciiTheme="minorHAnsi" w:hAnsiTheme="minorHAnsi" w:cstheme="minorHAnsi"/>
                <w:sz w:val="22"/>
                <w:szCs w:val="22"/>
              </w:rPr>
              <w:t>)</w:t>
            </w:r>
          </w:p>
          <w:p w14:paraId="332EC4F4" w14:textId="77777777" w:rsidR="00C77E28" w:rsidRPr="00C77E28" w:rsidRDefault="00C77E28" w:rsidP="00C77E28">
            <w:pPr>
              <w:pStyle w:val="BodyText2"/>
              <w:rPr>
                <w:rFonts w:asciiTheme="minorHAnsi" w:hAnsiTheme="minorHAnsi" w:cstheme="minorHAnsi"/>
                <w:sz w:val="22"/>
                <w:szCs w:val="22"/>
              </w:rPr>
            </w:pPr>
          </w:p>
          <w:p w14:paraId="7DFAA75F" w14:textId="41817D14" w:rsidR="007D5CF2" w:rsidRPr="00C77E28" w:rsidRDefault="3CF4EDDD" w:rsidP="008134D3">
            <w:pPr>
              <w:pStyle w:val="BodyText2"/>
              <w:numPr>
                <w:ilvl w:val="0"/>
                <w:numId w:val="52"/>
              </w:numPr>
              <w:rPr>
                <w:rFonts w:asciiTheme="minorHAnsi" w:hAnsiTheme="minorHAnsi" w:cstheme="minorHAnsi"/>
                <w:sz w:val="22"/>
                <w:szCs w:val="22"/>
              </w:rPr>
            </w:pPr>
            <w:r w:rsidRPr="00C77E28">
              <w:rPr>
                <w:rFonts w:asciiTheme="minorHAnsi" w:hAnsiTheme="minorHAnsi" w:cstheme="minorHAnsi"/>
                <w:sz w:val="22"/>
                <w:szCs w:val="22"/>
              </w:rPr>
              <w:t>The unemployment rate</w:t>
            </w:r>
            <w:r w:rsidR="001F6FD8" w:rsidRPr="00C77E28">
              <w:rPr>
                <w:rFonts w:asciiTheme="minorHAnsi" w:hAnsiTheme="minorHAnsi" w:cstheme="minorHAnsi"/>
                <w:sz w:val="22"/>
                <w:szCs w:val="22"/>
              </w:rPr>
              <w:t xml:space="preserve"> </w:t>
            </w:r>
            <w:r w:rsidR="003E43DC" w:rsidRPr="00C77E28">
              <w:rPr>
                <w:rFonts w:asciiTheme="minorHAnsi" w:hAnsiTheme="minorHAnsi" w:cstheme="minorHAnsi"/>
                <w:sz w:val="22"/>
                <w:szCs w:val="22"/>
              </w:rPr>
              <w:t>increased from 20.7</w:t>
            </w:r>
            <w:r w:rsidR="00CB5AB3" w:rsidRPr="00C77E28">
              <w:rPr>
                <w:rFonts w:asciiTheme="minorHAnsi" w:hAnsiTheme="minorHAnsi" w:cstheme="minorHAnsi"/>
                <w:sz w:val="22"/>
                <w:szCs w:val="22"/>
              </w:rPr>
              <w:t xml:space="preserve">% in 2018 to 22.3% </w:t>
            </w:r>
            <w:r w:rsidR="001F6FD8" w:rsidRPr="00C77E28">
              <w:rPr>
                <w:rFonts w:asciiTheme="minorHAnsi" w:hAnsiTheme="minorHAnsi" w:cstheme="minorHAnsi"/>
                <w:sz w:val="22"/>
                <w:szCs w:val="22"/>
              </w:rPr>
              <w:t xml:space="preserve">in 2021 </w:t>
            </w:r>
          </w:p>
        </w:tc>
      </w:tr>
      <w:tr w:rsidR="007D5CF2" w:rsidRPr="00C77E28" w14:paraId="0DFD4CBA" w14:textId="77777777" w:rsidTr="00D24B1C">
        <w:tc>
          <w:tcPr>
            <w:tcW w:w="14040" w:type="dxa"/>
            <w:gridSpan w:val="4"/>
          </w:tcPr>
          <w:p w14:paraId="0F972306" w14:textId="77777777" w:rsidR="007D5CF2" w:rsidRPr="00C77E28" w:rsidRDefault="007D5CF2" w:rsidP="007D5CF2">
            <w:pPr>
              <w:pStyle w:val="BodyText2"/>
              <w:rPr>
                <w:rFonts w:asciiTheme="minorHAnsi" w:hAnsiTheme="minorHAnsi" w:cstheme="minorHAnsi"/>
                <w:b/>
                <w:sz w:val="22"/>
                <w:szCs w:val="22"/>
              </w:rPr>
            </w:pPr>
            <w:r w:rsidRPr="00C77E28">
              <w:rPr>
                <w:rFonts w:asciiTheme="minorHAnsi" w:hAnsiTheme="minorHAnsi" w:cstheme="minorHAnsi"/>
                <w:b/>
                <w:sz w:val="22"/>
                <w:szCs w:val="22"/>
              </w:rPr>
              <w:t>UNDP Contribution:</w:t>
            </w:r>
          </w:p>
          <w:p w14:paraId="3427512E" w14:textId="77777777" w:rsidR="007D5CF2" w:rsidRPr="00C77E28" w:rsidRDefault="007D5CF2" w:rsidP="007D5CF2">
            <w:pPr>
              <w:pStyle w:val="BodyText2"/>
              <w:rPr>
                <w:rFonts w:asciiTheme="minorHAnsi" w:hAnsiTheme="minorHAnsi" w:cstheme="minorHAnsi"/>
                <w:b/>
                <w:sz w:val="22"/>
                <w:szCs w:val="22"/>
              </w:rPr>
            </w:pPr>
          </w:p>
          <w:p w14:paraId="63622DCC" w14:textId="77777777" w:rsidR="007D5CF2" w:rsidRPr="00C77E28" w:rsidRDefault="007D5CF2" w:rsidP="007D5CF2">
            <w:pPr>
              <w:pStyle w:val="BodyText2"/>
              <w:rPr>
                <w:rFonts w:asciiTheme="minorHAnsi" w:hAnsiTheme="minorHAnsi" w:cstheme="minorHAnsi"/>
                <w:sz w:val="22"/>
                <w:szCs w:val="22"/>
              </w:rPr>
            </w:pPr>
            <w:r w:rsidRPr="00C77E28">
              <w:rPr>
                <w:rFonts w:asciiTheme="minorHAnsi" w:hAnsiTheme="minorHAnsi" w:cstheme="minorHAnsi"/>
                <w:sz w:val="22"/>
                <w:szCs w:val="22"/>
                <w:u w:val="single"/>
              </w:rPr>
              <w:t>CP Outputs</w:t>
            </w:r>
            <w:r w:rsidRPr="00C77E28">
              <w:rPr>
                <w:rFonts w:asciiTheme="minorHAnsi" w:hAnsiTheme="minorHAnsi" w:cstheme="minorHAnsi"/>
                <w:sz w:val="22"/>
                <w:szCs w:val="22"/>
              </w:rPr>
              <w:t>:</w:t>
            </w:r>
          </w:p>
          <w:p w14:paraId="72A10EBC" w14:textId="4B15532C" w:rsidR="009A3446" w:rsidRPr="00C77E28" w:rsidRDefault="009A3446" w:rsidP="00651FCB">
            <w:pPr>
              <w:pStyle w:val="BodyText2"/>
              <w:rPr>
                <w:rFonts w:asciiTheme="minorHAnsi" w:hAnsiTheme="minorHAnsi" w:cstheme="minorHAnsi"/>
                <w:i/>
                <w:sz w:val="22"/>
                <w:szCs w:val="22"/>
              </w:rPr>
            </w:pPr>
            <w:r w:rsidRPr="00C77E28">
              <w:rPr>
                <w:rFonts w:asciiTheme="minorHAnsi" w:hAnsiTheme="minorHAnsi" w:cstheme="minorHAnsi"/>
                <w:i/>
                <w:sz w:val="22"/>
                <w:szCs w:val="22"/>
              </w:rPr>
              <w:t>The country</w:t>
            </w:r>
            <w:r w:rsidR="00497012" w:rsidRPr="00C77E28">
              <w:rPr>
                <w:rFonts w:asciiTheme="minorHAnsi" w:hAnsiTheme="minorHAnsi" w:cstheme="minorHAnsi"/>
                <w:i/>
                <w:sz w:val="22"/>
                <w:szCs w:val="22"/>
              </w:rPr>
              <w:t xml:space="preserve"> </w:t>
            </w:r>
            <w:r w:rsidRPr="00C77E28">
              <w:rPr>
                <w:rFonts w:asciiTheme="minorHAnsi" w:hAnsiTheme="minorHAnsi" w:cstheme="minorHAnsi"/>
                <w:i/>
                <w:sz w:val="22"/>
                <w:szCs w:val="22"/>
              </w:rPr>
              <w:t>programme has identified</w:t>
            </w:r>
            <w:r w:rsidR="00B11B17" w:rsidRPr="00C77E28">
              <w:rPr>
                <w:rFonts w:asciiTheme="minorHAnsi" w:hAnsiTheme="minorHAnsi" w:cstheme="minorHAnsi"/>
                <w:i/>
                <w:sz w:val="22"/>
                <w:szCs w:val="22"/>
              </w:rPr>
              <w:t xml:space="preserve"> </w:t>
            </w:r>
            <w:r w:rsidRPr="00C77E28">
              <w:rPr>
                <w:rFonts w:asciiTheme="minorHAnsi" w:hAnsiTheme="minorHAnsi" w:cstheme="minorHAnsi"/>
                <w:i/>
                <w:sz w:val="22"/>
                <w:szCs w:val="22"/>
              </w:rPr>
              <w:t>the following priorities, taking into account social and economic factors: (</w:t>
            </w:r>
            <w:proofErr w:type="spellStart"/>
            <w:r w:rsidRPr="00C77E28">
              <w:rPr>
                <w:rFonts w:asciiTheme="minorHAnsi" w:hAnsiTheme="minorHAnsi" w:cstheme="minorHAnsi"/>
                <w:i/>
                <w:sz w:val="22"/>
                <w:szCs w:val="22"/>
              </w:rPr>
              <w:t>i</w:t>
            </w:r>
            <w:proofErr w:type="spellEnd"/>
            <w:r w:rsidRPr="00C77E28">
              <w:rPr>
                <w:rFonts w:asciiTheme="minorHAnsi" w:hAnsiTheme="minorHAnsi" w:cstheme="minorHAnsi"/>
                <w:i/>
                <w:sz w:val="22"/>
                <w:szCs w:val="22"/>
              </w:rPr>
              <w:t>) strengthening technical and financial capacities to develop and implement local development plans to ensure effective and efficient and accountable management of public resources and services at the level of national and local institutions; (ii) Improve the technical capacity needed to monitor and report on the SDGs and the African Union Programme for 2063 of public institutions at the local and national levels; (iii) Strengthen the capacities of local authorities and NGOs to develop and implement mechanisms to ensure inclusive access to basic social services for young women and persons with disabilities; (iv) Promote access to sustainable livelihoods and employment initiatives for women and youth in disadvantaged areas; (v) Strengthen the technical capacities of national institutions and local communities to ensure</w:t>
            </w:r>
            <w:r w:rsidR="005E2E40" w:rsidRPr="00C77E28">
              <w:rPr>
                <w:rFonts w:asciiTheme="minorHAnsi" w:hAnsiTheme="minorHAnsi" w:cstheme="minorHAnsi"/>
                <w:i/>
                <w:sz w:val="22"/>
                <w:szCs w:val="22"/>
              </w:rPr>
              <w:t xml:space="preserve"> </w:t>
            </w:r>
            <w:r w:rsidR="00651FCB" w:rsidRPr="00C77E28">
              <w:rPr>
                <w:rFonts w:asciiTheme="minorHAnsi" w:hAnsiTheme="minorHAnsi" w:cstheme="minorHAnsi"/>
                <w:i/>
                <w:sz w:val="22"/>
                <w:szCs w:val="22"/>
              </w:rPr>
              <w:t>conservation, sustainable use, adaptation, access and benefit sharing of natural resources, biodiversity, ecosystems, in line with international conventions</w:t>
            </w:r>
          </w:p>
          <w:p w14:paraId="383CC8BD" w14:textId="77777777" w:rsidR="00B54B72" w:rsidRPr="00C77E28" w:rsidRDefault="00B54B72" w:rsidP="007D5CF2">
            <w:pPr>
              <w:pStyle w:val="BodyText2"/>
              <w:rPr>
                <w:rFonts w:asciiTheme="minorHAnsi" w:hAnsiTheme="minorHAnsi" w:cstheme="minorHAnsi"/>
                <w:i/>
                <w:sz w:val="22"/>
                <w:szCs w:val="22"/>
              </w:rPr>
            </w:pPr>
          </w:p>
          <w:p w14:paraId="5687D274" w14:textId="77777777" w:rsidR="00B54B72" w:rsidRPr="00C77E28" w:rsidRDefault="00B54B72" w:rsidP="007D5CF2">
            <w:pPr>
              <w:pStyle w:val="BodyText2"/>
              <w:rPr>
                <w:rFonts w:asciiTheme="minorHAnsi" w:hAnsiTheme="minorHAnsi" w:cstheme="minorHAnsi"/>
                <w:i/>
                <w:sz w:val="22"/>
                <w:szCs w:val="22"/>
              </w:rPr>
            </w:pPr>
          </w:p>
          <w:p w14:paraId="582D4DE1" w14:textId="77777777" w:rsidR="00B54B72" w:rsidRPr="00C77E28" w:rsidRDefault="00B54B72" w:rsidP="007D5CF2">
            <w:pPr>
              <w:pStyle w:val="BodyText2"/>
              <w:rPr>
                <w:rFonts w:asciiTheme="minorHAnsi" w:hAnsiTheme="minorHAnsi" w:cstheme="minorHAnsi"/>
                <w:i/>
                <w:sz w:val="22"/>
                <w:szCs w:val="22"/>
              </w:rPr>
            </w:pPr>
          </w:p>
          <w:p w14:paraId="5D46A370" w14:textId="03B4F384" w:rsidR="007D5CF2" w:rsidRPr="00C77E28" w:rsidRDefault="007D5CF2" w:rsidP="007D5CF2">
            <w:pPr>
              <w:pStyle w:val="BodyText2"/>
              <w:rPr>
                <w:rFonts w:asciiTheme="minorHAnsi" w:hAnsiTheme="minorHAnsi" w:cstheme="minorHAnsi"/>
                <w:sz w:val="22"/>
                <w:szCs w:val="22"/>
              </w:rPr>
            </w:pPr>
            <w:r w:rsidRPr="00C77E28">
              <w:rPr>
                <w:rFonts w:asciiTheme="minorHAnsi" w:hAnsiTheme="minorHAnsi" w:cstheme="minorHAnsi"/>
                <w:sz w:val="22"/>
                <w:szCs w:val="22"/>
                <w:u w:val="single"/>
              </w:rPr>
              <w:lastRenderedPageBreak/>
              <w:t xml:space="preserve">Progress and </w:t>
            </w:r>
            <w:r w:rsidR="00B3473E" w:rsidRPr="00C77E28">
              <w:rPr>
                <w:rFonts w:asciiTheme="minorHAnsi" w:hAnsiTheme="minorHAnsi" w:cstheme="minorHAnsi"/>
                <w:sz w:val="22"/>
                <w:szCs w:val="22"/>
                <w:u w:val="single"/>
              </w:rPr>
              <w:t>a</w:t>
            </w:r>
            <w:r w:rsidRPr="00C77E28">
              <w:rPr>
                <w:rFonts w:asciiTheme="minorHAnsi" w:hAnsiTheme="minorHAnsi" w:cstheme="minorHAnsi"/>
                <w:sz w:val="22"/>
                <w:szCs w:val="22"/>
                <w:u w:val="single"/>
              </w:rPr>
              <w:t>chievements</w:t>
            </w:r>
            <w:r w:rsidRPr="00C77E28">
              <w:rPr>
                <w:rFonts w:asciiTheme="minorHAnsi" w:hAnsiTheme="minorHAnsi" w:cstheme="minorHAnsi"/>
                <w:sz w:val="22"/>
                <w:szCs w:val="22"/>
              </w:rPr>
              <w:t xml:space="preserve">: </w:t>
            </w:r>
          </w:p>
          <w:p w14:paraId="268FAB3E" w14:textId="77777777" w:rsidR="007D5CF2" w:rsidRPr="00C77E28" w:rsidRDefault="007D5CF2" w:rsidP="007D5CF2">
            <w:pPr>
              <w:pStyle w:val="ListParagraph"/>
              <w:spacing w:after="0" w:line="240" w:lineRule="auto"/>
              <w:ind w:left="0"/>
              <w:jc w:val="both"/>
              <w:rPr>
                <w:rFonts w:asciiTheme="minorHAnsi" w:hAnsiTheme="minorHAnsi" w:cstheme="minorHAnsi"/>
                <w:sz w:val="22"/>
                <w:szCs w:val="22"/>
                <w:lang w:val="en-US"/>
              </w:rPr>
            </w:pPr>
          </w:p>
          <w:p w14:paraId="62333CD4" w14:textId="55C1A281" w:rsidR="00A55FE3" w:rsidRPr="00C77E28" w:rsidRDefault="00C3163A">
            <w:pPr>
              <w:widowControl/>
              <w:jc w:val="both"/>
              <w:rPr>
                <w:rFonts w:asciiTheme="minorHAnsi" w:hAnsiTheme="minorHAnsi" w:cstheme="minorHAnsi"/>
                <w:sz w:val="22"/>
                <w:szCs w:val="22"/>
              </w:rPr>
            </w:pPr>
            <w:r w:rsidRPr="00C77E28">
              <w:rPr>
                <w:rFonts w:asciiTheme="minorHAnsi" w:hAnsiTheme="minorHAnsi" w:cstheme="minorHAnsi"/>
                <w:sz w:val="22"/>
                <w:szCs w:val="22"/>
              </w:rPr>
              <w:t xml:space="preserve">With </w:t>
            </w:r>
            <w:r w:rsidR="009A3446" w:rsidRPr="00C77E28">
              <w:rPr>
                <w:rFonts w:asciiTheme="minorHAnsi" w:hAnsiTheme="minorHAnsi" w:cstheme="minorHAnsi"/>
                <w:sz w:val="22"/>
                <w:szCs w:val="22"/>
              </w:rPr>
              <w:t xml:space="preserve">UNDP </w:t>
            </w:r>
            <w:r w:rsidRPr="00C77E28">
              <w:rPr>
                <w:rFonts w:asciiTheme="minorHAnsi" w:hAnsiTheme="minorHAnsi" w:cstheme="minorHAnsi"/>
                <w:sz w:val="22"/>
                <w:szCs w:val="22"/>
              </w:rPr>
              <w:t xml:space="preserve">support, </w:t>
            </w:r>
            <w:r w:rsidR="009A3446" w:rsidRPr="00C77E28">
              <w:rPr>
                <w:rFonts w:asciiTheme="minorHAnsi" w:hAnsiTheme="minorHAnsi" w:cstheme="minorHAnsi"/>
                <w:sz w:val="22"/>
                <w:szCs w:val="22"/>
              </w:rPr>
              <w:t xml:space="preserve">Gabon </w:t>
            </w:r>
            <w:r w:rsidRPr="00C77E28">
              <w:rPr>
                <w:rFonts w:asciiTheme="minorHAnsi" w:hAnsiTheme="minorHAnsi" w:cstheme="minorHAnsi"/>
                <w:sz w:val="22"/>
                <w:szCs w:val="22"/>
              </w:rPr>
              <w:t xml:space="preserve">improved </w:t>
            </w:r>
            <w:r w:rsidR="009A3446" w:rsidRPr="00C77E28">
              <w:rPr>
                <w:rFonts w:asciiTheme="minorHAnsi" w:hAnsiTheme="minorHAnsi" w:cstheme="minorHAnsi"/>
                <w:sz w:val="22"/>
                <w:szCs w:val="22"/>
              </w:rPr>
              <w:t xml:space="preserve">the quality of budgeting for the social services sector </w:t>
            </w:r>
            <w:r w:rsidRPr="00C77E28">
              <w:rPr>
                <w:rFonts w:asciiTheme="minorHAnsi" w:hAnsiTheme="minorHAnsi" w:cstheme="minorHAnsi"/>
                <w:sz w:val="22"/>
                <w:szCs w:val="22"/>
              </w:rPr>
              <w:t>to improve</w:t>
            </w:r>
            <w:r w:rsidR="009A3446" w:rsidRPr="00C77E28">
              <w:rPr>
                <w:rFonts w:asciiTheme="minorHAnsi" w:hAnsiTheme="minorHAnsi" w:cstheme="minorHAnsi"/>
                <w:sz w:val="22"/>
                <w:szCs w:val="22"/>
              </w:rPr>
              <w:t xml:space="preserve"> vulnerable groups</w:t>
            </w:r>
            <w:r w:rsidRPr="00C77E28">
              <w:rPr>
                <w:rFonts w:asciiTheme="minorHAnsi" w:hAnsiTheme="minorHAnsi" w:cstheme="minorHAnsi"/>
                <w:sz w:val="22"/>
                <w:szCs w:val="22"/>
              </w:rPr>
              <w:t xml:space="preserve"> </w:t>
            </w:r>
            <w:r w:rsidR="009A3446" w:rsidRPr="00C77E28">
              <w:rPr>
                <w:rFonts w:asciiTheme="minorHAnsi" w:hAnsiTheme="minorHAnsi" w:cstheme="minorHAnsi"/>
                <w:sz w:val="22"/>
                <w:szCs w:val="22"/>
              </w:rPr>
              <w:t xml:space="preserve">access to </w:t>
            </w:r>
            <w:r w:rsidR="00BD2983" w:rsidRPr="00C77E28">
              <w:rPr>
                <w:rFonts w:asciiTheme="minorHAnsi" w:hAnsiTheme="minorHAnsi" w:cstheme="minorHAnsi"/>
                <w:sz w:val="22"/>
                <w:szCs w:val="22"/>
              </w:rPr>
              <w:t>social services</w:t>
            </w:r>
            <w:r w:rsidR="009A3446" w:rsidRPr="00C77E28">
              <w:rPr>
                <w:rFonts w:asciiTheme="minorHAnsi" w:hAnsiTheme="minorHAnsi" w:cstheme="minorHAnsi"/>
                <w:sz w:val="22"/>
                <w:szCs w:val="22"/>
              </w:rPr>
              <w:t xml:space="preserve">. </w:t>
            </w:r>
            <w:r w:rsidR="00BA5AF6" w:rsidRPr="00C77E28">
              <w:rPr>
                <w:rFonts w:asciiTheme="minorHAnsi" w:hAnsiTheme="minorHAnsi" w:cstheme="minorHAnsi"/>
                <w:sz w:val="22"/>
                <w:szCs w:val="22"/>
              </w:rPr>
              <w:t xml:space="preserve">To achieve this result, UNDP </w:t>
            </w:r>
            <w:r w:rsidR="00A04279" w:rsidRPr="00C77E28">
              <w:rPr>
                <w:rFonts w:asciiTheme="minorHAnsi" w:hAnsiTheme="minorHAnsi" w:cstheme="minorHAnsi"/>
                <w:sz w:val="22"/>
                <w:szCs w:val="22"/>
              </w:rPr>
              <w:t>strengthen the capacity of local institutions to drawn and implement local development</w:t>
            </w:r>
            <w:r w:rsidR="00324E9B" w:rsidRPr="00C77E28">
              <w:rPr>
                <w:rFonts w:asciiTheme="minorHAnsi" w:hAnsiTheme="minorHAnsi" w:cstheme="minorHAnsi"/>
                <w:sz w:val="22"/>
                <w:szCs w:val="22"/>
              </w:rPr>
              <w:t xml:space="preserve"> plans, integrat</w:t>
            </w:r>
            <w:r w:rsidR="000F084C" w:rsidRPr="00C77E28">
              <w:rPr>
                <w:rFonts w:asciiTheme="minorHAnsi" w:hAnsiTheme="minorHAnsi" w:cstheme="minorHAnsi"/>
                <w:sz w:val="22"/>
                <w:szCs w:val="22"/>
              </w:rPr>
              <w:t>ing</w:t>
            </w:r>
            <w:r w:rsidR="00324E9B" w:rsidRPr="00C77E28">
              <w:rPr>
                <w:rFonts w:asciiTheme="minorHAnsi" w:hAnsiTheme="minorHAnsi" w:cstheme="minorHAnsi"/>
                <w:sz w:val="22"/>
                <w:szCs w:val="22"/>
              </w:rPr>
              <w:t xml:space="preserve"> </w:t>
            </w:r>
            <w:r w:rsidR="001C7D96" w:rsidRPr="00C77E28">
              <w:rPr>
                <w:rFonts w:asciiTheme="minorHAnsi" w:hAnsiTheme="minorHAnsi" w:cstheme="minorHAnsi"/>
                <w:sz w:val="22"/>
                <w:szCs w:val="22"/>
              </w:rPr>
              <w:t>the SDG and the 2063 agenda</w:t>
            </w:r>
            <w:r w:rsidR="00470FAD" w:rsidRPr="00C77E28">
              <w:rPr>
                <w:rFonts w:asciiTheme="minorHAnsi" w:hAnsiTheme="minorHAnsi" w:cstheme="minorHAnsi"/>
                <w:sz w:val="22"/>
                <w:szCs w:val="22"/>
              </w:rPr>
              <w:t xml:space="preserve">. </w:t>
            </w:r>
          </w:p>
          <w:p w14:paraId="36CE25FF" w14:textId="4C2E4A5A" w:rsidR="00A55FE3" w:rsidRPr="00C77E28" w:rsidRDefault="33308D68" w:rsidP="008134D3">
            <w:pPr>
              <w:pStyle w:val="ListParagraph"/>
              <w:numPr>
                <w:ilvl w:val="0"/>
                <w:numId w:val="53"/>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Output 1.1</w:t>
            </w:r>
            <w:r w:rsidR="00A55FE3" w:rsidRPr="00C77E28">
              <w:rPr>
                <w:rFonts w:asciiTheme="minorHAnsi" w:hAnsiTheme="minorHAnsi" w:cstheme="minorHAnsi"/>
                <w:sz w:val="22"/>
                <w:szCs w:val="22"/>
              </w:rPr>
              <w:t xml:space="preserve"> -</w:t>
            </w:r>
            <w:r w:rsidRPr="00C77E28">
              <w:rPr>
                <w:rFonts w:asciiTheme="minorHAnsi" w:hAnsiTheme="minorHAnsi" w:cstheme="minorHAnsi"/>
                <w:sz w:val="22"/>
                <w:szCs w:val="22"/>
              </w:rPr>
              <w:t xml:space="preserve"> </w:t>
            </w:r>
            <w:r w:rsidR="00DD5FA2" w:rsidRPr="00C77E28">
              <w:rPr>
                <w:rFonts w:asciiTheme="minorHAnsi" w:hAnsiTheme="minorHAnsi" w:cstheme="minorHAnsi"/>
                <w:sz w:val="22"/>
                <w:szCs w:val="22"/>
              </w:rPr>
              <w:t xml:space="preserve">122 experts (50 women and 72 men) </w:t>
            </w:r>
            <w:r w:rsidR="00EE4E4A" w:rsidRPr="00C77E28">
              <w:rPr>
                <w:rFonts w:asciiTheme="minorHAnsi" w:hAnsiTheme="minorHAnsi" w:cstheme="minorHAnsi"/>
                <w:sz w:val="22"/>
                <w:szCs w:val="22"/>
              </w:rPr>
              <w:t xml:space="preserve">of the Government at national and local level </w:t>
            </w:r>
            <w:r w:rsidR="00DD5FA2" w:rsidRPr="00C77E28">
              <w:rPr>
                <w:rFonts w:asciiTheme="minorHAnsi" w:hAnsiTheme="minorHAnsi" w:cstheme="minorHAnsi"/>
                <w:sz w:val="22"/>
                <w:szCs w:val="22"/>
              </w:rPr>
              <w:t xml:space="preserve">have strengthened </w:t>
            </w:r>
            <w:r w:rsidRPr="00C77E28">
              <w:rPr>
                <w:rFonts w:asciiTheme="minorHAnsi" w:hAnsiTheme="minorHAnsi" w:cstheme="minorHAnsi"/>
                <w:sz w:val="22"/>
                <w:szCs w:val="22"/>
              </w:rPr>
              <w:t xml:space="preserve">technical and financial capacities </w:t>
            </w:r>
            <w:r w:rsidR="00EE4E4A" w:rsidRPr="00C77E28">
              <w:rPr>
                <w:rFonts w:asciiTheme="minorHAnsi" w:hAnsiTheme="minorHAnsi" w:cstheme="minorHAnsi"/>
                <w:sz w:val="22"/>
                <w:szCs w:val="22"/>
              </w:rPr>
              <w:t>and are able to</w:t>
            </w:r>
            <w:r w:rsidRPr="00C77E28">
              <w:rPr>
                <w:rFonts w:asciiTheme="minorHAnsi" w:hAnsiTheme="minorHAnsi" w:cstheme="minorHAnsi"/>
                <w:sz w:val="22"/>
                <w:szCs w:val="22"/>
              </w:rPr>
              <w:t xml:space="preserve"> implement inclusive, </w:t>
            </w:r>
            <w:r w:rsidR="00F51E44" w:rsidRPr="00C77E28">
              <w:rPr>
                <w:rFonts w:asciiTheme="minorHAnsi" w:hAnsiTheme="minorHAnsi" w:cstheme="minorHAnsi"/>
                <w:sz w:val="22"/>
                <w:szCs w:val="22"/>
              </w:rPr>
              <w:t>integrated,</w:t>
            </w:r>
            <w:r w:rsidRPr="00C77E28">
              <w:rPr>
                <w:rFonts w:asciiTheme="minorHAnsi" w:hAnsiTheme="minorHAnsi" w:cstheme="minorHAnsi"/>
                <w:sz w:val="22"/>
                <w:szCs w:val="22"/>
              </w:rPr>
              <w:t xml:space="preserve"> and participatory development plans. </w:t>
            </w:r>
            <w:r w:rsidR="006E0084" w:rsidRPr="00C77E28">
              <w:rPr>
                <w:rFonts w:asciiTheme="minorHAnsi" w:hAnsiTheme="minorHAnsi" w:cstheme="minorHAnsi"/>
                <w:sz w:val="22"/>
                <w:szCs w:val="22"/>
              </w:rPr>
              <w:t>Eighty-eight</w:t>
            </w:r>
            <w:r w:rsidRPr="00C77E28">
              <w:rPr>
                <w:rFonts w:asciiTheme="minorHAnsi" w:hAnsiTheme="minorHAnsi" w:cstheme="minorHAnsi"/>
                <w:sz w:val="22"/>
                <w:szCs w:val="22"/>
              </w:rPr>
              <w:t xml:space="preserve"> development plans </w:t>
            </w:r>
            <w:r w:rsidR="00380BB2" w:rsidRPr="00C77E28">
              <w:rPr>
                <w:rFonts w:asciiTheme="minorHAnsi" w:hAnsiTheme="minorHAnsi" w:cstheme="minorHAnsi"/>
                <w:sz w:val="22"/>
                <w:szCs w:val="22"/>
              </w:rPr>
              <w:t xml:space="preserve">have consequently been </w:t>
            </w:r>
            <w:r w:rsidRPr="00C77E28">
              <w:rPr>
                <w:rFonts w:asciiTheme="minorHAnsi" w:hAnsiTheme="minorHAnsi" w:cstheme="minorHAnsi"/>
                <w:sz w:val="22"/>
                <w:szCs w:val="22"/>
              </w:rPr>
              <w:t xml:space="preserve">drawn up and implemented by national and local institutions (town halls and departments). </w:t>
            </w:r>
          </w:p>
          <w:p w14:paraId="66462AD5" w14:textId="0A825C83" w:rsidR="00A55FE3" w:rsidRPr="00C77E28" w:rsidRDefault="33308D68" w:rsidP="008134D3">
            <w:pPr>
              <w:pStyle w:val="ListParagraph"/>
              <w:numPr>
                <w:ilvl w:val="0"/>
                <w:numId w:val="53"/>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Output 1.2</w:t>
            </w:r>
            <w:r w:rsidR="00A55FE3" w:rsidRPr="00C77E28">
              <w:rPr>
                <w:rFonts w:asciiTheme="minorHAnsi" w:hAnsiTheme="minorHAnsi" w:cstheme="minorHAnsi"/>
                <w:sz w:val="22"/>
                <w:szCs w:val="22"/>
              </w:rPr>
              <w:t xml:space="preserve"> -</w:t>
            </w:r>
            <w:r w:rsidRPr="00C77E28">
              <w:rPr>
                <w:rFonts w:asciiTheme="minorHAnsi" w:hAnsiTheme="minorHAnsi" w:cstheme="minorHAnsi"/>
                <w:sz w:val="22"/>
                <w:szCs w:val="22"/>
              </w:rPr>
              <w:t xml:space="preserve"> SDGs and Agenda 2063 </w:t>
            </w:r>
            <w:r w:rsidR="00A53281" w:rsidRPr="00C77E28">
              <w:rPr>
                <w:rFonts w:asciiTheme="minorHAnsi" w:hAnsiTheme="minorHAnsi" w:cstheme="minorHAnsi"/>
                <w:sz w:val="22"/>
                <w:szCs w:val="22"/>
              </w:rPr>
              <w:t xml:space="preserve">objectives and goals have been integrated </w:t>
            </w:r>
            <w:r w:rsidR="00A55FE3" w:rsidRPr="00C77E28">
              <w:rPr>
                <w:rFonts w:asciiTheme="minorHAnsi" w:hAnsiTheme="minorHAnsi" w:cstheme="minorHAnsi"/>
                <w:sz w:val="22"/>
                <w:szCs w:val="22"/>
              </w:rPr>
              <w:t xml:space="preserve">in </w:t>
            </w:r>
            <w:r w:rsidRPr="00C77E28">
              <w:rPr>
                <w:rFonts w:asciiTheme="minorHAnsi" w:hAnsiTheme="minorHAnsi" w:cstheme="minorHAnsi"/>
                <w:sz w:val="22"/>
                <w:szCs w:val="22"/>
              </w:rPr>
              <w:t>the</w:t>
            </w:r>
            <w:r w:rsidR="00A55FE3" w:rsidRPr="00C77E28">
              <w:rPr>
                <w:rFonts w:asciiTheme="minorHAnsi" w:hAnsiTheme="minorHAnsi" w:cstheme="minorHAnsi"/>
                <w:sz w:val="22"/>
                <w:szCs w:val="22"/>
              </w:rPr>
              <w:t>se</w:t>
            </w:r>
            <w:r w:rsidRPr="00C77E28">
              <w:rPr>
                <w:rFonts w:asciiTheme="minorHAnsi" w:hAnsiTheme="minorHAnsi" w:cstheme="minorHAnsi"/>
                <w:sz w:val="22"/>
                <w:szCs w:val="22"/>
              </w:rPr>
              <w:t xml:space="preserve"> development plans at the national and local levels. </w:t>
            </w:r>
            <w:r w:rsidR="00DD4541" w:rsidRPr="00C77E28">
              <w:rPr>
                <w:rFonts w:asciiTheme="minorHAnsi" w:hAnsiTheme="minorHAnsi" w:cstheme="minorHAnsi"/>
                <w:sz w:val="22"/>
                <w:szCs w:val="22"/>
              </w:rPr>
              <w:t>Through</w:t>
            </w:r>
            <w:r w:rsidRPr="00C77E28">
              <w:rPr>
                <w:rFonts w:asciiTheme="minorHAnsi" w:hAnsiTheme="minorHAnsi" w:cstheme="minorHAnsi"/>
                <w:sz w:val="22"/>
                <w:szCs w:val="22"/>
              </w:rPr>
              <w:t xml:space="preserve"> capacity building in budgeting and integration of SDG targets into public policies</w:t>
            </w:r>
            <w:r w:rsidR="00DD4541" w:rsidRPr="00C77E28">
              <w:rPr>
                <w:rFonts w:asciiTheme="minorHAnsi" w:hAnsiTheme="minorHAnsi" w:cstheme="minorHAnsi"/>
                <w:sz w:val="22"/>
                <w:szCs w:val="22"/>
              </w:rPr>
              <w:t>, local administration, ministries, departmental councils and city halls have better knowledge and expertise in the area</w:t>
            </w:r>
            <w:r w:rsidRPr="00C77E28">
              <w:rPr>
                <w:rFonts w:asciiTheme="minorHAnsi" w:hAnsiTheme="minorHAnsi" w:cstheme="minorHAnsi"/>
                <w:sz w:val="22"/>
                <w:szCs w:val="22"/>
              </w:rPr>
              <w:t xml:space="preserve">. </w:t>
            </w:r>
          </w:p>
          <w:p w14:paraId="14CE860C" w14:textId="081440B1" w:rsidR="00A55FE3" w:rsidRPr="00C77E28" w:rsidRDefault="33308D68" w:rsidP="008134D3">
            <w:pPr>
              <w:pStyle w:val="ListParagraph"/>
              <w:numPr>
                <w:ilvl w:val="0"/>
                <w:numId w:val="53"/>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Output 1.3</w:t>
            </w:r>
            <w:r w:rsidR="00A55FE3" w:rsidRPr="00C77E28">
              <w:rPr>
                <w:rFonts w:asciiTheme="minorHAnsi" w:hAnsiTheme="minorHAnsi" w:cstheme="minorHAnsi"/>
                <w:sz w:val="22"/>
                <w:szCs w:val="22"/>
              </w:rPr>
              <w:t xml:space="preserve"> </w:t>
            </w:r>
            <w:r w:rsidR="00223943" w:rsidRPr="00C77E28">
              <w:rPr>
                <w:rFonts w:asciiTheme="minorHAnsi" w:hAnsiTheme="minorHAnsi" w:cstheme="minorHAnsi"/>
                <w:sz w:val="22"/>
                <w:szCs w:val="22"/>
              </w:rPr>
              <w:t>–</w:t>
            </w:r>
            <w:r w:rsidRPr="00C77E28">
              <w:rPr>
                <w:rFonts w:asciiTheme="minorHAnsi" w:hAnsiTheme="minorHAnsi" w:cstheme="minorHAnsi"/>
                <w:sz w:val="22"/>
                <w:szCs w:val="22"/>
              </w:rPr>
              <w:t xml:space="preserve"> </w:t>
            </w:r>
            <w:r w:rsidR="00223943" w:rsidRPr="00C77E28">
              <w:rPr>
                <w:rFonts w:asciiTheme="minorHAnsi" w:hAnsiTheme="minorHAnsi" w:cstheme="minorHAnsi"/>
                <w:sz w:val="22"/>
                <w:szCs w:val="22"/>
              </w:rPr>
              <w:t xml:space="preserve">With the lead of provincial sections of the Ministry of Agriculture and the Department of statistics, UNDP has identified 200 women and 100 young entrepreneurs affected by the Covid-19 Pandemic who benefitted from investment dedicated to sustainable agriculture and processing activities while being trained in the use of new technologies enabling the development of business opportunities throughout the </w:t>
            </w:r>
            <w:proofErr w:type="spellStart"/>
            <w:r w:rsidR="00223943" w:rsidRPr="00C77E28">
              <w:rPr>
                <w:rFonts w:asciiTheme="minorHAnsi" w:hAnsiTheme="minorHAnsi" w:cstheme="minorHAnsi"/>
                <w:sz w:val="22"/>
                <w:szCs w:val="22"/>
              </w:rPr>
              <w:t>agri</w:t>
            </w:r>
            <w:proofErr w:type="spellEnd"/>
            <w:r w:rsidR="00223943" w:rsidRPr="00C77E28">
              <w:rPr>
                <w:rFonts w:asciiTheme="minorHAnsi" w:hAnsiTheme="minorHAnsi" w:cstheme="minorHAnsi"/>
                <w:sz w:val="22"/>
                <w:szCs w:val="22"/>
              </w:rPr>
              <w:t>-value chain.</w:t>
            </w:r>
          </w:p>
          <w:p w14:paraId="1AC8E658" w14:textId="26370723" w:rsidR="00021054" w:rsidRPr="00C77E28" w:rsidRDefault="33308D68" w:rsidP="000B77F1">
            <w:pPr>
              <w:pStyle w:val="ListParagraph"/>
              <w:numPr>
                <w:ilvl w:val="0"/>
                <w:numId w:val="53"/>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Output 1.</w:t>
            </w:r>
            <w:r w:rsidR="00A55FE3" w:rsidRPr="00C77E28">
              <w:rPr>
                <w:rFonts w:asciiTheme="minorHAnsi" w:hAnsiTheme="minorHAnsi" w:cstheme="minorHAnsi"/>
                <w:sz w:val="22"/>
                <w:szCs w:val="22"/>
              </w:rPr>
              <w:t xml:space="preserve">4 - </w:t>
            </w:r>
            <w:r w:rsidR="00223943" w:rsidRPr="00C77E28">
              <w:rPr>
                <w:rFonts w:asciiTheme="minorHAnsi" w:hAnsiTheme="minorHAnsi" w:cstheme="minorHAnsi"/>
                <w:sz w:val="22"/>
                <w:szCs w:val="22"/>
              </w:rPr>
              <w:t xml:space="preserve">The proportion of people who have access to basic social services increased from 20% to 40% and, 750 new full-time equivalent jobs were created for women and men aged 15 and over. Moreover, 1976 persons (including 1126 girls and young women, 500 women, 400 young men, 450 men) benefited from UNDP-supported livelihoods interventions, including green value chains structuration, financial support to small businesses, and training/capacity building in climate-smart agriculture techniques in partnership with FAO. </w:t>
            </w:r>
          </w:p>
          <w:p w14:paraId="4F5A531E" w14:textId="22F236B2" w:rsidR="00523167" w:rsidRPr="00C77E28" w:rsidRDefault="33308D68" w:rsidP="008134D3">
            <w:pPr>
              <w:pStyle w:val="ListParagraph"/>
              <w:numPr>
                <w:ilvl w:val="0"/>
                <w:numId w:val="53"/>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Output 1.5</w:t>
            </w:r>
            <w:r w:rsidR="00021054" w:rsidRPr="00C77E28">
              <w:rPr>
                <w:rFonts w:asciiTheme="minorHAnsi" w:hAnsiTheme="minorHAnsi" w:cstheme="minorHAnsi"/>
                <w:sz w:val="22"/>
                <w:szCs w:val="22"/>
              </w:rPr>
              <w:t xml:space="preserve"> </w:t>
            </w:r>
            <w:r w:rsidR="003F1CE2" w:rsidRPr="00C77E28">
              <w:rPr>
                <w:rFonts w:asciiTheme="minorHAnsi" w:hAnsiTheme="minorHAnsi" w:cstheme="minorHAnsi"/>
                <w:sz w:val="22"/>
                <w:szCs w:val="22"/>
              </w:rPr>
              <w:t>–</w:t>
            </w:r>
            <w:r w:rsidR="00B7524F" w:rsidRPr="00C77E28">
              <w:rPr>
                <w:rFonts w:asciiTheme="minorHAnsi" w:hAnsiTheme="minorHAnsi" w:cstheme="minorHAnsi"/>
                <w:sz w:val="22"/>
                <w:szCs w:val="22"/>
              </w:rPr>
              <w:t xml:space="preserve"> </w:t>
            </w:r>
            <w:r w:rsidR="003F1CE2" w:rsidRPr="00C77E28">
              <w:rPr>
                <w:rFonts w:asciiTheme="minorHAnsi" w:hAnsiTheme="minorHAnsi" w:cstheme="minorHAnsi"/>
                <w:sz w:val="22"/>
                <w:szCs w:val="22"/>
              </w:rPr>
              <w:t xml:space="preserve">6 automatic synoptic weather stations </w:t>
            </w:r>
            <w:r w:rsidR="002D675D" w:rsidRPr="00C77E28">
              <w:rPr>
                <w:rFonts w:asciiTheme="minorHAnsi" w:hAnsiTheme="minorHAnsi" w:cstheme="minorHAnsi"/>
                <w:sz w:val="22"/>
                <w:szCs w:val="22"/>
              </w:rPr>
              <w:t>were installed</w:t>
            </w:r>
            <w:r w:rsidR="003F1CE2" w:rsidRPr="00C77E28">
              <w:rPr>
                <w:rFonts w:asciiTheme="minorHAnsi" w:hAnsiTheme="minorHAnsi" w:cstheme="minorHAnsi"/>
                <w:sz w:val="22"/>
                <w:szCs w:val="22"/>
              </w:rPr>
              <w:t xml:space="preserve"> </w:t>
            </w:r>
            <w:r w:rsidR="00B21E7E" w:rsidRPr="00C77E28">
              <w:rPr>
                <w:rFonts w:asciiTheme="minorHAnsi" w:hAnsiTheme="minorHAnsi" w:cstheme="minorHAnsi"/>
                <w:sz w:val="22"/>
                <w:szCs w:val="22"/>
              </w:rPr>
              <w:t>and allow the country to have</w:t>
            </w:r>
            <w:r w:rsidR="003F1CE2" w:rsidRPr="00C77E28">
              <w:rPr>
                <w:rFonts w:asciiTheme="minorHAnsi" w:hAnsiTheme="minorHAnsi" w:cstheme="minorHAnsi"/>
                <w:sz w:val="22"/>
                <w:szCs w:val="22"/>
              </w:rPr>
              <w:t xml:space="preserve"> a functional network of weather </w:t>
            </w:r>
            <w:r w:rsidR="00750D2B" w:rsidRPr="00C77E28">
              <w:rPr>
                <w:rFonts w:asciiTheme="minorHAnsi" w:hAnsiTheme="minorHAnsi" w:cstheme="minorHAnsi"/>
                <w:sz w:val="22"/>
                <w:szCs w:val="22"/>
              </w:rPr>
              <w:t xml:space="preserve">system </w:t>
            </w:r>
            <w:r w:rsidR="00B21E7E" w:rsidRPr="00C77E28">
              <w:rPr>
                <w:rFonts w:asciiTheme="minorHAnsi" w:hAnsiTheme="minorHAnsi" w:cstheme="minorHAnsi"/>
                <w:sz w:val="22"/>
                <w:szCs w:val="22"/>
              </w:rPr>
              <w:t xml:space="preserve">to </w:t>
            </w:r>
            <w:r w:rsidR="00223943" w:rsidRPr="00C77E28">
              <w:rPr>
                <w:rFonts w:asciiTheme="minorHAnsi" w:hAnsiTheme="minorHAnsi" w:cstheme="minorHAnsi"/>
                <w:sz w:val="22"/>
                <w:szCs w:val="22"/>
              </w:rPr>
              <w:t>allow better</w:t>
            </w:r>
            <w:r w:rsidR="00750D2B" w:rsidRPr="00C77E28">
              <w:rPr>
                <w:rFonts w:asciiTheme="minorHAnsi" w:hAnsiTheme="minorHAnsi" w:cstheme="minorHAnsi"/>
                <w:sz w:val="22"/>
                <w:szCs w:val="22"/>
              </w:rPr>
              <w:t xml:space="preserve"> </w:t>
            </w:r>
            <w:r w:rsidR="00223943" w:rsidRPr="00C77E28">
              <w:rPr>
                <w:rFonts w:asciiTheme="minorHAnsi" w:hAnsiTheme="minorHAnsi" w:cstheme="minorHAnsi"/>
                <w:sz w:val="22"/>
                <w:szCs w:val="22"/>
              </w:rPr>
              <w:t>adaptation to</w:t>
            </w:r>
            <w:r w:rsidR="00750D2B" w:rsidRPr="00C77E28">
              <w:rPr>
                <w:rFonts w:asciiTheme="minorHAnsi" w:hAnsiTheme="minorHAnsi" w:cstheme="minorHAnsi"/>
                <w:sz w:val="22"/>
                <w:szCs w:val="22"/>
              </w:rPr>
              <w:t xml:space="preserve"> </w:t>
            </w:r>
            <w:r w:rsidR="003F1CE2" w:rsidRPr="00C77E28">
              <w:rPr>
                <w:rFonts w:asciiTheme="minorHAnsi" w:hAnsiTheme="minorHAnsi" w:cstheme="minorHAnsi"/>
                <w:sz w:val="22"/>
                <w:szCs w:val="22"/>
              </w:rPr>
              <w:t>climate change</w:t>
            </w:r>
            <w:r w:rsidR="00223943" w:rsidRPr="00C77E28">
              <w:rPr>
                <w:rFonts w:asciiTheme="minorHAnsi" w:hAnsiTheme="minorHAnsi" w:cstheme="minorHAnsi"/>
                <w:sz w:val="22"/>
                <w:szCs w:val="22"/>
              </w:rPr>
              <w:t xml:space="preserve"> and stronger early warning strategies</w:t>
            </w:r>
            <w:r w:rsidR="003F1CE2" w:rsidRPr="00C77E28">
              <w:rPr>
                <w:rFonts w:asciiTheme="minorHAnsi" w:hAnsiTheme="minorHAnsi" w:cstheme="minorHAnsi"/>
                <w:sz w:val="22"/>
                <w:szCs w:val="22"/>
              </w:rPr>
              <w:t>.</w:t>
            </w:r>
            <w:r w:rsidR="002D675D" w:rsidRPr="00C77E28">
              <w:rPr>
                <w:rFonts w:asciiTheme="minorHAnsi" w:hAnsiTheme="minorHAnsi" w:cstheme="minorHAnsi"/>
                <w:sz w:val="22"/>
                <w:szCs w:val="22"/>
              </w:rPr>
              <w:t xml:space="preserve"> </w:t>
            </w:r>
            <w:r w:rsidR="00D433BD" w:rsidRPr="00C77E28">
              <w:rPr>
                <w:rFonts w:asciiTheme="minorHAnsi" w:hAnsiTheme="minorHAnsi" w:cstheme="minorHAnsi"/>
                <w:sz w:val="22"/>
                <w:szCs w:val="22"/>
              </w:rPr>
              <w:t>Under the CAFI, t</w:t>
            </w:r>
            <w:r w:rsidR="00507648" w:rsidRPr="00C77E28">
              <w:rPr>
                <w:rFonts w:asciiTheme="minorHAnsi" w:hAnsiTheme="minorHAnsi" w:cstheme="minorHAnsi"/>
                <w:sz w:val="22"/>
                <w:szCs w:val="22"/>
              </w:rPr>
              <w:t xml:space="preserve">he office </w:t>
            </w:r>
            <w:r w:rsidR="00F17FED" w:rsidRPr="00C77E28">
              <w:rPr>
                <w:rFonts w:asciiTheme="minorHAnsi" w:hAnsiTheme="minorHAnsi" w:cstheme="minorHAnsi"/>
                <w:sz w:val="22"/>
                <w:szCs w:val="22"/>
              </w:rPr>
              <w:t>worked</w:t>
            </w:r>
            <w:r w:rsidR="00B457B8" w:rsidRPr="00C77E28">
              <w:rPr>
                <w:rFonts w:asciiTheme="minorHAnsi" w:hAnsiTheme="minorHAnsi" w:cstheme="minorHAnsi"/>
                <w:sz w:val="22"/>
                <w:szCs w:val="22"/>
              </w:rPr>
              <w:t xml:space="preserve"> with the National Park Agency and accompany</w:t>
            </w:r>
            <w:r w:rsidR="00507648" w:rsidRPr="00C77E28">
              <w:rPr>
                <w:rFonts w:asciiTheme="minorHAnsi" w:hAnsiTheme="minorHAnsi" w:cstheme="minorHAnsi"/>
                <w:sz w:val="22"/>
                <w:szCs w:val="22"/>
              </w:rPr>
              <w:t xml:space="preserve"> th</w:t>
            </w:r>
            <w:r w:rsidR="00D433BD" w:rsidRPr="00C77E28">
              <w:rPr>
                <w:rFonts w:asciiTheme="minorHAnsi" w:hAnsiTheme="minorHAnsi" w:cstheme="minorHAnsi"/>
                <w:sz w:val="22"/>
                <w:szCs w:val="22"/>
              </w:rPr>
              <w:t xml:space="preserve">e </w:t>
            </w:r>
            <w:r w:rsidR="005D2C6D" w:rsidRPr="00C77E28">
              <w:rPr>
                <w:rFonts w:asciiTheme="minorHAnsi" w:hAnsiTheme="minorHAnsi" w:cstheme="minorHAnsi"/>
                <w:sz w:val="22"/>
                <w:szCs w:val="22"/>
              </w:rPr>
              <w:t xml:space="preserve">creation of 5 new protected areas – </w:t>
            </w:r>
            <w:r w:rsidR="00DA5DEC" w:rsidRPr="00C77E28">
              <w:rPr>
                <w:rFonts w:asciiTheme="minorHAnsi" w:hAnsiTheme="minorHAnsi" w:cstheme="minorHAnsi"/>
                <w:sz w:val="22"/>
                <w:szCs w:val="22"/>
              </w:rPr>
              <w:t>400 000</w:t>
            </w:r>
            <w:r w:rsidR="005D2C6D" w:rsidRPr="00C77E28">
              <w:rPr>
                <w:rFonts w:asciiTheme="minorHAnsi" w:hAnsiTheme="minorHAnsi" w:cstheme="minorHAnsi"/>
                <w:sz w:val="22"/>
                <w:szCs w:val="22"/>
              </w:rPr>
              <w:t xml:space="preserve"> hectares </w:t>
            </w:r>
            <w:r w:rsidR="00F32BF5" w:rsidRPr="00C77E28">
              <w:rPr>
                <w:rFonts w:asciiTheme="minorHAnsi" w:hAnsiTheme="minorHAnsi" w:cstheme="minorHAnsi"/>
                <w:sz w:val="22"/>
                <w:szCs w:val="22"/>
              </w:rPr>
              <w:t>–</w:t>
            </w:r>
            <w:r w:rsidR="005D2C6D" w:rsidRPr="00C77E28">
              <w:rPr>
                <w:rFonts w:asciiTheme="minorHAnsi" w:hAnsiTheme="minorHAnsi" w:cstheme="minorHAnsi"/>
                <w:sz w:val="22"/>
                <w:szCs w:val="22"/>
              </w:rPr>
              <w:t xml:space="preserve"> </w:t>
            </w:r>
            <w:r w:rsidR="00272238" w:rsidRPr="00C77E28">
              <w:rPr>
                <w:rFonts w:asciiTheme="minorHAnsi" w:hAnsiTheme="minorHAnsi" w:cstheme="minorHAnsi"/>
                <w:sz w:val="22"/>
                <w:szCs w:val="22"/>
              </w:rPr>
              <w:t xml:space="preserve">and land use </w:t>
            </w:r>
            <w:r w:rsidR="00A83623" w:rsidRPr="00C77E28">
              <w:rPr>
                <w:rFonts w:asciiTheme="minorHAnsi" w:hAnsiTheme="minorHAnsi" w:cstheme="minorHAnsi"/>
                <w:sz w:val="22"/>
                <w:szCs w:val="22"/>
              </w:rPr>
              <w:t>mapping for agriculture. This output also contributed enhance sustainable management of natural resources, including sustainable commodities and green and inclusive value chains</w:t>
            </w:r>
          </w:p>
          <w:p w14:paraId="2D79D0FA" w14:textId="62427400" w:rsidR="00497012" w:rsidRPr="00C77E28" w:rsidRDefault="00810887" w:rsidP="00A45A03">
            <w:pPr>
              <w:widowControl/>
              <w:jc w:val="both"/>
              <w:rPr>
                <w:rFonts w:asciiTheme="minorHAnsi" w:hAnsiTheme="minorHAnsi" w:cstheme="minorHAnsi"/>
                <w:sz w:val="22"/>
                <w:szCs w:val="22"/>
              </w:rPr>
            </w:pPr>
            <w:r w:rsidRPr="00C77E28">
              <w:rPr>
                <w:rFonts w:asciiTheme="minorHAnsi" w:hAnsiTheme="minorHAnsi" w:cstheme="minorHAnsi"/>
                <w:sz w:val="22"/>
                <w:szCs w:val="22"/>
              </w:rPr>
              <w:t>On</w:t>
            </w:r>
            <w:r w:rsidR="009A3446" w:rsidRPr="00C77E28">
              <w:rPr>
                <w:rFonts w:asciiTheme="minorHAnsi" w:hAnsiTheme="minorHAnsi" w:cstheme="minorHAnsi"/>
                <w:sz w:val="22"/>
                <w:szCs w:val="22"/>
              </w:rPr>
              <w:t xml:space="preserve"> the SDGs, progress is being made in terms of access to basic services (education, health, water, energy, etc.), gender equality and women's empowerment. However, results are mixed in other areas (SDG 1-2-5-6-9-10-11), and sometimes weak (SDG 16-17). For example, the level of poverty has stagnated since the 2000s at around 30% and inequalities (income/employment, access to SSBs and localities) persist due, among other things, to structural constraints (human capital, business environment, </w:t>
            </w:r>
            <w:r w:rsidR="00497012" w:rsidRPr="00C77E28">
              <w:rPr>
                <w:rFonts w:asciiTheme="minorHAnsi" w:hAnsiTheme="minorHAnsi" w:cstheme="minorHAnsi"/>
                <w:sz w:val="22"/>
                <w:szCs w:val="22"/>
              </w:rPr>
              <w:t xml:space="preserve">lack of </w:t>
            </w:r>
            <w:r w:rsidR="009A3446" w:rsidRPr="00C77E28">
              <w:rPr>
                <w:rFonts w:asciiTheme="minorHAnsi" w:hAnsiTheme="minorHAnsi" w:cstheme="minorHAnsi"/>
                <w:sz w:val="22"/>
                <w:szCs w:val="22"/>
              </w:rPr>
              <w:t xml:space="preserve">attractiveness of </w:t>
            </w:r>
            <w:r w:rsidR="00497012" w:rsidRPr="00C77E28">
              <w:rPr>
                <w:rFonts w:asciiTheme="minorHAnsi" w:hAnsiTheme="minorHAnsi" w:cstheme="minorHAnsi"/>
                <w:sz w:val="22"/>
                <w:szCs w:val="22"/>
              </w:rPr>
              <w:t>remoted areas with economic potential</w:t>
            </w:r>
            <w:r w:rsidR="009A3446" w:rsidRPr="00C77E28">
              <w:rPr>
                <w:rFonts w:asciiTheme="minorHAnsi" w:hAnsiTheme="minorHAnsi" w:cstheme="minorHAnsi"/>
                <w:sz w:val="22"/>
                <w:szCs w:val="22"/>
              </w:rPr>
              <w:t xml:space="preserve">, food security, efficiency of public spending, etc.). These difficulties </w:t>
            </w:r>
            <w:r w:rsidR="00351D9F" w:rsidRPr="00C77E28">
              <w:rPr>
                <w:rFonts w:asciiTheme="minorHAnsi" w:hAnsiTheme="minorHAnsi" w:cstheme="minorHAnsi"/>
                <w:sz w:val="22"/>
                <w:szCs w:val="22"/>
              </w:rPr>
              <w:t>have increased this the beginning of the</w:t>
            </w:r>
            <w:r w:rsidR="009A3446" w:rsidRPr="00C77E28">
              <w:rPr>
                <w:rFonts w:asciiTheme="minorHAnsi" w:hAnsiTheme="minorHAnsi" w:cstheme="minorHAnsi"/>
                <w:sz w:val="22"/>
                <w:szCs w:val="22"/>
              </w:rPr>
              <w:t xml:space="preserve"> COVID-19 </w:t>
            </w:r>
            <w:r w:rsidR="00351D9F" w:rsidRPr="00C77E28">
              <w:rPr>
                <w:rFonts w:asciiTheme="minorHAnsi" w:hAnsiTheme="minorHAnsi" w:cstheme="minorHAnsi"/>
                <w:sz w:val="22"/>
                <w:szCs w:val="22"/>
              </w:rPr>
              <w:t xml:space="preserve">pandemic </w:t>
            </w:r>
            <w:r w:rsidR="009A3446" w:rsidRPr="00C77E28">
              <w:rPr>
                <w:rFonts w:asciiTheme="minorHAnsi" w:hAnsiTheme="minorHAnsi" w:cstheme="minorHAnsi"/>
                <w:sz w:val="22"/>
                <w:szCs w:val="22"/>
              </w:rPr>
              <w:t xml:space="preserve">with the risk of questioning some social gains and a negative shift in the trajectory of the SDGs to 2030. The environment portfolio </w:t>
            </w:r>
            <w:r w:rsidR="00C34824" w:rsidRPr="00C77E28">
              <w:rPr>
                <w:rFonts w:asciiTheme="minorHAnsi" w:hAnsiTheme="minorHAnsi" w:cstheme="minorHAnsi"/>
                <w:sz w:val="22"/>
                <w:szCs w:val="22"/>
              </w:rPr>
              <w:t xml:space="preserve">was </w:t>
            </w:r>
            <w:r w:rsidR="00B57ADE" w:rsidRPr="00C77E28">
              <w:rPr>
                <w:rFonts w:asciiTheme="minorHAnsi" w:hAnsiTheme="minorHAnsi" w:cstheme="minorHAnsi"/>
                <w:sz w:val="22"/>
                <w:szCs w:val="22"/>
              </w:rPr>
              <w:t>developed</w:t>
            </w:r>
            <w:r w:rsidR="009A3446" w:rsidRPr="00C77E28">
              <w:rPr>
                <w:rFonts w:asciiTheme="minorHAnsi" w:hAnsiTheme="minorHAnsi" w:cstheme="minorHAnsi"/>
                <w:sz w:val="22"/>
                <w:szCs w:val="22"/>
              </w:rPr>
              <w:t xml:space="preserve"> by </w:t>
            </w:r>
            <w:r w:rsidR="00497012" w:rsidRPr="00C77E28">
              <w:rPr>
                <w:rFonts w:asciiTheme="minorHAnsi" w:hAnsiTheme="minorHAnsi" w:cstheme="minorHAnsi"/>
                <w:sz w:val="22"/>
                <w:szCs w:val="22"/>
              </w:rPr>
              <w:t>mobilizing</w:t>
            </w:r>
            <w:r w:rsidR="009A3446" w:rsidRPr="00C77E28">
              <w:rPr>
                <w:rFonts w:asciiTheme="minorHAnsi" w:hAnsiTheme="minorHAnsi" w:cstheme="minorHAnsi"/>
                <w:sz w:val="22"/>
                <w:szCs w:val="22"/>
              </w:rPr>
              <w:t xml:space="preserve"> additional funding for the creation of new financing instruments, based, among other things, on the country's capacity to </w:t>
            </w:r>
            <w:r w:rsidR="00497012" w:rsidRPr="00C77E28">
              <w:rPr>
                <w:rFonts w:asciiTheme="minorHAnsi" w:hAnsiTheme="minorHAnsi" w:cstheme="minorHAnsi"/>
                <w:sz w:val="22"/>
                <w:szCs w:val="22"/>
              </w:rPr>
              <w:t>provide</w:t>
            </w:r>
            <w:r w:rsidR="009A3446" w:rsidRPr="00C77E28">
              <w:rPr>
                <w:rFonts w:asciiTheme="minorHAnsi" w:hAnsiTheme="minorHAnsi" w:cstheme="minorHAnsi"/>
                <w:sz w:val="22"/>
                <w:szCs w:val="22"/>
              </w:rPr>
              <w:t xml:space="preserve"> ecosystem services for the climate, instruments that will also be essential for the establishment of infrastructure (transport, energy, etc.) necessary for the emergence of </w:t>
            </w:r>
            <w:r w:rsidR="00497012" w:rsidRPr="00C77E28">
              <w:rPr>
                <w:rFonts w:asciiTheme="minorHAnsi" w:hAnsiTheme="minorHAnsi" w:cstheme="minorHAnsi"/>
                <w:sz w:val="22"/>
                <w:szCs w:val="22"/>
              </w:rPr>
              <w:t>a</w:t>
            </w:r>
            <w:r w:rsidR="009A3446" w:rsidRPr="00C77E28">
              <w:rPr>
                <w:rFonts w:asciiTheme="minorHAnsi" w:hAnsiTheme="minorHAnsi" w:cstheme="minorHAnsi"/>
                <w:sz w:val="22"/>
                <w:szCs w:val="22"/>
              </w:rPr>
              <w:t xml:space="preserve"> green economy</w:t>
            </w:r>
            <w:r w:rsidR="00497012" w:rsidRPr="00C77E28">
              <w:rPr>
                <w:rFonts w:asciiTheme="minorHAnsi" w:hAnsiTheme="minorHAnsi" w:cstheme="minorHAnsi"/>
                <w:sz w:val="22"/>
                <w:szCs w:val="22"/>
              </w:rPr>
              <w:t xml:space="preserve"> that could reduce these inequalities</w:t>
            </w:r>
            <w:r w:rsidR="009A3446" w:rsidRPr="00C77E28">
              <w:rPr>
                <w:rFonts w:asciiTheme="minorHAnsi" w:hAnsiTheme="minorHAnsi" w:cstheme="minorHAnsi"/>
                <w:sz w:val="22"/>
                <w:szCs w:val="22"/>
              </w:rPr>
              <w:t xml:space="preserve"> (</w:t>
            </w:r>
            <w:r w:rsidR="00497012" w:rsidRPr="00C77E28">
              <w:rPr>
                <w:rFonts w:asciiTheme="minorHAnsi" w:hAnsiTheme="minorHAnsi" w:cstheme="minorHAnsi"/>
                <w:sz w:val="22"/>
                <w:szCs w:val="22"/>
              </w:rPr>
              <w:t xml:space="preserve"> job creation in </w:t>
            </w:r>
            <w:r w:rsidR="009A3446" w:rsidRPr="00C77E28">
              <w:rPr>
                <w:rFonts w:asciiTheme="minorHAnsi" w:hAnsiTheme="minorHAnsi" w:cstheme="minorHAnsi"/>
                <w:sz w:val="22"/>
                <w:szCs w:val="22"/>
              </w:rPr>
              <w:t xml:space="preserve">sustainable agriculture, exploitation of marine resources, eco-tourism, </w:t>
            </w:r>
            <w:proofErr w:type="spellStart"/>
            <w:r w:rsidR="009A3446" w:rsidRPr="00C77E28">
              <w:rPr>
                <w:rFonts w:asciiTheme="minorHAnsi" w:hAnsiTheme="minorHAnsi" w:cstheme="minorHAnsi"/>
                <w:sz w:val="22"/>
                <w:szCs w:val="22"/>
              </w:rPr>
              <w:t>agro</w:t>
            </w:r>
            <w:proofErr w:type="spellEnd"/>
            <w:r w:rsidR="009A3446" w:rsidRPr="00C77E28">
              <w:rPr>
                <w:rFonts w:asciiTheme="minorHAnsi" w:hAnsiTheme="minorHAnsi" w:cstheme="minorHAnsi"/>
                <w:sz w:val="22"/>
                <w:szCs w:val="22"/>
              </w:rPr>
              <w:t xml:space="preserve">-forestry, </w:t>
            </w:r>
            <w:proofErr w:type="spellStart"/>
            <w:r w:rsidR="009A3446" w:rsidRPr="00C77E28">
              <w:rPr>
                <w:rFonts w:asciiTheme="minorHAnsi" w:hAnsiTheme="minorHAnsi" w:cstheme="minorHAnsi"/>
                <w:sz w:val="22"/>
                <w:szCs w:val="22"/>
              </w:rPr>
              <w:t>ecosystem</w:t>
            </w:r>
            <w:r w:rsidR="00497012" w:rsidRPr="00C77E28">
              <w:rPr>
                <w:rFonts w:asciiTheme="minorHAnsi" w:hAnsiTheme="minorHAnsi" w:cstheme="minorHAnsi"/>
                <w:sz w:val="22"/>
                <w:szCs w:val="22"/>
              </w:rPr>
              <w:t>ic</w:t>
            </w:r>
            <w:proofErr w:type="spellEnd"/>
            <w:r w:rsidR="009A3446" w:rsidRPr="00C77E28">
              <w:rPr>
                <w:rFonts w:asciiTheme="minorHAnsi" w:hAnsiTheme="minorHAnsi" w:cstheme="minorHAnsi"/>
                <w:sz w:val="22"/>
                <w:szCs w:val="22"/>
              </w:rPr>
              <w:t xml:space="preserve"> services, </w:t>
            </w:r>
            <w:proofErr w:type="spellStart"/>
            <w:r w:rsidR="009A3446" w:rsidRPr="00C77E28">
              <w:rPr>
                <w:rFonts w:asciiTheme="minorHAnsi" w:hAnsiTheme="minorHAnsi" w:cstheme="minorHAnsi"/>
                <w:sz w:val="22"/>
                <w:szCs w:val="22"/>
              </w:rPr>
              <w:t>et</w:t>
            </w:r>
            <w:r w:rsidR="00497012" w:rsidRPr="00C77E28">
              <w:rPr>
                <w:rFonts w:asciiTheme="minorHAnsi" w:hAnsiTheme="minorHAnsi" w:cstheme="minorHAnsi"/>
                <w:sz w:val="22"/>
                <w:szCs w:val="22"/>
              </w:rPr>
              <w:t>c</w:t>
            </w:r>
            <w:proofErr w:type="spellEnd"/>
            <w:r w:rsidR="00497012" w:rsidRPr="00C77E28">
              <w:rPr>
                <w:rFonts w:asciiTheme="minorHAnsi" w:hAnsiTheme="minorHAnsi" w:cstheme="minorHAnsi"/>
                <w:sz w:val="22"/>
                <w:szCs w:val="22"/>
              </w:rPr>
              <w:t xml:space="preserve">). </w:t>
            </w:r>
          </w:p>
          <w:p w14:paraId="207A46DD" w14:textId="51F69720" w:rsidR="007D5CF2" w:rsidRPr="00C77E28" w:rsidRDefault="007D5CF2" w:rsidP="007D5CF2">
            <w:pPr>
              <w:pStyle w:val="ListParagraph"/>
              <w:spacing w:after="0" w:line="240" w:lineRule="auto"/>
              <w:ind w:left="0"/>
              <w:rPr>
                <w:rFonts w:asciiTheme="minorHAnsi" w:hAnsiTheme="minorHAnsi" w:cstheme="minorHAnsi"/>
                <w:sz w:val="22"/>
                <w:szCs w:val="22"/>
                <w:lang w:val="en-US"/>
              </w:rPr>
            </w:pPr>
          </w:p>
        </w:tc>
      </w:tr>
    </w:tbl>
    <w:p w14:paraId="56BFD9C6" w14:textId="77777777" w:rsidR="009962C4" w:rsidRPr="00C77E28" w:rsidRDefault="009962C4" w:rsidP="003521DB">
      <w:pPr>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3521DB" w:rsidRPr="00C77E28" w14:paraId="458B307C" w14:textId="77777777" w:rsidTr="00A45A03">
        <w:tc>
          <w:tcPr>
            <w:tcW w:w="14040" w:type="dxa"/>
          </w:tcPr>
          <w:p w14:paraId="660C5918" w14:textId="77777777" w:rsidR="003521DB" w:rsidRPr="00C77E28" w:rsidRDefault="003521DB" w:rsidP="00A45A03">
            <w:pPr>
              <w:rPr>
                <w:rFonts w:asciiTheme="minorHAnsi" w:hAnsiTheme="minorHAnsi" w:cstheme="minorHAnsi"/>
                <w:sz w:val="22"/>
                <w:szCs w:val="22"/>
                <w:u w:val="single"/>
              </w:rPr>
            </w:pPr>
            <w:r w:rsidRPr="00C77E28">
              <w:rPr>
                <w:rFonts w:asciiTheme="minorHAnsi" w:hAnsiTheme="minorHAnsi" w:cstheme="minorHAnsi"/>
                <w:sz w:val="22"/>
                <w:szCs w:val="22"/>
                <w:u w:val="single"/>
              </w:rPr>
              <w:t>Summary of evaluation findings (</w:t>
            </w:r>
            <w:proofErr w:type="gramStart"/>
            <w:r w:rsidRPr="00C77E28">
              <w:rPr>
                <w:rFonts w:asciiTheme="minorHAnsi" w:hAnsiTheme="minorHAnsi" w:cstheme="minorHAnsi"/>
                <w:i/>
                <w:sz w:val="22"/>
                <w:szCs w:val="22"/>
                <w:u w:val="single"/>
              </w:rPr>
              <w:t>e.g.</w:t>
            </w:r>
            <w:proofErr w:type="gramEnd"/>
            <w:r w:rsidRPr="00C77E28">
              <w:rPr>
                <w:rFonts w:asciiTheme="minorHAnsi" w:hAnsiTheme="minorHAnsi" w:cstheme="minorHAnsi"/>
                <w:i/>
                <w:sz w:val="22"/>
                <w:szCs w:val="22"/>
                <w:u w:val="single"/>
              </w:rPr>
              <w:t xml:space="preserve"> from outcome and project evaluations, UNDAF reviews, and other assessments</w:t>
            </w:r>
            <w:r w:rsidRPr="00C77E28">
              <w:rPr>
                <w:rFonts w:asciiTheme="minorHAnsi" w:hAnsiTheme="minorHAnsi" w:cstheme="minorHAnsi"/>
                <w:sz w:val="22"/>
                <w:szCs w:val="22"/>
                <w:u w:val="single"/>
              </w:rPr>
              <w:t>)</w:t>
            </w:r>
            <w:r w:rsidRPr="00C77E28">
              <w:rPr>
                <w:rStyle w:val="FootnoteReference"/>
                <w:rFonts w:asciiTheme="minorHAnsi" w:hAnsiTheme="minorHAnsi" w:cstheme="minorHAnsi"/>
                <w:sz w:val="22"/>
                <w:szCs w:val="22"/>
                <w:u w:val="single"/>
              </w:rPr>
              <w:footnoteReference w:id="3"/>
            </w:r>
          </w:p>
          <w:p w14:paraId="02C2D712" w14:textId="77777777" w:rsidR="003521DB" w:rsidRPr="00C77E28" w:rsidRDefault="003521DB" w:rsidP="00A45A03">
            <w:pPr>
              <w:jc w:val="both"/>
              <w:rPr>
                <w:rFonts w:asciiTheme="minorHAnsi" w:hAnsiTheme="minorHAnsi" w:cstheme="minorHAnsi"/>
                <w:sz w:val="22"/>
                <w:szCs w:val="22"/>
                <w:u w:val="single"/>
              </w:rPr>
            </w:pPr>
          </w:p>
          <w:p w14:paraId="07C18FDB" w14:textId="77777777" w:rsidR="003521DB" w:rsidRPr="00C77E28" w:rsidRDefault="003521DB" w:rsidP="00A45A03">
            <w:pPr>
              <w:jc w:val="both"/>
              <w:rPr>
                <w:rFonts w:asciiTheme="minorHAnsi" w:hAnsiTheme="minorHAnsi" w:cstheme="minorHAnsi"/>
                <w:b/>
                <w:sz w:val="22"/>
                <w:szCs w:val="22"/>
                <w:u w:val="single"/>
              </w:rPr>
            </w:pPr>
            <w:r w:rsidRPr="00C77E28">
              <w:rPr>
                <w:rFonts w:asciiTheme="minorHAnsi" w:hAnsiTheme="minorHAnsi" w:cstheme="minorHAnsi"/>
                <w:b/>
                <w:sz w:val="22"/>
                <w:szCs w:val="22"/>
                <w:u w:val="single"/>
              </w:rPr>
              <w:t xml:space="preserve">Effectiveness and Efficiency: </w:t>
            </w:r>
          </w:p>
          <w:p w14:paraId="27B86E86" w14:textId="77777777" w:rsidR="003521DB" w:rsidRPr="00C77E28" w:rsidRDefault="003521DB" w:rsidP="00A45A03">
            <w:pPr>
              <w:jc w:val="both"/>
              <w:rPr>
                <w:rFonts w:asciiTheme="minorHAnsi" w:hAnsiTheme="minorHAnsi" w:cstheme="minorHAnsi"/>
                <w:sz w:val="22"/>
                <w:szCs w:val="22"/>
              </w:rPr>
            </w:pPr>
          </w:p>
          <w:p w14:paraId="73AF1D15" w14:textId="018249BC" w:rsidR="007B2AD9" w:rsidRPr="00C77E28" w:rsidRDefault="009A3446" w:rsidP="008134D3">
            <w:pPr>
              <w:pStyle w:val="ListParagraph"/>
              <w:numPr>
                <w:ilvl w:val="0"/>
                <w:numId w:val="54"/>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The average level of achievement of the indicators of output 1 is 75%. UNDP has initiated a dynamic in the development of L</w:t>
            </w:r>
            <w:r w:rsidR="00497012" w:rsidRPr="00C77E28">
              <w:rPr>
                <w:rFonts w:asciiTheme="minorHAnsi" w:hAnsiTheme="minorHAnsi" w:cstheme="minorHAnsi"/>
                <w:sz w:val="22"/>
                <w:szCs w:val="22"/>
              </w:rPr>
              <w:t xml:space="preserve">ocal </w:t>
            </w:r>
            <w:r w:rsidRPr="00C77E28">
              <w:rPr>
                <w:rFonts w:asciiTheme="minorHAnsi" w:hAnsiTheme="minorHAnsi" w:cstheme="minorHAnsi"/>
                <w:sz w:val="22"/>
                <w:szCs w:val="22"/>
              </w:rPr>
              <w:t>D</w:t>
            </w:r>
            <w:r w:rsidR="00497012" w:rsidRPr="00C77E28">
              <w:rPr>
                <w:rFonts w:asciiTheme="minorHAnsi" w:hAnsiTheme="minorHAnsi" w:cstheme="minorHAnsi"/>
                <w:sz w:val="22"/>
                <w:szCs w:val="22"/>
              </w:rPr>
              <w:t xml:space="preserve">evelopment </w:t>
            </w:r>
            <w:r w:rsidRPr="00C77E28">
              <w:rPr>
                <w:rFonts w:asciiTheme="minorHAnsi" w:hAnsiTheme="minorHAnsi" w:cstheme="minorHAnsi"/>
                <w:sz w:val="22"/>
                <w:szCs w:val="22"/>
              </w:rPr>
              <w:t>P</w:t>
            </w:r>
            <w:r w:rsidR="00497012" w:rsidRPr="00C77E28">
              <w:rPr>
                <w:rFonts w:asciiTheme="minorHAnsi" w:hAnsiTheme="minorHAnsi" w:cstheme="minorHAnsi"/>
                <w:sz w:val="22"/>
                <w:szCs w:val="22"/>
              </w:rPr>
              <w:t>lan</w:t>
            </w:r>
            <w:r w:rsidRPr="00C77E28">
              <w:rPr>
                <w:rFonts w:asciiTheme="minorHAnsi" w:hAnsiTheme="minorHAnsi" w:cstheme="minorHAnsi"/>
                <w:sz w:val="22"/>
                <w:szCs w:val="22"/>
              </w:rPr>
              <w:t>s. This contribution is considered positive as stated in the report on the state of play of the implementation of the PDL. UNDP has been successful in integrating local development into the process of managing public services at the decentralized level.</w:t>
            </w:r>
          </w:p>
          <w:p w14:paraId="7C3C602A" w14:textId="1498CB89" w:rsidR="009A3446" w:rsidRPr="00C77E28" w:rsidRDefault="009A3446" w:rsidP="008134D3">
            <w:pPr>
              <w:pStyle w:val="ListParagraph"/>
              <w:numPr>
                <w:ilvl w:val="0"/>
                <w:numId w:val="54"/>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 xml:space="preserve">The implementation rate of interventions for </w:t>
            </w:r>
            <w:r w:rsidR="1FB65F91" w:rsidRPr="00C77E28">
              <w:rPr>
                <w:rFonts w:asciiTheme="minorHAnsi" w:hAnsiTheme="minorHAnsi" w:cstheme="minorHAnsi"/>
                <w:sz w:val="22"/>
                <w:szCs w:val="22"/>
              </w:rPr>
              <w:t>Output</w:t>
            </w:r>
            <w:r w:rsidRPr="00C77E28">
              <w:rPr>
                <w:rFonts w:asciiTheme="minorHAnsi" w:hAnsiTheme="minorHAnsi" w:cstheme="minorHAnsi"/>
                <w:sz w:val="22"/>
                <w:szCs w:val="22"/>
              </w:rPr>
              <w:t xml:space="preserve"> 2 is 80%.</w:t>
            </w:r>
            <w:r w:rsidR="00DA6655" w:rsidRPr="00C77E28">
              <w:rPr>
                <w:rFonts w:asciiTheme="minorHAnsi" w:hAnsiTheme="minorHAnsi" w:cstheme="minorHAnsi"/>
                <w:sz w:val="22"/>
                <w:szCs w:val="22"/>
              </w:rPr>
              <w:t xml:space="preserve"> T</w:t>
            </w:r>
            <w:r w:rsidRPr="00C77E28">
              <w:rPr>
                <w:rFonts w:asciiTheme="minorHAnsi" w:hAnsiTheme="minorHAnsi" w:cstheme="minorHAnsi"/>
                <w:sz w:val="22"/>
                <w:szCs w:val="22"/>
              </w:rPr>
              <w:t xml:space="preserve">here is a </w:t>
            </w:r>
            <w:r w:rsidR="00497012" w:rsidRPr="00C77E28">
              <w:rPr>
                <w:rFonts w:asciiTheme="minorHAnsi" w:hAnsiTheme="minorHAnsi" w:cstheme="minorHAnsi"/>
                <w:sz w:val="22"/>
                <w:szCs w:val="22"/>
              </w:rPr>
              <w:t>high</w:t>
            </w:r>
            <w:r w:rsidRPr="00C77E28">
              <w:rPr>
                <w:rFonts w:asciiTheme="minorHAnsi" w:hAnsiTheme="minorHAnsi" w:cstheme="minorHAnsi"/>
                <w:sz w:val="22"/>
                <w:szCs w:val="22"/>
              </w:rPr>
              <w:t xml:space="preserve"> level of integration of the SDGs into public policies supported by UNDP. Indeed, a monitoring report on the SDGs and the African Union's Agenda 2063 with updated and disaggregated data, published by national institutions was produced in 2021. Public institutions now have the capacity to integrate</w:t>
            </w:r>
            <w:r w:rsidR="00497012" w:rsidRPr="00C77E28">
              <w:rPr>
                <w:rFonts w:asciiTheme="minorHAnsi" w:hAnsiTheme="minorHAnsi" w:cstheme="minorHAnsi"/>
                <w:sz w:val="22"/>
                <w:szCs w:val="22"/>
              </w:rPr>
              <w:t xml:space="preserve"> and </w:t>
            </w:r>
            <w:r w:rsidRPr="00C77E28">
              <w:rPr>
                <w:rFonts w:asciiTheme="minorHAnsi" w:hAnsiTheme="minorHAnsi" w:cstheme="minorHAnsi"/>
                <w:sz w:val="22"/>
                <w:szCs w:val="22"/>
              </w:rPr>
              <w:t>develop</w:t>
            </w:r>
            <w:r w:rsidR="00497012" w:rsidRPr="00C77E28">
              <w:rPr>
                <w:rFonts w:asciiTheme="minorHAnsi" w:hAnsiTheme="minorHAnsi" w:cstheme="minorHAnsi"/>
                <w:sz w:val="22"/>
                <w:szCs w:val="22"/>
              </w:rPr>
              <w:t xml:space="preserve"> SDG-focused policies, while the</w:t>
            </w:r>
            <w:r w:rsidRPr="00C77E28">
              <w:rPr>
                <w:rFonts w:asciiTheme="minorHAnsi" w:hAnsiTheme="minorHAnsi" w:cstheme="minorHAnsi"/>
                <w:sz w:val="22"/>
                <w:szCs w:val="22"/>
              </w:rPr>
              <w:t xml:space="preserve"> monitor</w:t>
            </w:r>
            <w:r w:rsidR="00497012" w:rsidRPr="00C77E28">
              <w:rPr>
                <w:rFonts w:asciiTheme="minorHAnsi" w:hAnsiTheme="minorHAnsi" w:cstheme="minorHAnsi"/>
                <w:sz w:val="22"/>
                <w:szCs w:val="22"/>
              </w:rPr>
              <w:t xml:space="preserve">ing system </w:t>
            </w:r>
            <w:r w:rsidR="00B3473E" w:rsidRPr="00C77E28">
              <w:rPr>
                <w:rFonts w:asciiTheme="minorHAnsi" w:hAnsiTheme="minorHAnsi" w:cstheme="minorHAnsi"/>
                <w:sz w:val="22"/>
                <w:szCs w:val="22"/>
              </w:rPr>
              <w:t>must still</w:t>
            </w:r>
            <w:r w:rsidR="00497012" w:rsidRPr="00C77E28">
              <w:rPr>
                <w:rFonts w:asciiTheme="minorHAnsi" w:hAnsiTheme="minorHAnsi" w:cstheme="minorHAnsi"/>
                <w:sz w:val="22"/>
                <w:szCs w:val="22"/>
              </w:rPr>
              <w:t xml:space="preserve"> be </w:t>
            </w:r>
            <w:r w:rsidR="00B3473E" w:rsidRPr="00C77E28">
              <w:rPr>
                <w:rFonts w:asciiTheme="minorHAnsi" w:hAnsiTheme="minorHAnsi" w:cstheme="minorHAnsi"/>
                <w:sz w:val="22"/>
                <w:szCs w:val="22"/>
              </w:rPr>
              <w:t>strengthened</w:t>
            </w:r>
            <w:r w:rsidR="00DA6655" w:rsidRPr="00C77E28">
              <w:rPr>
                <w:rFonts w:asciiTheme="minorHAnsi" w:hAnsiTheme="minorHAnsi" w:cstheme="minorHAnsi"/>
                <w:sz w:val="22"/>
                <w:szCs w:val="22"/>
              </w:rPr>
              <w:t xml:space="preserve"> in the future</w:t>
            </w:r>
            <w:r w:rsidRPr="00C77E28">
              <w:rPr>
                <w:rFonts w:asciiTheme="minorHAnsi" w:hAnsiTheme="minorHAnsi" w:cstheme="minorHAnsi"/>
                <w:sz w:val="22"/>
                <w:szCs w:val="22"/>
              </w:rPr>
              <w:t>.</w:t>
            </w:r>
          </w:p>
          <w:p w14:paraId="19378D2D" w14:textId="7E90EC59" w:rsidR="00180C16" w:rsidRPr="00C77E28" w:rsidRDefault="00180C16" w:rsidP="008134D3">
            <w:pPr>
              <w:pStyle w:val="ListParagraph"/>
              <w:numPr>
                <w:ilvl w:val="0"/>
                <w:numId w:val="54"/>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 xml:space="preserve">UNDP's contribution to achieving the indicators and targets previously established for Output 3 is 63.5%. Indeed, the partnership with NGOs and civil society was relatively weak. It did not allow a multi-level dynamic to </w:t>
            </w:r>
            <w:r w:rsidR="002C0129" w:rsidRPr="00C77E28">
              <w:rPr>
                <w:rFonts w:asciiTheme="minorHAnsi" w:hAnsiTheme="minorHAnsi" w:cstheme="minorHAnsi"/>
                <w:sz w:val="22"/>
                <w:szCs w:val="22"/>
              </w:rPr>
              <w:t xml:space="preserve">deliver </w:t>
            </w:r>
            <w:r w:rsidRPr="00C77E28">
              <w:rPr>
                <w:rFonts w:asciiTheme="minorHAnsi" w:hAnsiTheme="minorHAnsi" w:cstheme="minorHAnsi"/>
                <w:sz w:val="22"/>
                <w:szCs w:val="22"/>
              </w:rPr>
              <w:t>basic social services, which in addition does not correspond to the comparative advantages of UNDP in the country.</w:t>
            </w:r>
          </w:p>
          <w:p w14:paraId="38D54D12" w14:textId="77777777" w:rsidR="00DF64F8" w:rsidRPr="00C77E28" w:rsidRDefault="007566A8" w:rsidP="008134D3">
            <w:pPr>
              <w:pStyle w:val="ListParagraph"/>
              <w:numPr>
                <w:ilvl w:val="0"/>
                <w:numId w:val="54"/>
              </w:numPr>
              <w:spacing w:line="240" w:lineRule="auto"/>
              <w:jc w:val="both"/>
              <w:rPr>
                <w:rFonts w:asciiTheme="minorHAnsi" w:hAnsiTheme="minorHAnsi" w:cstheme="minorHAnsi"/>
                <w:sz w:val="22"/>
                <w:szCs w:val="22"/>
              </w:rPr>
            </w:pPr>
            <w:r w:rsidRPr="00C77E28">
              <w:rPr>
                <w:rFonts w:asciiTheme="minorHAnsi" w:hAnsiTheme="minorHAnsi" w:cstheme="minorHAnsi"/>
                <w:sz w:val="22"/>
                <w:szCs w:val="22"/>
              </w:rPr>
              <w:t>The level of achievement of Output 4 is at an average rate of 51.5%. Interventions that targeted women and young people in disadvantaged areas previously focused essentially on local development initiatives. UNDP's contribution was mainly based on emergency projects to recover from the adverse effects of Covid 19</w:t>
            </w:r>
            <w:r w:rsidR="00615168" w:rsidRPr="00C77E28">
              <w:rPr>
                <w:rFonts w:asciiTheme="minorHAnsi" w:hAnsiTheme="minorHAnsi" w:cstheme="minorHAnsi"/>
                <w:sz w:val="22"/>
                <w:szCs w:val="22"/>
              </w:rPr>
              <w:t xml:space="preserve"> which helped achieving results but in a localized and reduced manner</w:t>
            </w:r>
            <w:r w:rsidRPr="00C77E28">
              <w:rPr>
                <w:rFonts w:asciiTheme="minorHAnsi" w:hAnsiTheme="minorHAnsi" w:cstheme="minorHAnsi"/>
                <w:sz w:val="22"/>
                <w:szCs w:val="22"/>
              </w:rPr>
              <w:t>.</w:t>
            </w:r>
          </w:p>
          <w:p w14:paraId="1529F63C" w14:textId="3CA7E3B9" w:rsidR="007B2AD9" w:rsidRPr="00C77E28" w:rsidRDefault="4A10752B" w:rsidP="008134D3">
            <w:pPr>
              <w:pStyle w:val="ListParagraph"/>
              <w:numPr>
                <w:ilvl w:val="0"/>
                <w:numId w:val="54"/>
              </w:numPr>
              <w:spacing w:line="240" w:lineRule="auto"/>
              <w:jc w:val="both"/>
              <w:rPr>
                <w:rFonts w:asciiTheme="minorHAnsi" w:hAnsiTheme="minorHAnsi" w:cstheme="minorHAnsi"/>
              </w:rPr>
            </w:pPr>
            <w:r w:rsidRPr="00C77E28">
              <w:rPr>
                <w:rFonts w:asciiTheme="minorHAnsi" w:hAnsiTheme="minorHAnsi" w:cstheme="minorHAnsi"/>
                <w:sz w:val="22"/>
                <w:szCs w:val="22"/>
              </w:rPr>
              <w:t xml:space="preserve">The achievement of Output 5 according to the indicators is at a level of 33%. This relatively low level is explained by the fact that most of the projects are still in progress or started just before the COVID19 pandemic, and activities were at half-mast due to movement restrictions. </w:t>
            </w:r>
            <w:r w:rsidR="2C55754F" w:rsidRPr="00C77E28">
              <w:rPr>
                <w:rFonts w:asciiTheme="minorHAnsi" w:hAnsiTheme="minorHAnsi" w:cstheme="minorHAnsi"/>
                <w:sz w:val="22"/>
                <w:szCs w:val="22"/>
              </w:rPr>
              <w:t>However, there is a strong potential for the development of</w:t>
            </w:r>
            <w:r w:rsidR="40FB7ACF" w:rsidRPr="00C77E28">
              <w:rPr>
                <w:rFonts w:asciiTheme="minorHAnsi" w:hAnsiTheme="minorHAnsi" w:cstheme="minorHAnsi"/>
                <w:sz w:val="22"/>
                <w:szCs w:val="22"/>
              </w:rPr>
              <w:t xml:space="preserve"> this area in the CO, considering the </w:t>
            </w:r>
            <w:r w:rsidR="00062498" w:rsidRPr="00C77E28">
              <w:rPr>
                <w:rFonts w:asciiTheme="minorHAnsi" w:hAnsiTheme="minorHAnsi" w:cstheme="minorHAnsi"/>
                <w:sz w:val="22"/>
                <w:szCs w:val="22"/>
              </w:rPr>
              <w:t>Government</w:t>
            </w:r>
            <w:r w:rsidR="00C219AD" w:rsidRPr="00C77E28">
              <w:rPr>
                <w:rFonts w:asciiTheme="minorHAnsi" w:hAnsiTheme="minorHAnsi" w:cstheme="minorHAnsi"/>
                <w:sz w:val="22"/>
                <w:szCs w:val="22"/>
              </w:rPr>
              <w:t>’s</w:t>
            </w:r>
            <w:r w:rsidR="40FB7ACF" w:rsidRPr="00C77E28">
              <w:rPr>
                <w:rFonts w:asciiTheme="minorHAnsi" w:hAnsiTheme="minorHAnsi" w:cstheme="minorHAnsi"/>
                <w:sz w:val="22"/>
                <w:szCs w:val="22"/>
              </w:rPr>
              <w:t xml:space="preserve"> trust and UNDP expertise at a regional and global level. </w:t>
            </w:r>
          </w:p>
          <w:p w14:paraId="1BDD043A" w14:textId="6CE9ACD5" w:rsidR="003A04B5" w:rsidRPr="00C77E28" w:rsidRDefault="003A04B5" w:rsidP="00A24F9A">
            <w:pPr>
              <w:jc w:val="both"/>
              <w:rPr>
                <w:rFonts w:asciiTheme="minorHAnsi" w:hAnsiTheme="minorHAnsi" w:cstheme="minorHAnsi"/>
                <w:color w:val="000000"/>
                <w:sz w:val="22"/>
                <w:szCs w:val="22"/>
              </w:rPr>
            </w:pPr>
            <w:r w:rsidRPr="00C77E28">
              <w:rPr>
                <w:rFonts w:asciiTheme="minorHAnsi" w:hAnsiTheme="minorHAnsi" w:cstheme="minorHAnsi"/>
                <w:color w:val="000000"/>
                <w:sz w:val="22"/>
                <w:szCs w:val="22"/>
              </w:rPr>
              <w:t xml:space="preserve">Globally, the </w:t>
            </w:r>
            <w:r w:rsidR="00287514" w:rsidRPr="00C77E28">
              <w:rPr>
                <w:rFonts w:asciiTheme="minorHAnsi" w:hAnsiTheme="minorHAnsi" w:cstheme="minorHAnsi"/>
                <w:color w:val="000000"/>
                <w:sz w:val="22"/>
                <w:szCs w:val="22"/>
              </w:rPr>
              <w:t>independent</w:t>
            </w:r>
            <w:r w:rsidRPr="00C77E28">
              <w:rPr>
                <w:rFonts w:asciiTheme="minorHAnsi" w:hAnsiTheme="minorHAnsi" w:cstheme="minorHAnsi"/>
                <w:color w:val="000000"/>
                <w:sz w:val="22"/>
                <w:szCs w:val="22"/>
              </w:rPr>
              <w:t xml:space="preserve"> evaluation of the CPD noted that the effectiveness of the country program was dependent on a set of parameters that ma</w:t>
            </w:r>
            <w:r w:rsidR="00F90B52" w:rsidRPr="00C77E28">
              <w:rPr>
                <w:rFonts w:asciiTheme="minorHAnsi" w:hAnsiTheme="minorHAnsi" w:cstheme="minorHAnsi"/>
                <w:color w:val="000000"/>
                <w:sz w:val="22"/>
                <w:szCs w:val="22"/>
              </w:rPr>
              <w:t>d</w:t>
            </w:r>
            <w:r w:rsidRPr="00C77E28">
              <w:rPr>
                <w:rFonts w:asciiTheme="minorHAnsi" w:hAnsiTheme="minorHAnsi" w:cstheme="minorHAnsi"/>
                <w:color w:val="000000"/>
                <w:sz w:val="22"/>
                <w:szCs w:val="22"/>
              </w:rPr>
              <w:t xml:space="preserve">e it moderately operational. The nature of the projects is most often characterized by “quick wins” (quick impact projects) while activities are undertaken for products to be obtained in the medium term. </w:t>
            </w:r>
          </w:p>
          <w:p w14:paraId="2929AE4A" w14:textId="77777777" w:rsidR="003A04B5" w:rsidRPr="00C77E28" w:rsidRDefault="003A04B5" w:rsidP="00A24F9A">
            <w:pPr>
              <w:jc w:val="both"/>
              <w:rPr>
                <w:rFonts w:asciiTheme="minorHAnsi" w:hAnsiTheme="minorHAnsi" w:cstheme="minorHAnsi"/>
                <w:color w:val="000000"/>
                <w:sz w:val="22"/>
                <w:szCs w:val="22"/>
              </w:rPr>
            </w:pPr>
          </w:p>
          <w:p w14:paraId="3BE5A426" w14:textId="037E6BBF" w:rsidR="003953EA" w:rsidRPr="00C77E28" w:rsidRDefault="096315DE" w:rsidP="008134D3">
            <w:pPr>
              <w:jc w:val="both"/>
              <w:rPr>
                <w:rFonts w:asciiTheme="minorHAnsi" w:hAnsiTheme="minorHAnsi" w:cstheme="minorHAnsi"/>
              </w:rPr>
            </w:pPr>
            <w:r w:rsidRPr="00C77E28">
              <w:rPr>
                <w:rFonts w:asciiTheme="minorHAnsi" w:hAnsiTheme="minorHAnsi" w:cstheme="minorHAnsi"/>
                <w:sz w:val="22"/>
                <w:szCs w:val="22"/>
              </w:rPr>
              <w:t>The average achievement rate</w:t>
            </w:r>
            <w:r w:rsidR="00287514" w:rsidRPr="00C77E28">
              <w:rPr>
                <w:rFonts w:asciiTheme="minorHAnsi" w:hAnsiTheme="minorHAnsi" w:cstheme="minorHAnsi"/>
                <w:sz w:val="22"/>
                <w:szCs w:val="22"/>
              </w:rPr>
              <w:t>/</w:t>
            </w:r>
            <w:r w:rsidRPr="00C77E28">
              <w:rPr>
                <w:rFonts w:asciiTheme="minorHAnsi" w:hAnsiTheme="minorHAnsi" w:cstheme="minorHAnsi"/>
                <w:sz w:val="22"/>
                <w:szCs w:val="22"/>
              </w:rPr>
              <w:t xml:space="preserve">financial execution rate ratio </w:t>
            </w:r>
            <w:r w:rsidR="004D4FC0" w:rsidRPr="00C77E28">
              <w:rPr>
                <w:rFonts w:asciiTheme="minorHAnsi" w:hAnsiTheme="minorHAnsi" w:cstheme="minorHAnsi"/>
                <w:sz w:val="22"/>
                <w:szCs w:val="22"/>
              </w:rPr>
              <w:t>was</w:t>
            </w:r>
            <w:r w:rsidRPr="00C77E28">
              <w:rPr>
                <w:rFonts w:asciiTheme="minorHAnsi" w:hAnsiTheme="minorHAnsi" w:cstheme="minorHAnsi"/>
                <w:sz w:val="22"/>
                <w:szCs w:val="22"/>
              </w:rPr>
              <w:t xml:space="preserve"> 107% </w:t>
            </w:r>
            <w:r w:rsidR="412F46B9" w:rsidRPr="00C77E28">
              <w:rPr>
                <w:rFonts w:asciiTheme="minorHAnsi" w:hAnsiTheme="minorHAnsi" w:cstheme="minorHAnsi"/>
                <w:sz w:val="22"/>
                <w:szCs w:val="22"/>
              </w:rPr>
              <w:t>as of</w:t>
            </w:r>
            <w:r w:rsidRPr="00C77E28">
              <w:rPr>
                <w:rFonts w:asciiTheme="minorHAnsi" w:hAnsiTheme="minorHAnsi" w:cstheme="minorHAnsi"/>
                <w:sz w:val="22"/>
                <w:szCs w:val="22"/>
              </w:rPr>
              <w:t xml:space="preserve"> March 2022. This indicates a good rational use of resources in absolute value. However, a more in-depth analysis shows a disparate situation by </w:t>
            </w:r>
            <w:proofErr w:type="spellStart"/>
            <w:r w:rsidR="005138E7" w:rsidRPr="00C77E28">
              <w:rPr>
                <w:rFonts w:asciiTheme="minorHAnsi" w:hAnsiTheme="minorHAnsi" w:cstheme="minorHAnsi"/>
                <w:sz w:val="22"/>
                <w:szCs w:val="22"/>
              </w:rPr>
              <w:t>ouputs</w:t>
            </w:r>
            <w:proofErr w:type="spellEnd"/>
            <w:r w:rsidR="003953EA" w:rsidRPr="00C77E28">
              <w:rPr>
                <w:rFonts w:asciiTheme="minorHAnsi" w:hAnsiTheme="minorHAnsi" w:cstheme="minorHAnsi"/>
                <w:sz w:val="22"/>
                <w:szCs w:val="22"/>
              </w:rPr>
              <w:t>.</w:t>
            </w:r>
            <w:r w:rsidRPr="00C77E28">
              <w:rPr>
                <w:rFonts w:asciiTheme="minorHAnsi" w:hAnsiTheme="minorHAnsi" w:cstheme="minorHAnsi"/>
                <w:sz w:val="22"/>
                <w:szCs w:val="22"/>
              </w:rPr>
              <w:t xml:space="preserve"> Indeed </w:t>
            </w:r>
            <w:r w:rsidR="641509F2" w:rsidRPr="00C77E28">
              <w:rPr>
                <w:rFonts w:asciiTheme="minorHAnsi" w:hAnsiTheme="minorHAnsi" w:cstheme="minorHAnsi"/>
                <w:sz w:val="22"/>
                <w:szCs w:val="22"/>
              </w:rPr>
              <w:t xml:space="preserve">Output </w:t>
            </w:r>
            <w:r w:rsidRPr="00C77E28">
              <w:rPr>
                <w:rFonts w:asciiTheme="minorHAnsi" w:hAnsiTheme="minorHAnsi" w:cstheme="minorHAnsi"/>
                <w:sz w:val="22"/>
                <w:szCs w:val="22"/>
              </w:rPr>
              <w:t xml:space="preserve">3 seems to record the highest efficiency with 122% and </w:t>
            </w:r>
            <w:r w:rsidR="641509F2" w:rsidRPr="00C77E28">
              <w:rPr>
                <w:rFonts w:asciiTheme="minorHAnsi" w:hAnsiTheme="minorHAnsi" w:cstheme="minorHAnsi"/>
                <w:sz w:val="22"/>
                <w:szCs w:val="22"/>
              </w:rPr>
              <w:t xml:space="preserve">Output </w:t>
            </w:r>
            <w:r w:rsidRPr="00C77E28">
              <w:rPr>
                <w:rFonts w:asciiTheme="minorHAnsi" w:hAnsiTheme="minorHAnsi" w:cstheme="minorHAnsi"/>
                <w:sz w:val="22"/>
                <w:szCs w:val="22"/>
              </w:rPr>
              <w:t>5 on the other hand represents the lowest efficiency 65%. This can be understood by UNDP's commitment with other United Nations agencies to support the government in its response to the C</w:t>
            </w:r>
            <w:r w:rsidR="641509F2" w:rsidRPr="00C77E28">
              <w:rPr>
                <w:rFonts w:asciiTheme="minorHAnsi" w:hAnsiTheme="minorHAnsi" w:cstheme="minorHAnsi"/>
                <w:sz w:val="22"/>
                <w:szCs w:val="22"/>
              </w:rPr>
              <w:t>OVID-</w:t>
            </w:r>
            <w:r w:rsidRPr="00C77E28">
              <w:rPr>
                <w:rFonts w:asciiTheme="minorHAnsi" w:hAnsiTheme="minorHAnsi" w:cstheme="minorHAnsi"/>
                <w:sz w:val="22"/>
                <w:szCs w:val="22"/>
              </w:rPr>
              <w:t>19 health crisis with additional resources. Output 5 still represents a volume of activities to be implemented for the rest of the program cycle (8 months)</w:t>
            </w:r>
            <w:r w:rsidR="641509F2" w:rsidRPr="00C77E28">
              <w:rPr>
                <w:rFonts w:asciiTheme="minorHAnsi" w:hAnsiTheme="minorHAnsi" w:cstheme="minorHAnsi"/>
                <w:sz w:val="22"/>
                <w:szCs w:val="22"/>
              </w:rPr>
              <w:t xml:space="preserve"> for which some of the activities will be extended and overlap in the new cycle (2023-2028). </w:t>
            </w:r>
          </w:p>
          <w:p w14:paraId="50C26570" w14:textId="5A8FD385" w:rsidR="003521DB" w:rsidRPr="00C77E28" w:rsidRDefault="00482C63" w:rsidP="00A45A03">
            <w:pPr>
              <w:jc w:val="both"/>
              <w:rPr>
                <w:rFonts w:asciiTheme="minorHAnsi" w:hAnsiTheme="minorHAnsi" w:cstheme="minorHAnsi"/>
                <w:b/>
                <w:sz w:val="22"/>
                <w:szCs w:val="22"/>
              </w:rPr>
            </w:pPr>
            <w:r>
              <w:rPr>
                <w:rFonts w:asciiTheme="minorHAnsi" w:hAnsiTheme="minorHAnsi" w:cstheme="minorHAnsi"/>
                <w:b/>
                <w:sz w:val="22"/>
                <w:szCs w:val="22"/>
                <w:u w:val="single"/>
              </w:rPr>
              <w:lastRenderedPageBreak/>
              <w:t>K</w:t>
            </w:r>
            <w:r w:rsidR="003521DB" w:rsidRPr="00C77E28">
              <w:rPr>
                <w:rFonts w:asciiTheme="minorHAnsi" w:hAnsiTheme="minorHAnsi" w:cstheme="minorHAnsi"/>
                <w:b/>
                <w:sz w:val="22"/>
                <w:szCs w:val="22"/>
                <w:u w:val="single"/>
              </w:rPr>
              <w:t>ey Achievements</w:t>
            </w:r>
            <w:r w:rsidR="003521DB" w:rsidRPr="00C77E28">
              <w:rPr>
                <w:rFonts w:asciiTheme="minorHAnsi" w:hAnsiTheme="minorHAnsi" w:cstheme="minorHAnsi"/>
                <w:b/>
                <w:sz w:val="22"/>
                <w:szCs w:val="22"/>
              </w:rPr>
              <w:t>:</w:t>
            </w:r>
          </w:p>
          <w:p w14:paraId="7EA04E96" w14:textId="77777777" w:rsidR="007822EC" w:rsidRPr="00C77E28" w:rsidRDefault="007822EC" w:rsidP="007822EC">
            <w:pPr>
              <w:pStyle w:val="BodyText2"/>
              <w:jc w:val="both"/>
              <w:rPr>
                <w:rFonts w:asciiTheme="minorHAnsi" w:hAnsiTheme="minorHAnsi" w:cstheme="minorHAnsi"/>
                <w:sz w:val="22"/>
                <w:szCs w:val="22"/>
              </w:rPr>
            </w:pPr>
          </w:p>
          <w:p w14:paraId="7C23B4F4" w14:textId="3DEB71AB" w:rsidR="00B11B17" w:rsidRPr="00C77E28" w:rsidRDefault="00C945BF" w:rsidP="00B11B17">
            <w:pPr>
              <w:autoSpaceDE w:val="0"/>
              <w:autoSpaceDN w:val="0"/>
              <w:adjustRightInd w:val="0"/>
              <w:jc w:val="both"/>
              <w:rPr>
                <w:rFonts w:asciiTheme="minorHAnsi" w:hAnsiTheme="minorHAnsi" w:cstheme="minorHAnsi"/>
                <w:color w:val="000000"/>
                <w:sz w:val="22"/>
                <w:szCs w:val="22"/>
              </w:rPr>
            </w:pPr>
            <w:r w:rsidRPr="00C77E28">
              <w:rPr>
                <w:rFonts w:asciiTheme="minorHAnsi" w:hAnsiTheme="minorHAnsi" w:cstheme="minorHAnsi"/>
                <w:color w:val="000000" w:themeColor="text1"/>
                <w:sz w:val="22"/>
                <w:szCs w:val="22"/>
              </w:rPr>
              <w:t xml:space="preserve">Evaluations found that </w:t>
            </w:r>
            <w:r w:rsidR="00B11B17" w:rsidRPr="00C77E28">
              <w:rPr>
                <w:rFonts w:asciiTheme="minorHAnsi" w:hAnsiTheme="minorHAnsi" w:cstheme="minorHAnsi"/>
                <w:color w:val="000000" w:themeColor="text1"/>
                <w:sz w:val="22"/>
                <w:szCs w:val="22"/>
              </w:rPr>
              <w:t xml:space="preserve">projects in execution have produced substantive results. In the field of environmental protection, </w:t>
            </w:r>
            <w:r w:rsidR="4F682EBF" w:rsidRPr="00C77E28">
              <w:rPr>
                <w:rFonts w:asciiTheme="minorHAnsi" w:hAnsiTheme="minorHAnsi" w:cstheme="minorHAnsi"/>
                <w:color w:val="000000" w:themeColor="text1"/>
                <w:sz w:val="22"/>
                <w:szCs w:val="22"/>
              </w:rPr>
              <w:t>the Government</w:t>
            </w:r>
            <w:r w:rsidR="00991E6E" w:rsidRPr="00C77E28">
              <w:rPr>
                <w:rFonts w:asciiTheme="minorHAnsi" w:hAnsiTheme="minorHAnsi" w:cstheme="minorHAnsi"/>
                <w:color w:val="000000" w:themeColor="text1"/>
                <w:sz w:val="22"/>
                <w:szCs w:val="22"/>
              </w:rPr>
              <w:t xml:space="preserve"> </w:t>
            </w:r>
            <w:r w:rsidR="00B11B17" w:rsidRPr="00C77E28">
              <w:rPr>
                <w:rFonts w:asciiTheme="minorHAnsi" w:hAnsiTheme="minorHAnsi" w:cstheme="minorHAnsi"/>
                <w:color w:val="000000" w:themeColor="text1"/>
                <w:sz w:val="22"/>
                <w:szCs w:val="22"/>
              </w:rPr>
              <w:t>note</w:t>
            </w:r>
            <w:r w:rsidR="00002EC0" w:rsidRPr="00C77E28">
              <w:rPr>
                <w:rFonts w:asciiTheme="minorHAnsi" w:hAnsiTheme="minorHAnsi" w:cstheme="minorHAnsi"/>
                <w:color w:val="000000" w:themeColor="text1"/>
                <w:sz w:val="22"/>
                <w:szCs w:val="22"/>
              </w:rPr>
              <w:t>d</w:t>
            </w:r>
            <w:r w:rsidR="00B11B17" w:rsidRPr="00C77E28">
              <w:rPr>
                <w:rFonts w:asciiTheme="minorHAnsi" w:hAnsiTheme="minorHAnsi" w:cstheme="minorHAnsi"/>
                <w:color w:val="000000" w:themeColor="text1"/>
                <w:sz w:val="22"/>
                <w:szCs w:val="22"/>
              </w:rPr>
              <w:t xml:space="preserve"> the official adoption of the National Strategy for Sustainable Financing of Protected Areas and the designation of the two pilot sites (</w:t>
            </w:r>
            <w:proofErr w:type="spellStart"/>
            <w:r w:rsidR="00B11B17" w:rsidRPr="00C77E28">
              <w:rPr>
                <w:rFonts w:asciiTheme="minorHAnsi" w:hAnsiTheme="minorHAnsi" w:cstheme="minorHAnsi"/>
                <w:color w:val="000000" w:themeColor="text1"/>
                <w:sz w:val="22"/>
                <w:szCs w:val="22"/>
              </w:rPr>
              <w:t>Ivindo</w:t>
            </w:r>
            <w:proofErr w:type="spellEnd"/>
            <w:r w:rsidR="00B11B17" w:rsidRPr="00C77E28">
              <w:rPr>
                <w:rFonts w:asciiTheme="minorHAnsi" w:hAnsiTheme="minorHAnsi" w:cstheme="minorHAnsi"/>
                <w:color w:val="000000" w:themeColor="text1"/>
                <w:sz w:val="22"/>
                <w:szCs w:val="22"/>
              </w:rPr>
              <w:t xml:space="preserve"> Nation Park and </w:t>
            </w:r>
            <w:proofErr w:type="spellStart"/>
            <w:r w:rsidR="00B11B17" w:rsidRPr="00C77E28">
              <w:rPr>
                <w:rFonts w:asciiTheme="minorHAnsi" w:hAnsiTheme="minorHAnsi" w:cstheme="minorHAnsi"/>
                <w:color w:val="000000" w:themeColor="text1"/>
                <w:sz w:val="22"/>
                <w:szCs w:val="22"/>
              </w:rPr>
              <w:t>Louango</w:t>
            </w:r>
            <w:proofErr w:type="spellEnd"/>
            <w:r w:rsidR="00B11B17" w:rsidRPr="00C77E28">
              <w:rPr>
                <w:rFonts w:asciiTheme="minorHAnsi" w:hAnsiTheme="minorHAnsi" w:cstheme="minorHAnsi"/>
                <w:color w:val="000000" w:themeColor="text1"/>
                <w:sz w:val="22"/>
                <w:szCs w:val="22"/>
              </w:rPr>
              <w:t xml:space="preserve"> National Park) for the implementation of </w:t>
            </w:r>
            <w:r w:rsidR="00574056" w:rsidRPr="00C77E28">
              <w:rPr>
                <w:rFonts w:asciiTheme="minorHAnsi" w:hAnsiTheme="minorHAnsi" w:cstheme="minorHAnsi"/>
                <w:color w:val="000000" w:themeColor="text1"/>
                <w:sz w:val="22"/>
                <w:szCs w:val="22"/>
              </w:rPr>
              <w:t>Income</w:t>
            </w:r>
            <w:r w:rsidR="00D14396" w:rsidRPr="00C77E28">
              <w:rPr>
                <w:rFonts w:asciiTheme="minorHAnsi" w:hAnsiTheme="minorHAnsi" w:cstheme="minorHAnsi"/>
                <w:color w:val="000000" w:themeColor="text1"/>
                <w:sz w:val="22"/>
                <w:szCs w:val="22"/>
              </w:rPr>
              <w:t xml:space="preserve"> </w:t>
            </w:r>
            <w:r w:rsidR="00574056" w:rsidRPr="00C77E28">
              <w:rPr>
                <w:rFonts w:asciiTheme="minorHAnsi" w:hAnsiTheme="minorHAnsi" w:cstheme="minorHAnsi"/>
                <w:color w:val="000000" w:themeColor="text1"/>
                <w:sz w:val="22"/>
                <w:szCs w:val="22"/>
              </w:rPr>
              <w:t>generating activities</w:t>
            </w:r>
            <w:r w:rsidR="00B11B17" w:rsidRPr="00C77E28">
              <w:rPr>
                <w:rFonts w:asciiTheme="minorHAnsi" w:hAnsiTheme="minorHAnsi" w:cstheme="minorHAnsi"/>
                <w:color w:val="000000" w:themeColor="text1"/>
                <w:sz w:val="22"/>
                <w:szCs w:val="22"/>
              </w:rPr>
              <w:t xml:space="preserve"> as a resilience strategy during the Covid-19 period. In terms of climate information, UNDP helped </w:t>
            </w:r>
            <w:r w:rsidR="00A61B5D" w:rsidRPr="00C77E28">
              <w:rPr>
                <w:rFonts w:asciiTheme="minorHAnsi" w:hAnsiTheme="minorHAnsi" w:cstheme="minorHAnsi"/>
                <w:color w:val="000000" w:themeColor="text1"/>
                <w:sz w:val="22"/>
                <w:szCs w:val="22"/>
              </w:rPr>
              <w:t>strengthening</w:t>
            </w:r>
            <w:r w:rsidR="00B11B17" w:rsidRPr="00C77E28">
              <w:rPr>
                <w:rFonts w:asciiTheme="minorHAnsi" w:hAnsiTheme="minorHAnsi" w:cstheme="minorHAnsi"/>
                <w:color w:val="000000" w:themeColor="text1"/>
                <w:sz w:val="22"/>
                <w:szCs w:val="22"/>
              </w:rPr>
              <w:t xml:space="preserve"> the national meteorological system with the installation of 6 automatic weather stations in the coastal area. This work focusing on environment and climate change allowed the office to rebuild its service offer in the country. As of today, 30 million USD </w:t>
            </w:r>
            <w:r w:rsidR="002048C8" w:rsidRPr="00C77E28">
              <w:rPr>
                <w:rFonts w:asciiTheme="minorHAnsi" w:hAnsiTheme="minorHAnsi" w:cstheme="minorHAnsi"/>
                <w:color w:val="000000" w:themeColor="text1"/>
                <w:sz w:val="22"/>
                <w:szCs w:val="22"/>
              </w:rPr>
              <w:t xml:space="preserve">has been </w:t>
            </w:r>
            <w:r w:rsidR="00B11B17" w:rsidRPr="00C77E28">
              <w:rPr>
                <w:rFonts w:asciiTheme="minorHAnsi" w:hAnsiTheme="minorHAnsi" w:cstheme="minorHAnsi"/>
                <w:color w:val="000000" w:themeColor="text1"/>
                <w:sz w:val="22"/>
                <w:szCs w:val="22"/>
              </w:rPr>
              <w:t xml:space="preserve">mobilized, including 23 million USD as the first ever GHG removal’s result-based payment for an African country. </w:t>
            </w:r>
          </w:p>
          <w:p w14:paraId="00E1E45D" w14:textId="77777777" w:rsidR="00B11B17" w:rsidRPr="00C77E28" w:rsidRDefault="00B11B17" w:rsidP="00B11B17">
            <w:pPr>
              <w:autoSpaceDE w:val="0"/>
              <w:autoSpaceDN w:val="0"/>
              <w:adjustRightInd w:val="0"/>
              <w:jc w:val="both"/>
              <w:rPr>
                <w:rFonts w:asciiTheme="minorHAnsi" w:hAnsiTheme="minorHAnsi" w:cstheme="minorHAnsi"/>
                <w:color w:val="000000"/>
                <w:sz w:val="22"/>
                <w:szCs w:val="22"/>
              </w:rPr>
            </w:pPr>
          </w:p>
          <w:p w14:paraId="212EE539" w14:textId="3B3AFB48" w:rsidR="00996CCA" w:rsidRPr="00C77E28" w:rsidRDefault="00B11B17" w:rsidP="00B11B17">
            <w:pPr>
              <w:autoSpaceDE w:val="0"/>
              <w:autoSpaceDN w:val="0"/>
              <w:adjustRightInd w:val="0"/>
              <w:jc w:val="both"/>
              <w:rPr>
                <w:rFonts w:asciiTheme="minorHAnsi" w:hAnsiTheme="minorHAnsi" w:cstheme="minorHAnsi"/>
                <w:sz w:val="22"/>
                <w:szCs w:val="22"/>
              </w:rPr>
            </w:pPr>
            <w:r w:rsidRPr="00C77E28">
              <w:rPr>
                <w:rFonts w:asciiTheme="minorHAnsi" w:hAnsiTheme="minorHAnsi" w:cstheme="minorHAnsi"/>
                <w:color w:val="000000" w:themeColor="text1"/>
                <w:sz w:val="22"/>
                <w:szCs w:val="22"/>
              </w:rPr>
              <w:t>In the field of good governance and fight against corruption, a partnership with the European Union and UNOCA helped strengthen</w:t>
            </w:r>
            <w:r w:rsidR="00EB3EEB" w:rsidRPr="00C77E28">
              <w:rPr>
                <w:rFonts w:asciiTheme="minorHAnsi" w:hAnsiTheme="minorHAnsi" w:cstheme="minorHAnsi"/>
                <w:color w:val="000000" w:themeColor="text1"/>
                <w:sz w:val="22"/>
                <w:szCs w:val="22"/>
              </w:rPr>
              <w:t>ing</w:t>
            </w:r>
            <w:r w:rsidRPr="00C77E28">
              <w:rPr>
                <w:rFonts w:asciiTheme="minorHAnsi" w:hAnsiTheme="minorHAnsi" w:cstheme="minorHAnsi"/>
                <w:color w:val="000000" w:themeColor="text1"/>
                <w:sz w:val="22"/>
                <w:szCs w:val="22"/>
              </w:rPr>
              <w:t xml:space="preserve"> the capacities of the National Human Rights Commission (CNDH), the General Directorate of the Ministry of Justice and Civil Society during the sensitive post-election time. The project supported the creation of the National Mechanism for Dialogue </w:t>
            </w:r>
            <w:r w:rsidR="00A61B5D" w:rsidRPr="00C77E28">
              <w:rPr>
                <w:rFonts w:asciiTheme="minorHAnsi" w:hAnsiTheme="minorHAnsi" w:cstheme="minorHAnsi"/>
                <w:color w:val="000000" w:themeColor="text1"/>
                <w:sz w:val="22"/>
                <w:szCs w:val="22"/>
              </w:rPr>
              <w:t>and</w:t>
            </w:r>
            <w:r w:rsidRPr="00C77E28">
              <w:rPr>
                <w:rFonts w:asciiTheme="minorHAnsi" w:hAnsiTheme="minorHAnsi" w:cstheme="minorHAnsi"/>
                <w:color w:val="000000" w:themeColor="text1"/>
                <w:sz w:val="22"/>
                <w:szCs w:val="22"/>
              </w:rPr>
              <w:t xml:space="preserve"> Exchange bringing together civil society, the CNDH and the Ministry of Justice – entities that were unable to dialogue </w:t>
            </w:r>
            <w:r w:rsidR="00D84DFA" w:rsidRPr="00C77E28">
              <w:rPr>
                <w:rFonts w:asciiTheme="minorHAnsi" w:hAnsiTheme="minorHAnsi" w:cstheme="minorHAnsi"/>
                <w:color w:val="000000" w:themeColor="text1"/>
                <w:sz w:val="22"/>
                <w:szCs w:val="22"/>
              </w:rPr>
              <w:t>in</w:t>
            </w:r>
            <w:r w:rsidRPr="00C77E28">
              <w:rPr>
                <w:rFonts w:asciiTheme="minorHAnsi" w:hAnsiTheme="minorHAnsi" w:cstheme="minorHAnsi"/>
                <w:color w:val="000000" w:themeColor="text1"/>
                <w:sz w:val="22"/>
                <w:szCs w:val="22"/>
              </w:rPr>
              <w:t xml:space="preserve"> previous years. Consistent training was provided to the members of the penal chain to prevent detainees’ human rights violation. </w:t>
            </w:r>
            <w:r w:rsidR="00A7014D" w:rsidRPr="00C77E28">
              <w:rPr>
                <w:rFonts w:asciiTheme="minorHAnsi" w:hAnsiTheme="minorHAnsi" w:cstheme="minorHAnsi"/>
                <w:color w:val="000000" w:themeColor="text1"/>
                <w:sz w:val="22"/>
                <w:szCs w:val="22"/>
              </w:rPr>
              <w:t xml:space="preserve">The country </w:t>
            </w:r>
            <w:r w:rsidR="001B5932" w:rsidRPr="00C77E28">
              <w:rPr>
                <w:rFonts w:asciiTheme="minorHAnsi" w:hAnsiTheme="minorHAnsi" w:cstheme="minorHAnsi"/>
                <w:color w:val="000000" w:themeColor="text1"/>
                <w:sz w:val="22"/>
                <w:szCs w:val="22"/>
              </w:rPr>
              <w:t>o</w:t>
            </w:r>
            <w:r w:rsidRPr="00C77E28">
              <w:rPr>
                <w:rFonts w:asciiTheme="minorHAnsi" w:hAnsiTheme="minorHAnsi" w:cstheme="minorHAnsi"/>
                <w:color w:val="000000" w:themeColor="text1"/>
                <w:sz w:val="22"/>
                <w:szCs w:val="22"/>
              </w:rPr>
              <w:t>ffice has positioned itself as a major player in the COVID-19 response with funding of 350,000</w:t>
            </w:r>
            <w:r w:rsidR="00A61B5D" w:rsidRPr="00C77E28">
              <w:rPr>
                <w:rFonts w:asciiTheme="minorHAnsi" w:hAnsiTheme="minorHAnsi" w:cstheme="minorHAnsi"/>
                <w:color w:val="000000" w:themeColor="text1"/>
                <w:sz w:val="22"/>
                <w:szCs w:val="22"/>
              </w:rPr>
              <w:t xml:space="preserve"> USD</w:t>
            </w:r>
            <w:r w:rsidRPr="00C77E28">
              <w:rPr>
                <w:rFonts w:asciiTheme="minorHAnsi" w:hAnsiTheme="minorHAnsi" w:cstheme="minorHAnsi"/>
                <w:color w:val="000000" w:themeColor="text1"/>
                <w:sz w:val="22"/>
                <w:szCs w:val="22"/>
              </w:rPr>
              <w:t xml:space="preserve"> </w:t>
            </w:r>
            <w:r w:rsidR="7338B348" w:rsidRPr="00C77E28">
              <w:rPr>
                <w:rFonts w:asciiTheme="minorHAnsi" w:hAnsiTheme="minorHAnsi" w:cstheme="minorHAnsi"/>
                <w:color w:val="000000" w:themeColor="text1"/>
                <w:sz w:val="22"/>
                <w:szCs w:val="22"/>
              </w:rPr>
              <w:t>allowing the distribution of health kits to vulnerable communities</w:t>
            </w:r>
            <w:r w:rsidR="29865F4A" w:rsidRPr="00C77E28">
              <w:rPr>
                <w:rFonts w:asciiTheme="minorHAnsi" w:hAnsiTheme="minorHAnsi" w:cstheme="minorHAnsi"/>
                <w:color w:val="000000" w:themeColor="text1"/>
                <w:sz w:val="22"/>
                <w:szCs w:val="22"/>
              </w:rPr>
              <w:t>.</w:t>
            </w:r>
            <w:r w:rsidRPr="00C77E28">
              <w:rPr>
                <w:rFonts w:asciiTheme="minorHAnsi" w:hAnsiTheme="minorHAnsi" w:cstheme="minorHAnsi"/>
                <w:color w:val="000000" w:themeColor="text1"/>
                <w:sz w:val="22"/>
                <w:szCs w:val="22"/>
              </w:rPr>
              <w:t xml:space="preserve"> An embryonic social protection system (financed at 200,000</w:t>
            </w:r>
            <w:r w:rsidR="00A61B5D" w:rsidRPr="00C77E28">
              <w:rPr>
                <w:rFonts w:asciiTheme="minorHAnsi" w:hAnsiTheme="minorHAnsi" w:cstheme="minorHAnsi"/>
                <w:color w:val="000000" w:themeColor="text1"/>
                <w:sz w:val="22"/>
                <w:szCs w:val="22"/>
              </w:rPr>
              <w:t xml:space="preserve"> USD</w:t>
            </w:r>
            <w:r w:rsidRPr="00C77E28">
              <w:rPr>
                <w:rFonts w:asciiTheme="minorHAnsi" w:hAnsiTheme="minorHAnsi" w:cstheme="minorHAnsi"/>
                <w:color w:val="000000" w:themeColor="text1"/>
                <w:sz w:val="22"/>
                <w:szCs w:val="22"/>
              </w:rPr>
              <w:t xml:space="preserve">) has been set up to support </w:t>
            </w:r>
            <w:r w:rsidR="004862B2" w:rsidRPr="00C77E28">
              <w:rPr>
                <w:rFonts w:asciiTheme="minorHAnsi" w:hAnsiTheme="minorHAnsi" w:cstheme="minorHAnsi"/>
                <w:color w:val="000000" w:themeColor="text1"/>
                <w:sz w:val="22"/>
                <w:szCs w:val="22"/>
              </w:rPr>
              <w:t>under-</w:t>
            </w:r>
            <w:r w:rsidR="00A61B5D" w:rsidRPr="00C77E28">
              <w:rPr>
                <w:rFonts w:asciiTheme="minorHAnsi" w:hAnsiTheme="minorHAnsi" w:cstheme="minorHAnsi"/>
                <w:color w:val="000000" w:themeColor="text1"/>
                <w:sz w:val="22"/>
                <w:szCs w:val="22"/>
              </w:rPr>
              <w:t>privileged</w:t>
            </w:r>
            <w:r w:rsidRPr="00C77E28">
              <w:rPr>
                <w:rFonts w:asciiTheme="minorHAnsi" w:hAnsiTheme="minorHAnsi" w:cstheme="minorHAnsi"/>
                <w:color w:val="000000" w:themeColor="text1"/>
                <w:sz w:val="22"/>
                <w:szCs w:val="22"/>
              </w:rPr>
              <w:t xml:space="preserve"> social categories (people living with a disability, people living with HIV, unemployed young people, etc</w:t>
            </w:r>
            <w:r w:rsidR="29865F4A" w:rsidRPr="00C77E28">
              <w:rPr>
                <w:rFonts w:asciiTheme="minorHAnsi" w:hAnsiTheme="minorHAnsi" w:cstheme="minorHAnsi"/>
                <w:color w:val="000000" w:themeColor="text1"/>
                <w:sz w:val="22"/>
                <w:szCs w:val="22"/>
              </w:rPr>
              <w:t>.)</w:t>
            </w:r>
            <w:r w:rsidR="7338B348" w:rsidRPr="00C77E28">
              <w:rPr>
                <w:rFonts w:asciiTheme="minorHAnsi" w:hAnsiTheme="minorHAnsi" w:cstheme="minorHAnsi"/>
                <w:color w:val="000000" w:themeColor="text1"/>
                <w:sz w:val="22"/>
                <w:szCs w:val="22"/>
              </w:rPr>
              <w:t xml:space="preserve"> and an envelope of </w:t>
            </w:r>
            <w:r w:rsidR="008A2329" w:rsidRPr="00C77E28">
              <w:rPr>
                <w:rFonts w:asciiTheme="minorHAnsi" w:hAnsiTheme="minorHAnsi" w:cstheme="minorHAnsi"/>
                <w:color w:val="000000" w:themeColor="text1"/>
                <w:sz w:val="22"/>
                <w:szCs w:val="22"/>
              </w:rPr>
              <w:t>150</w:t>
            </w:r>
            <w:r w:rsidR="7338B348" w:rsidRPr="00C77E28">
              <w:rPr>
                <w:rFonts w:asciiTheme="minorHAnsi" w:hAnsiTheme="minorHAnsi" w:cstheme="minorHAnsi"/>
                <w:color w:val="000000" w:themeColor="text1"/>
                <w:sz w:val="22"/>
                <w:szCs w:val="22"/>
              </w:rPr>
              <w:t xml:space="preserve"> USD was distributed to </w:t>
            </w:r>
            <w:r w:rsidR="00287514" w:rsidRPr="00C77E28">
              <w:rPr>
                <w:rFonts w:asciiTheme="minorHAnsi" w:hAnsiTheme="minorHAnsi" w:cstheme="minorHAnsi"/>
                <w:color w:val="000000" w:themeColor="text1"/>
                <w:sz w:val="22"/>
                <w:szCs w:val="22"/>
              </w:rPr>
              <w:t>1200</w:t>
            </w:r>
            <w:r w:rsidR="7338B348" w:rsidRPr="00C77E28">
              <w:rPr>
                <w:rFonts w:asciiTheme="minorHAnsi" w:hAnsiTheme="minorHAnsi" w:cstheme="minorHAnsi"/>
                <w:color w:val="000000" w:themeColor="text1"/>
                <w:sz w:val="22"/>
                <w:szCs w:val="22"/>
              </w:rPr>
              <w:t xml:space="preserve"> persons</w:t>
            </w:r>
            <w:r w:rsidR="29865F4A" w:rsidRPr="00C77E28">
              <w:rPr>
                <w:rFonts w:asciiTheme="minorHAnsi" w:hAnsiTheme="minorHAnsi" w:cstheme="minorHAnsi"/>
                <w:color w:val="000000" w:themeColor="text1"/>
                <w:sz w:val="22"/>
                <w:szCs w:val="22"/>
              </w:rPr>
              <w:t xml:space="preserve">. </w:t>
            </w:r>
            <w:r w:rsidR="7338B348" w:rsidRPr="00C77E28">
              <w:rPr>
                <w:rFonts w:asciiTheme="minorHAnsi" w:hAnsiTheme="minorHAnsi" w:cstheme="minorHAnsi"/>
                <w:color w:val="000000" w:themeColor="text1"/>
                <w:sz w:val="22"/>
                <w:szCs w:val="22"/>
              </w:rPr>
              <w:t>Thanks to the positive result of this cash transfer modality, the additional</w:t>
            </w:r>
            <w:r w:rsidRPr="00C77E28">
              <w:rPr>
                <w:rFonts w:asciiTheme="minorHAnsi" w:hAnsiTheme="minorHAnsi" w:cstheme="minorHAnsi"/>
                <w:color w:val="000000" w:themeColor="text1"/>
                <w:sz w:val="22"/>
                <w:szCs w:val="22"/>
              </w:rPr>
              <w:t xml:space="preserve"> 1.5 million USD through the Rapid Financing Facility</w:t>
            </w:r>
            <w:r w:rsidR="67C5CEFE" w:rsidRPr="00C77E28">
              <w:rPr>
                <w:rFonts w:asciiTheme="minorHAnsi" w:hAnsiTheme="minorHAnsi" w:cstheme="minorHAnsi"/>
                <w:color w:val="000000" w:themeColor="text1"/>
                <w:sz w:val="22"/>
                <w:szCs w:val="22"/>
              </w:rPr>
              <w:t xml:space="preserve"> allowed the CO to reconduct the cash transfer experience to 300 people</w:t>
            </w:r>
            <w:r w:rsidR="202E246B" w:rsidRPr="00C77E28">
              <w:rPr>
                <w:rFonts w:asciiTheme="minorHAnsi" w:hAnsiTheme="minorHAnsi" w:cstheme="minorHAnsi"/>
                <w:color w:val="000000" w:themeColor="text1"/>
                <w:sz w:val="22"/>
                <w:szCs w:val="22"/>
              </w:rPr>
              <w:t xml:space="preserve">. As of today, </w:t>
            </w:r>
            <w:r w:rsidR="1C8C5459" w:rsidRPr="00C77E28">
              <w:rPr>
                <w:rFonts w:asciiTheme="minorHAnsi" w:hAnsiTheme="minorHAnsi" w:cstheme="minorHAnsi"/>
                <w:color w:val="000000" w:themeColor="text1"/>
                <w:sz w:val="22"/>
                <w:szCs w:val="22"/>
              </w:rPr>
              <w:t>80% of cash was disbursed and an additional “</w:t>
            </w:r>
            <w:r w:rsidR="4C4075D3" w:rsidRPr="00C77E28">
              <w:rPr>
                <w:rFonts w:asciiTheme="minorHAnsi" w:hAnsiTheme="minorHAnsi" w:cstheme="minorHAnsi"/>
                <w:color w:val="000000" w:themeColor="text1"/>
                <w:sz w:val="22"/>
                <w:szCs w:val="22"/>
              </w:rPr>
              <w:t xml:space="preserve">safety nets” </w:t>
            </w:r>
            <w:r w:rsidR="71123FF6" w:rsidRPr="00C77E28">
              <w:rPr>
                <w:rFonts w:asciiTheme="minorHAnsi" w:hAnsiTheme="minorHAnsi" w:cstheme="minorHAnsi"/>
                <w:color w:val="000000" w:themeColor="text1"/>
                <w:sz w:val="22"/>
                <w:szCs w:val="22"/>
              </w:rPr>
              <w:t>package was added to ensure that</w:t>
            </w:r>
            <w:r w:rsidR="6DB5B8FA" w:rsidRPr="00C77E28">
              <w:rPr>
                <w:rFonts w:asciiTheme="minorHAnsi" w:hAnsiTheme="minorHAnsi" w:cstheme="minorHAnsi"/>
                <w:color w:val="000000" w:themeColor="text1"/>
                <w:sz w:val="22"/>
                <w:szCs w:val="22"/>
              </w:rPr>
              <w:t xml:space="preserve"> innovative</w:t>
            </w:r>
            <w:r w:rsidR="71123FF6" w:rsidRPr="00C77E28">
              <w:rPr>
                <w:rFonts w:asciiTheme="minorHAnsi" w:hAnsiTheme="minorHAnsi" w:cstheme="minorHAnsi"/>
                <w:color w:val="000000" w:themeColor="text1"/>
                <w:sz w:val="22"/>
                <w:szCs w:val="22"/>
              </w:rPr>
              <w:t xml:space="preserve"> agricult</w:t>
            </w:r>
            <w:r w:rsidR="09843063" w:rsidRPr="00C77E28">
              <w:rPr>
                <w:rFonts w:asciiTheme="minorHAnsi" w:hAnsiTheme="minorHAnsi" w:cstheme="minorHAnsi"/>
                <w:color w:val="000000" w:themeColor="text1"/>
                <w:sz w:val="22"/>
                <w:szCs w:val="22"/>
              </w:rPr>
              <w:t>ure</w:t>
            </w:r>
            <w:r w:rsidR="6DB5B8FA" w:rsidRPr="00C77E28">
              <w:rPr>
                <w:rFonts w:asciiTheme="minorHAnsi" w:hAnsiTheme="minorHAnsi" w:cstheme="minorHAnsi"/>
                <w:color w:val="000000" w:themeColor="text1"/>
                <w:sz w:val="22"/>
                <w:szCs w:val="22"/>
              </w:rPr>
              <w:t xml:space="preserve"> equipment</w:t>
            </w:r>
            <w:r w:rsidR="32C57C8C" w:rsidRPr="00C77E28">
              <w:rPr>
                <w:rFonts w:asciiTheme="minorHAnsi" w:hAnsiTheme="minorHAnsi" w:cstheme="minorHAnsi"/>
                <w:color w:val="000000" w:themeColor="text1"/>
                <w:sz w:val="22"/>
                <w:szCs w:val="22"/>
              </w:rPr>
              <w:t xml:space="preserve"> </w:t>
            </w:r>
            <w:r w:rsidR="7C855DEA" w:rsidRPr="00C77E28">
              <w:rPr>
                <w:rFonts w:asciiTheme="minorHAnsi" w:hAnsiTheme="minorHAnsi" w:cstheme="minorHAnsi"/>
                <w:color w:val="000000" w:themeColor="text1"/>
                <w:sz w:val="22"/>
                <w:szCs w:val="22"/>
              </w:rPr>
              <w:t>was</w:t>
            </w:r>
            <w:r w:rsidR="32C57C8C" w:rsidRPr="00C77E28">
              <w:rPr>
                <w:rFonts w:asciiTheme="minorHAnsi" w:hAnsiTheme="minorHAnsi" w:cstheme="minorHAnsi"/>
                <w:color w:val="000000" w:themeColor="text1"/>
                <w:sz w:val="22"/>
                <w:szCs w:val="22"/>
              </w:rPr>
              <w:t xml:space="preserve"> purchased </w:t>
            </w:r>
            <w:r w:rsidR="2CCAC8ED" w:rsidRPr="00C77E28">
              <w:rPr>
                <w:rFonts w:asciiTheme="minorHAnsi" w:hAnsiTheme="minorHAnsi" w:cstheme="minorHAnsi"/>
                <w:color w:val="000000" w:themeColor="text1"/>
                <w:sz w:val="22"/>
                <w:szCs w:val="22"/>
              </w:rPr>
              <w:t xml:space="preserve">to increase </w:t>
            </w:r>
            <w:r w:rsidR="70456D57" w:rsidRPr="00C77E28">
              <w:rPr>
                <w:rFonts w:asciiTheme="minorHAnsi" w:hAnsiTheme="minorHAnsi" w:cstheme="minorHAnsi"/>
                <w:color w:val="000000" w:themeColor="text1"/>
                <w:sz w:val="22"/>
                <w:szCs w:val="22"/>
              </w:rPr>
              <w:t>crop yields</w:t>
            </w:r>
            <w:r w:rsidR="67C5CEFE" w:rsidRPr="00C77E28">
              <w:rPr>
                <w:rFonts w:asciiTheme="minorHAnsi" w:hAnsiTheme="minorHAnsi" w:cstheme="minorHAnsi"/>
                <w:color w:val="000000" w:themeColor="text1"/>
                <w:sz w:val="22"/>
                <w:szCs w:val="22"/>
              </w:rPr>
              <w:t xml:space="preserve">. An impact assessment will be </w:t>
            </w:r>
            <w:r w:rsidR="70456D57" w:rsidRPr="00C77E28">
              <w:rPr>
                <w:rFonts w:asciiTheme="minorHAnsi" w:hAnsiTheme="minorHAnsi" w:cstheme="minorHAnsi"/>
                <w:color w:val="000000" w:themeColor="text1"/>
                <w:sz w:val="22"/>
                <w:szCs w:val="22"/>
              </w:rPr>
              <w:t>performed</w:t>
            </w:r>
            <w:r w:rsidR="67C5CEFE" w:rsidRPr="00C77E28">
              <w:rPr>
                <w:rFonts w:asciiTheme="minorHAnsi" w:hAnsiTheme="minorHAnsi" w:cstheme="minorHAnsi"/>
                <w:color w:val="000000" w:themeColor="text1"/>
                <w:sz w:val="22"/>
                <w:szCs w:val="22"/>
              </w:rPr>
              <w:t xml:space="preserve"> </w:t>
            </w:r>
            <w:r w:rsidR="5CB9C1AE" w:rsidRPr="00C77E28">
              <w:rPr>
                <w:rFonts w:asciiTheme="minorHAnsi" w:hAnsiTheme="minorHAnsi" w:cstheme="minorHAnsi"/>
                <w:color w:val="000000" w:themeColor="text1"/>
                <w:sz w:val="22"/>
                <w:szCs w:val="22"/>
              </w:rPr>
              <w:t>at the end of the project to measure re</w:t>
            </w:r>
            <w:r w:rsidR="582B0265" w:rsidRPr="00C77E28">
              <w:rPr>
                <w:rFonts w:asciiTheme="minorHAnsi" w:hAnsiTheme="minorHAnsi" w:cstheme="minorHAnsi"/>
                <w:color w:val="000000" w:themeColor="text1"/>
                <w:sz w:val="22"/>
                <w:szCs w:val="22"/>
              </w:rPr>
              <w:t xml:space="preserve">sults and capture lessons learned from these </w:t>
            </w:r>
            <w:r w:rsidR="2B5AB1CA" w:rsidRPr="00C77E28">
              <w:rPr>
                <w:rFonts w:asciiTheme="minorHAnsi" w:hAnsiTheme="minorHAnsi" w:cstheme="minorHAnsi"/>
                <w:color w:val="000000" w:themeColor="text1"/>
                <w:sz w:val="22"/>
                <w:szCs w:val="22"/>
              </w:rPr>
              <w:t xml:space="preserve">safety nets </w:t>
            </w:r>
            <w:r w:rsidR="582B0265" w:rsidRPr="00C77E28">
              <w:rPr>
                <w:rFonts w:asciiTheme="minorHAnsi" w:hAnsiTheme="minorHAnsi" w:cstheme="minorHAnsi"/>
                <w:color w:val="000000" w:themeColor="text1"/>
                <w:sz w:val="22"/>
                <w:szCs w:val="22"/>
              </w:rPr>
              <w:t>operations</w:t>
            </w:r>
            <w:r w:rsidR="29865F4A" w:rsidRPr="00C77E28">
              <w:rPr>
                <w:rFonts w:asciiTheme="minorHAnsi" w:hAnsiTheme="minorHAnsi" w:cstheme="minorHAnsi"/>
                <w:color w:val="000000" w:themeColor="text1"/>
                <w:sz w:val="22"/>
                <w:szCs w:val="22"/>
              </w:rPr>
              <w:t>.</w:t>
            </w:r>
            <w:r w:rsidRPr="00C77E28">
              <w:rPr>
                <w:rFonts w:asciiTheme="minorHAnsi" w:hAnsiTheme="minorHAnsi" w:cstheme="minorHAnsi"/>
                <w:color w:val="000000" w:themeColor="text1"/>
                <w:sz w:val="22"/>
                <w:szCs w:val="22"/>
              </w:rPr>
              <w:t xml:space="preserve"> </w:t>
            </w:r>
          </w:p>
          <w:p w14:paraId="578C6FD9" w14:textId="1BC9EA9B" w:rsidR="007822EC" w:rsidRPr="00C77E28" w:rsidRDefault="007822EC" w:rsidP="007822EC">
            <w:pPr>
              <w:pStyle w:val="BodyText2"/>
              <w:rPr>
                <w:rFonts w:asciiTheme="minorHAnsi" w:hAnsiTheme="minorHAnsi" w:cstheme="minorHAnsi"/>
                <w:sz w:val="22"/>
                <w:szCs w:val="22"/>
                <w:u w:val="single"/>
              </w:rPr>
            </w:pPr>
          </w:p>
          <w:p w14:paraId="2C9331ED" w14:textId="1D3AF4F9"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u w:val="single"/>
              </w:rPr>
              <w:t>Major Lessons Learnt</w:t>
            </w:r>
            <w:r w:rsidRPr="00C77E28">
              <w:rPr>
                <w:rFonts w:asciiTheme="minorHAnsi" w:hAnsiTheme="minorHAnsi" w:cstheme="minorHAnsi"/>
                <w:b/>
                <w:sz w:val="22"/>
                <w:szCs w:val="22"/>
              </w:rPr>
              <w:t xml:space="preserve">: </w:t>
            </w:r>
          </w:p>
          <w:p w14:paraId="7357AF97" w14:textId="3023696D" w:rsidR="00CC0471" w:rsidRPr="00C77E28" w:rsidRDefault="00CC4382" w:rsidP="008134D3">
            <w:pPr>
              <w:pStyle w:val="ListParagraph"/>
              <w:numPr>
                <w:ilvl w:val="0"/>
                <w:numId w:val="45"/>
              </w:numPr>
              <w:tabs>
                <w:tab w:val="clear" w:pos="720"/>
                <w:tab w:val="num" w:pos="432"/>
              </w:tabs>
              <w:spacing w:line="240" w:lineRule="auto"/>
              <w:ind w:left="432" w:hanging="288"/>
              <w:jc w:val="both"/>
              <w:rPr>
                <w:rFonts w:asciiTheme="minorHAnsi" w:hAnsiTheme="minorHAnsi" w:cstheme="minorHAnsi"/>
                <w:sz w:val="22"/>
                <w:szCs w:val="22"/>
                <w:lang w:val="en-US"/>
              </w:rPr>
            </w:pPr>
            <w:r w:rsidRPr="00C77E28">
              <w:rPr>
                <w:rFonts w:asciiTheme="minorHAnsi" w:hAnsiTheme="minorHAnsi" w:cstheme="minorHAnsi"/>
                <w:sz w:val="22"/>
                <w:szCs w:val="22"/>
                <w:lang w:val="en-US"/>
              </w:rPr>
              <w:t xml:space="preserve">Programme results are subject to projects whose duration of implementation hardly exceeds two years. This complexifies </w:t>
            </w:r>
            <w:r w:rsidR="007A2A8D" w:rsidRPr="00C77E28">
              <w:rPr>
                <w:rFonts w:asciiTheme="minorHAnsi" w:hAnsiTheme="minorHAnsi" w:cstheme="minorHAnsi"/>
                <w:sz w:val="22"/>
                <w:szCs w:val="22"/>
                <w:lang w:val="en-US"/>
              </w:rPr>
              <w:t>achieving broader</w:t>
            </w:r>
            <w:r w:rsidRPr="00C77E28">
              <w:rPr>
                <w:rFonts w:asciiTheme="minorHAnsi" w:hAnsiTheme="minorHAnsi" w:cstheme="minorHAnsi"/>
                <w:sz w:val="22"/>
                <w:szCs w:val="22"/>
                <w:lang w:val="en-US"/>
              </w:rPr>
              <w:t xml:space="preserve"> </w:t>
            </w:r>
            <w:r w:rsidR="00BC09FA" w:rsidRPr="00C77E28">
              <w:rPr>
                <w:rFonts w:asciiTheme="minorHAnsi" w:hAnsiTheme="minorHAnsi" w:cstheme="minorHAnsi"/>
                <w:sz w:val="22"/>
                <w:szCs w:val="22"/>
                <w:lang w:val="en-US"/>
              </w:rPr>
              <w:t>outcomes and impacts and reduce th</w:t>
            </w:r>
            <w:r w:rsidR="007A2A8D" w:rsidRPr="00C77E28">
              <w:rPr>
                <w:rFonts w:asciiTheme="minorHAnsi" w:hAnsiTheme="minorHAnsi" w:cstheme="minorHAnsi"/>
                <w:sz w:val="22"/>
                <w:szCs w:val="22"/>
                <w:lang w:val="en-US"/>
              </w:rPr>
              <w:t xml:space="preserve">e capacity of CO to </w:t>
            </w:r>
            <w:r w:rsidR="00CA471C" w:rsidRPr="00C77E28">
              <w:rPr>
                <w:rFonts w:asciiTheme="minorHAnsi" w:hAnsiTheme="minorHAnsi" w:cstheme="minorHAnsi"/>
                <w:sz w:val="22"/>
                <w:szCs w:val="22"/>
                <w:lang w:val="en-US"/>
              </w:rPr>
              <w:t xml:space="preserve">properly meet CPD results and indicators. The new CPD has been developed </w:t>
            </w:r>
            <w:r w:rsidR="00CC0471" w:rsidRPr="00C77E28">
              <w:rPr>
                <w:rFonts w:asciiTheme="minorHAnsi" w:hAnsiTheme="minorHAnsi" w:cstheme="minorHAnsi"/>
                <w:sz w:val="22"/>
                <w:szCs w:val="22"/>
                <w:lang w:val="en-US"/>
              </w:rPr>
              <w:t xml:space="preserve">based on this lesson learned and more precise outputs and indicators have been formulated to achieve tangible results in a five-year perspective. </w:t>
            </w:r>
            <w:r w:rsidR="00ED5E54" w:rsidRPr="00C77E28">
              <w:rPr>
                <w:rFonts w:asciiTheme="minorHAnsi" w:hAnsiTheme="minorHAnsi" w:cstheme="minorHAnsi"/>
                <w:sz w:val="22"/>
                <w:szCs w:val="22"/>
                <w:lang w:val="en-US"/>
              </w:rPr>
              <w:t>I</w:t>
            </w:r>
            <w:r w:rsidR="00223943" w:rsidRPr="00C77E28">
              <w:rPr>
                <w:rFonts w:asciiTheme="minorHAnsi" w:hAnsiTheme="minorHAnsi" w:cstheme="minorHAnsi"/>
                <w:sz w:val="22"/>
                <w:szCs w:val="22"/>
                <w:lang w:val="en-US"/>
              </w:rPr>
              <w:t>n addition</w:t>
            </w:r>
            <w:r w:rsidR="00ED5E54" w:rsidRPr="00C77E28">
              <w:rPr>
                <w:rFonts w:asciiTheme="minorHAnsi" w:hAnsiTheme="minorHAnsi" w:cstheme="minorHAnsi"/>
                <w:sz w:val="22"/>
                <w:szCs w:val="22"/>
                <w:lang w:val="en-US"/>
              </w:rPr>
              <w:t>, the office is also exploring progressively</w:t>
            </w:r>
            <w:r w:rsidR="00223943" w:rsidRPr="00C77E28">
              <w:rPr>
                <w:rFonts w:asciiTheme="minorHAnsi" w:hAnsiTheme="minorHAnsi" w:cstheme="minorHAnsi"/>
                <w:sz w:val="22"/>
                <w:szCs w:val="22"/>
                <w:lang w:val="en-US"/>
              </w:rPr>
              <w:t xml:space="preserve"> introduc</w:t>
            </w:r>
            <w:r w:rsidR="00ED5E54" w:rsidRPr="00C77E28">
              <w:rPr>
                <w:rFonts w:asciiTheme="minorHAnsi" w:hAnsiTheme="minorHAnsi" w:cstheme="minorHAnsi"/>
                <w:sz w:val="22"/>
                <w:szCs w:val="22"/>
                <w:lang w:val="en-US"/>
              </w:rPr>
              <w:t>ing</w:t>
            </w:r>
            <w:r w:rsidR="00223943" w:rsidRPr="00C77E28">
              <w:rPr>
                <w:rFonts w:asciiTheme="minorHAnsi" w:hAnsiTheme="minorHAnsi" w:cstheme="minorHAnsi"/>
                <w:sz w:val="22"/>
                <w:szCs w:val="22"/>
                <w:lang w:val="en-US"/>
              </w:rPr>
              <w:t xml:space="preserve"> a "Portfolio" approach to ensure program coherenc</w:t>
            </w:r>
            <w:r w:rsidR="00ED5E54" w:rsidRPr="00C77E28">
              <w:rPr>
                <w:rFonts w:asciiTheme="minorHAnsi" w:hAnsiTheme="minorHAnsi" w:cstheme="minorHAnsi"/>
                <w:sz w:val="22"/>
                <w:szCs w:val="22"/>
                <w:lang w:val="en-US"/>
              </w:rPr>
              <w:t xml:space="preserve">e and avoid silo approach in implementation. </w:t>
            </w:r>
          </w:p>
          <w:p w14:paraId="2D908946" w14:textId="227D3F31" w:rsidR="003521DB" w:rsidRPr="00C77E28" w:rsidRDefault="002B5DAB" w:rsidP="008134D3">
            <w:pPr>
              <w:pStyle w:val="ListParagraph"/>
              <w:numPr>
                <w:ilvl w:val="0"/>
                <w:numId w:val="45"/>
              </w:numPr>
              <w:tabs>
                <w:tab w:val="clear" w:pos="720"/>
                <w:tab w:val="num" w:pos="432"/>
              </w:tabs>
              <w:spacing w:line="240" w:lineRule="auto"/>
              <w:ind w:left="432" w:hanging="288"/>
              <w:jc w:val="both"/>
              <w:rPr>
                <w:rFonts w:asciiTheme="minorHAnsi" w:hAnsiTheme="minorHAnsi" w:cstheme="minorHAnsi"/>
                <w:sz w:val="22"/>
                <w:szCs w:val="22"/>
                <w:lang w:val="en-US"/>
              </w:rPr>
            </w:pPr>
            <w:r w:rsidRPr="00C77E28">
              <w:rPr>
                <w:rFonts w:asciiTheme="minorHAnsi" w:hAnsiTheme="minorHAnsi" w:cstheme="minorHAnsi"/>
                <w:sz w:val="22"/>
                <w:szCs w:val="22"/>
                <w:lang w:val="en-US"/>
              </w:rPr>
              <w:t>CO will benefit from expanding its partnerships with NGO and civil society f</w:t>
            </w:r>
            <w:r w:rsidR="00CC5B7B" w:rsidRPr="00C77E28">
              <w:rPr>
                <w:rFonts w:asciiTheme="minorHAnsi" w:hAnsiTheme="minorHAnsi" w:cstheme="minorHAnsi"/>
                <w:sz w:val="22"/>
                <w:szCs w:val="22"/>
                <w:lang w:val="en-US"/>
              </w:rPr>
              <w:t>rom</w:t>
            </w:r>
            <w:r w:rsidRPr="00C77E28">
              <w:rPr>
                <w:rFonts w:asciiTheme="minorHAnsi" w:hAnsiTheme="minorHAnsi" w:cstheme="minorHAnsi"/>
                <w:sz w:val="22"/>
                <w:szCs w:val="22"/>
                <w:lang w:val="en-US"/>
              </w:rPr>
              <w:t xml:space="preserve"> project </w:t>
            </w:r>
            <w:r w:rsidR="00CC5B7B" w:rsidRPr="00C77E28">
              <w:rPr>
                <w:rFonts w:asciiTheme="minorHAnsi" w:hAnsiTheme="minorHAnsi" w:cstheme="minorHAnsi"/>
                <w:sz w:val="22"/>
                <w:szCs w:val="22"/>
                <w:lang w:val="en-US"/>
              </w:rPr>
              <w:t>formulation to</w:t>
            </w:r>
            <w:r w:rsidRPr="00C77E28">
              <w:rPr>
                <w:rFonts w:asciiTheme="minorHAnsi" w:hAnsiTheme="minorHAnsi" w:cstheme="minorHAnsi"/>
                <w:sz w:val="22"/>
                <w:szCs w:val="22"/>
                <w:lang w:val="en-US"/>
              </w:rPr>
              <w:t xml:space="preserve"> implementation</w:t>
            </w:r>
            <w:r w:rsidR="00CC5B7B" w:rsidRPr="00C77E28">
              <w:rPr>
                <w:rFonts w:asciiTheme="minorHAnsi" w:hAnsiTheme="minorHAnsi" w:cstheme="minorHAnsi"/>
                <w:sz w:val="22"/>
                <w:szCs w:val="22"/>
                <w:lang w:val="en-US"/>
              </w:rPr>
              <w:t xml:space="preserve"> and evaluation; the limited partnership with NGO during the CPD cycle </w:t>
            </w:r>
            <w:r w:rsidR="00EC50AD" w:rsidRPr="00C77E28">
              <w:rPr>
                <w:rFonts w:asciiTheme="minorHAnsi" w:hAnsiTheme="minorHAnsi" w:cstheme="minorHAnsi"/>
                <w:sz w:val="22"/>
                <w:szCs w:val="22"/>
                <w:lang w:val="en-US"/>
              </w:rPr>
              <w:t>preven</w:t>
            </w:r>
            <w:r w:rsidR="00A65162" w:rsidRPr="00C77E28">
              <w:rPr>
                <w:rFonts w:asciiTheme="minorHAnsi" w:hAnsiTheme="minorHAnsi" w:cstheme="minorHAnsi"/>
                <w:sz w:val="22"/>
                <w:szCs w:val="22"/>
                <w:lang w:val="en-US"/>
              </w:rPr>
              <w:t>t</w:t>
            </w:r>
            <w:r w:rsidR="00EC50AD" w:rsidRPr="00C77E28">
              <w:rPr>
                <w:rFonts w:asciiTheme="minorHAnsi" w:hAnsiTheme="minorHAnsi" w:cstheme="minorHAnsi"/>
                <w:sz w:val="22"/>
                <w:szCs w:val="22"/>
                <w:lang w:val="en-US"/>
              </w:rPr>
              <w:t xml:space="preserve"> </w:t>
            </w:r>
            <w:r w:rsidR="00A65162" w:rsidRPr="00C77E28">
              <w:rPr>
                <w:rFonts w:asciiTheme="minorHAnsi" w:hAnsiTheme="minorHAnsi" w:cstheme="minorHAnsi"/>
                <w:sz w:val="22"/>
                <w:szCs w:val="22"/>
                <w:lang w:val="en-US"/>
              </w:rPr>
              <w:t xml:space="preserve">from reaching a greater </w:t>
            </w:r>
            <w:r w:rsidR="002618F9" w:rsidRPr="00C77E28">
              <w:rPr>
                <w:rFonts w:asciiTheme="minorHAnsi" w:hAnsiTheme="minorHAnsi" w:cstheme="minorHAnsi"/>
                <w:sz w:val="22"/>
                <w:szCs w:val="22"/>
                <w:lang w:val="en-US"/>
              </w:rPr>
              <w:t>number</w:t>
            </w:r>
            <w:r w:rsidR="00A65162" w:rsidRPr="00C77E28">
              <w:rPr>
                <w:rFonts w:asciiTheme="minorHAnsi" w:hAnsiTheme="minorHAnsi" w:cstheme="minorHAnsi"/>
                <w:sz w:val="22"/>
                <w:szCs w:val="22"/>
                <w:lang w:val="en-US"/>
              </w:rPr>
              <w:t xml:space="preserve"> of beneficiaries, specifically women. </w:t>
            </w:r>
          </w:p>
          <w:p w14:paraId="12A1000A" w14:textId="649CBEE1" w:rsidR="00331B75" w:rsidRPr="00C77E28" w:rsidRDefault="00D73D7C" w:rsidP="008134D3">
            <w:pPr>
              <w:pStyle w:val="ListParagraph"/>
              <w:numPr>
                <w:ilvl w:val="0"/>
                <w:numId w:val="45"/>
              </w:numPr>
              <w:tabs>
                <w:tab w:val="clear" w:pos="720"/>
                <w:tab w:val="num" w:pos="432"/>
              </w:tabs>
              <w:spacing w:line="240" w:lineRule="auto"/>
              <w:ind w:left="432" w:hanging="288"/>
              <w:jc w:val="both"/>
              <w:rPr>
                <w:rFonts w:asciiTheme="minorHAnsi" w:hAnsiTheme="minorHAnsi" w:cstheme="minorHAnsi"/>
                <w:sz w:val="22"/>
                <w:szCs w:val="22"/>
                <w:lang w:val="en-US"/>
              </w:rPr>
            </w:pPr>
            <w:r w:rsidRPr="00C77E28">
              <w:rPr>
                <w:rFonts w:asciiTheme="minorHAnsi" w:hAnsiTheme="minorHAnsi" w:cstheme="minorHAnsi"/>
                <w:sz w:val="22"/>
                <w:szCs w:val="22"/>
                <w:lang w:val="en-US"/>
              </w:rPr>
              <w:t xml:space="preserve">The </w:t>
            </w:r>
            <w:r w:rsidR="00085FCA" w:rsidRPr="00C77E28">
              <w:rPr>
                <w:rFonts w:asciiTheme="minorHAnsi" w:hAnsiTheme="minorHAnsi" w:cstheme="minorHAnsi"/>
                <w:sz w:val="22"/>
                <w:szCs w:val="22"/>
                <w:lang w:val="en-US"/>
              </w:rPr>
              <w:t xml:space="preserve">office </w:t>
            </w:r>
            <w:r w:rsidR="006015FD" w:rsidRPr="00C77E28">
              <w:rPr>
                <w:rFonts w:asciiTheme="minorHAnsi" w:hAnsiTheme="minorHAnsi" w:cstheme="minorHAnsi"/>
                <w:sz w:val="22"/>
                <w:szCs w:val="22"/>
                <w:lang w:val="en-US"/>
              </w:rPr>
              <w:t>should strengthen</w:t>
            </w:r>
            <w:r w:rsidR="00085FCA" w:rsidRPr="00C77E28">
              <w:rPr>
                <w:rFonts w:asciiTheme="minorHAnsi" w:hAnsiTheme="minorHAnsi" w:cstheme="minorHAnsi"/>
                <w:sz w:val="22"/>
                <w:szCs w:val="22"/>
                <w:lang w:val="en-US"/>
              </w:rPr>
              <w:t xml:space="preserve"> </w:t>
            </w:r>
            <w:r w:rsidR="006015FD" w:rsidRPr="00C77E28">
              <w:rPr>
                <w:rFonts w:asciiTheme="minorHAnsi" w:hAnsiTheme="minorHAnsi" w:cstheme="minorHAnsi"/>
                <w:sz w:val="22"/>
                <w:szCs w:val="22"/>
                <w:lang w:val="en-US"/>
              </w:rPr>
              <w:t>its</w:t>
            </w:r>
            <w:r w:rsidR="00085FCA" w:rsidRPr="00C77E28">
              <w:rPr>
                <w:rFonts w:asciiTheme="minorHAnsi" w:hAnsiTheme="minorHAnsi" w:cstheme="minorHAnsi"/>
                <w:sz w:val="22"/>
                <w:szCs w:val="22"/>
                <w:lang w:val="en-US"/>
              </w:rPr>
              <w:t xml:space="preserve"> </w:t>
            </w:r>
            <w:r w:rsidRPr="00C77E28">
              <w:rPr>
                <w:rFonts w:asciiTheme="minorHAnsi" w:hAnsiTheme="minorHAnsi" w:cstheme="minorHAnsi"/>
                <w:sz w:val="22"/>
                <w:szCs w:val="22"/>
                <w:lang w:val="en-US"/>
              </w:rPr>
              <w:t>monitoring</w:t>
            </w:r>
            <w:r w:rsidR="00085FCA" w:rsidRPr="00C77E28">
              <w:rPr>
                <w:rFonts w:asciiTheme="minorHAnsi" w:hAnsiTheme="minorHAnsi" w:cstheme="minorHAnsi"/>
                <w:sz w:val="22"/>
                <w:szCs w:val="22"/>
                <w:lang w:val="en-US"/>
              </w:rPr>
              <w:t xml:space="preserve"> and </w:t>
            </w:r>
            <w:r w:rsidRPr="00C77E28">
              <w:rPr>
                <w:rFonts w:asciiTheme="minorHAnsi" w:hAnsiTheme="minorHAnsi" w:cstheme="minorHAnsi"/>
                <w:sz w:val="22"/>
                <w:szCs w:val="22"/>
                <w:lang w:val="en-US"/>
              </w:rPr>
              <w:t>evaluation mechanism.</w:t>
            </w:r>
            <w:r w:rsidR="00482223" w:rsidRPr="00C77E28">
              <w:rPr>
                <w:rFonts w:asciiTheme="minorHAnsi" w:hAnsiTheme="minorHAnsi" w:cstheme="minorHAnsi"/>
                <w:sz w:val="22"/>
                <w:szCs w:val="22"/>
                <w:lang w:val="en-US"/>
              </w:rPr>
              <w:t xml:space="preserve"> </w:t>
            </w:r>
            <w:r w:rsidR="006015FD" w:rsidRPr="00C77E28">
              <w:rPr>
                <w:rFonts w:asciiTheme="minorHAnsi" w:hAnsiTheme="minorHAnsi" w:cstheme="minorHAnsi"/>
                <w:sz w:val="22"/>
                <w:szCs w:val="22"/>
                <w:lang w:val="en-US"/>
              </w:rPr>
              <w:t>C</w:t>
            </w:r>
            <w:r w:rsidR="00482223" w:rsidRPr="00C77E28">
              <w:rPr>
                <w:rFonts w:asciiTheme="minorHAnsi" w:hAnsiTheme="minorHAnsi" w:cstheme="minorHAnsi"/>
                <w:sz w:val="22"/>
                <w:szCs w:val="22"/>
                <w:lang w:val="en-US"/>
              </w:rPr>
              <w:t xml:space="preserve">apacity building </w:t>
            </w:r>
            <w:r w:rsidR="006015FD" w:rsidRPr="00C77E28">
              <w:rPr>
                <w:rFonts w:asciiTheme="minorHAnsi" w:hAnsiTheme="minorHAnsi" w:cstheme="minorHAnsi"/>
                <w:sz w:val="22"/>
                <w:szCs w:val="22"/>
                <w:lang w:val="en-US"/>
              </w:rPr>
              <w:t>will be</w:t>
            </w:r>
            <w:r w:rsidR="00482223" w:rsidRPr="00C77E28">
              <w:rPr>
                <w:rFonts w:asciiTheme="minorHAnsi" w:hAnsiTheme="minorHAnsi" w:cstheme="minorHAnsi"/>
                <w:sz w:val="22"/>
                <w:szCs w:val="22"/>
                <w:lang w:val="en-US"/>
              </w:rPr>
              <w:t xml:space="preserve"> needed</w:t>
            </w:r>
            <w:r w:rsidR="006015FD" w:rsidRPr="00C77E28">
              <w:rPr>
                <w:rFonts w:asciiTheme="minorHAnsi" w:hAnsiTheme="minorHAnsi" w:cstheme="minorHAnsi"/>
                <w:sz w:val="22"/>
                <w:szCs w:val="22"/>
                <w:lang w:val="en-US"/>
              </w:rPr>
              <w:t>, moving forward,</w:t>
            </w:r>
            <w:r w:rsidR="00482223" w:rsidRPr="00C77E28">
              <w:rPr>
                <w:rFonts w:asciiTheme="minorHAnsi" w:hAnsiTheme="minorHAnsi" w:cstheme="minorHAnsi"/>
                <w:sz w:val="22"/>
                <w:szCs w:val="22"/>
                <w:lang w:val="en-US"/>
              </w:rPr>
              <w:t xml:space="preserve"> to ensure </w:t>
            </w:r>
            <w:r w:rsidR="006015FD" w:rsidRPr="00C77E28">
              <w:rPr>
                <w:rFonts w:asciiTheme="minorHAnsi" w:hAnsiTheme="minorHAnsi" w:cstheme="minorHAnsi"/>
                <w:sz w:val="22"/>
                <w:szCs w:val="22"/>
                <w:lang w:val="en-US"/>
              </w:rPr>
              <w:t>that Pr</w:t>
            </w:r>
            <w:r w:rsidR="00482223" w:rsidRPr="00C77E28">
              <w:rPr>
                <w:rFonts w:asciiTheme="minorHAnsi" w:hAnsiTheme="minorHAnsi" w:cstheme="minorHAnsi"/>
                <w:sz w:val="22"/>
                <w:szCs w:val="22"/>
                <w:lang w:val="en-US"/>
              </w:rPr>
              <w:t xml:space="preserve">ogramme staff </w:t>
            </w:r>
            <w:r w:rsidR="006015FD" w:rsidRPr="00C77E28">
              <w:rPr>
                <w:rFonts w:asciiTheme="minorHAnsi" w:hAnsiTheme="minorHAnsi" w:cstheme="minorHAnsi"/>
                <w:sz w:val="22"/>
                <w:szCs w:val="22"/>
                <w:lang w:val="en-US"/>
              </w:rPr>
              <w:t>are able to properly</w:t>
            </w:r>
            <w:r w:rsidR="00482223" w:rsidRPr="00C77E28">
              <w:rPr>
                <w:rFonts w:asciiTheme="minorHAnsi" w:hAnsiTheme="minorHAnsi" w:cstheme="minorHAnsi"/>
                <w:sz w:val="22"/>
                <w:szCs w:val="22"/>
                <w:lang w:val="en-US"/>
              </w:rPr>
              <w:t xml:space="preserve"> report </w:t>
            </w:r>
            <w:r w:rsidR="006015FD" w:rsidRPr="00C77E28">
              <w:rPr>
                <w:rFonts w:asciiTheme="minorHAnsi" w:hAnsiTheme="minorHAnsi" w:cstheme="minorHAnsi"/>
                <w:sz w:val="22"/>
                <w:szCs w:val="22"/>
                <w:lang w:val="en-US"/>
              </w:rPr>
              <w:t>projects’</w:t>
            </w:r>
            <w:r w:rsidR="00482223" w:rsidRPr="00C77E28">
              <w:rPr>
                <w:rFonts w:asciiTheme="minorHAnsi" w:hAnsiTheme="minorHAnsi" w:cstheme="minorHAnsi"/>
                <w:sz w:val="22"/>
                <w:szCs w:val="22"/>
                <w:lang w:val="en-US"/>
              </w:rPr>
              <w:t xml:space="preserve"> results and regular</w:t>
            </w:r>
            <w:r w:rsidR="006015FD" w:rsidRPr="00C77E28">
              <w:rPr>
                <w:rFonts w:asciiTheme="minorHAnsi" w:hAnsiTheme="minorHAnsi" w:cstheme="minorHAnsi"/>
                <w:sz w:val="22"/>
                <w:szCs w:val="22"/>
                <w:lang w:val="en-US"/>
              </w:rPr>
              <w:t>ly</w:t>
            </w:r>
            <w:r w:rsidR="00482223" w:rsidRPr="00C77E28">
              <w:rPr>
                <w:rFonts w:asciiTheme="minorHAnsi" w:hAnsiTheme="minorHAnsi" w:cstheme="minorHAnsi"/>
                <w:sz w:val="22"/>
                <w:szCs w:val="22"/>
                <w:lang w:val="en-US"/>
              </w:rPr>
              <w:t xml:space="preserve"> update of indicators to </w:t>
            </w:r>
            <w:r w:rsidR="006015FD" w:rsidRPr="00C77E28">
              <w:rPr>
                <w:rFonts w:asciiTheme="minorHAnsi" w:hAnsiTheme="minorHAnsi" w:cstheme="minorHAnsi"/>
                <w:sz w:val="22"/>
                <w:szCs w:val="22"/>
                <w:lang w:val="en-US"/>
              </w:rPr>
              <w:t>capture</w:t>
            </w:r>
            <w:r w:rsidR="00482223" w:rsidRPr="00C77E28">
              <w:rPr>
                <w:rFonts w:asciiTheme="minorHAnsi" w:hAnsiTheme="minorHAnsi" w:cstheme="minorHAnsi"/>
                <w:sz w:val="22"/>
                <w:szCs w:val="22"/>
                <w:lang w:val="en-US"/>
              </w:rPr>
              <w:t xml:space="preserve"> achievements. </w:t>
            </w:r>
          </w:p>
        </w:tc>
      </w:tr>
    </w:tbl>
    <w:p w14:paraId="16A8861D" w14:textId="57CE363A" w:rsidR="008B5311" w:rsidRDefault="008B5311" w:rsidP="003521DB">
      <w:pPr>
        <w:pStyle w:val="BodyText2"/>
        <w:jc w:val="center"/>
        <w:rPr>
          <w:rFonts w:asciiTheme="minorHAnsi" w:hAnsiTheme="minorHAnsi" w:cstheme="minorHAnsi"/>
          <w:sz w:val="22"/>
          <w:szCs w:val="22"/>
        </w:rPr>
      </w:pPr>
    </w:p>
    <w:p w14:paraId="1D032697" w14:textId="77777777" w:rsidR="008B5311" w:rsidRDefault="008B5311">
      <w:pPr>
        <w:widowControl/>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F1EDFAF" w14:textId="609030AF" w:rsidR="003521DB" w:rsidRPr="00C77E28" w:rsidRDefault="003521DB" w:rsidP="003521DB">
      <w:pPr>
        <w:pStyle w:val="BodyText2"/>
        <w:jc w:val="center"/>
        <w:rPr>
          <w:rFonts w:asciiTheme="minorHAnsi" w:hAnsiTheme="minorHAnsi" w:cstheme="minorHAnsi"/>
          <w:sz w:val="22"/>
          <w:szCs w:val="22"/>
        </w:rPr>
      </w:pPr>
      <w:r w:rsidRPr="00C77E28">
        <w:rPr>
          <w:rFonts w:asciiTheme="minorHAnsi" w:hAnsiTheme="minorHAnsi" w:cstheme="minorHAnsi"/>
          <w:sz w:val="22"/>
          <w:szCs w:val="22"/>
        </w:rPr>
        <w:lastRenderedPageBreak/>
        <w:t>III. Country Programme Resources</w:t>
      </w:r>
    </w:p>
    <w:p w14:paraId="1A469F5F" w14:textId="77777777" w:rsidR="00BD18CD" w:rsidRPr="00C77E28" w:rsidRDefault="00BD18CD" w:rsidP="003521DB">
      <w:pPr>
        <w:pStyle w:val="BodyText2"/>
        <w:jc w:val="center"/>
        <w:rPr>
          <w:rFonts w:asciiTheme="minorHAnsi" w:hAnsiTheme="minorHAnsi" w:cstheme="minorHAnsi"/>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2024"/>
        <w:gridCol w:w="1985"/>
        <w:gridCol w:w="1984"/>
        <w:gridCol w:w="1985"/>
      </w:tblGrid>
      <w:tr w:rsidR="00455647" w:rsidRPr="00C77E28" w14:paraId="161424ED" w14:textId="430D0909" w:rsidTr="00455647">
        <w:trPr>
          <w:trHeight w:val="300"/>
        </w:trPr>
        <w:tc>
          <w:tcPr>
            <w:tcW w:w="5342" w:type="dxa"/>
            <w:shd w:val="clear" w:color="auto" w:fill="000000" w:themeFill="text1"/>
          </w:tcPr>
          <w:p w14:paraId="5630BE3F" w14:textId="77777777" w:rsidR="00455647" w:rsidRPr="00C77E28" w:rsidRDefault="00455647" w:rsidP="00A45A03">
            <w:pPr>
              <w:pStyle w:val="BodyText2"/>
              <w:jc w:val="center"/>
              <w:rPr>
                <w:rFonts w:asciiTheme="minorHAnsi" w:hAnsiTheme="minorHAnsi" w:cstheme="minorHAnsi"/>
                <w:b/>
                <w:color w:val="FFFFFF"/>
                <w:sz w:val="22"/>
                <w:szCs w:val="22"/>
              </w:rPr>
            </w:pPr>
            <w:r w:rsidRPr="00C77E28">
              <w:rPr>
                <w:rFonts w:asciiTheme="minorHAnsi" w:hAnsiTheme="minorHAnsi" w:cstheme="minorHAnsi"/>
                <w:b/>
                <w:color w:val="FFFFFF"/>
                <w:sz w:val="22"/>
                <w:szCs w:val="22"/>
              </w:rPr>
              <w:t>Focus Area</w:t>
            </w:r>
            <w:r w:rsidRPr="00C77E28">
              <w:rPr>
                <w:rStyle w:val="FootnoteReference"/>
                <w:rFonts w:asciiTheme="minorHAnsi" w:hAnsiTheme="minorHAnsi" w:cstheme="minorHAnsi"/>
                <w:b/>
                <w:color w:val="FFFFFF"/>
                <w:sz w:val="22"/>
                <w:szCs w:val="22"/>
              </w:rPr>
              <w:footnoteReference w:id="4"/>
            </w:r>
          </w:p>
        </w:tc>
        <w:tc>
          <w:tcPr>
            <w:tcW w:w="5993" w:type="dxa"/>
            <w:gridSpan w:val="3"/>
            <w:shd w:val="clear" w:color="auto" w:fill="000000" w:themeFill="text1"/>
          </w:tcPr>
          <w:p w14:paraId="26FF63E9" w14:textId="77777777" w:rsidR="00455647" w:rsidRPr="00C77E28" w:rsidRDefault="00455647" w:rsidP="00A45A03">
            <w:pPr>
              <w:pStyle w:val="BodyText2"/>
              <w:jc w:val="center"/>
              <w:rPr>
                <w:rFonts w:asciiTheme="minorHAnsi" w:hAnsiTheme="minorHAnsi" w:cstheme="minorHAnsi"/>
                <w:b/>
                <w:color w:val="FFFFFF"/>
                <w:sz w:val="22"/>
                <w:szCs w:val="22"/>
              </w:rPr>
            </w:pPr>
            <w:r w:rsidRPr="00C77E28">
              <w:rPr>
                <w:rFonts w:asciiTheme="minorHAnsi" w:hAnsiTheme="minorHAnsi" w:cstheme="minorHAnsi"/>
                <w:b/>
                <w:color w:val="FFFFFF"/>
                <w:sz w:val="22"/>
                <w:szCs w:val="22"/>
              </w:rPr>
              <w:t>Programme Expenditure ($)</w:t>
            </w:r>
          </w:p>
        </w:tc>
        <w:tc>
          <w:tcPr>
            <w:tcW w:w="1985" w:type="dxa"/>
            <w:shd w:val="clear" w:color="auto" w:fill="000000" w:themeFill="text1"/>
          </w:tcPr>
          <w:p w14:paraId="2EA8A023" w14:textId="77777777" w:rsidR="00455647" w:rsidRPr="00C77E28" w:rsidRDefault="00455647" w:rsidP="00A45A03">
            <w:pPr>
              <w:pStyle w:val="BodyText2"/>
              <w:jc w:val="center"/>
              <w:rPr>
                <w:rFonts w:asciiTheme="minorHAnsi" w:hAnsiTheme="minorHAnsi" w:cstheme="minorHAnsi"/>
                <w:b/>
                <w:color w:val="FFFFFF"/>
              </w:rPr>
            </w:pPr>
            <w:r w:rsidRPr="00C77E28">
              <w:rPr>
                <w:rFonts w:asciiTheme="minorHAnsi" w:hAnsiTheme="minorHAnsi" w:cstheme="minorHAnsi"/>
                <w:b/>
                <w:color w:val="FFFFFF" w:themeColor="background1"/>
              </w:rPr>
              <w:t>% of Total</w:t>
            </w:r>
          </w:p>
        </w:tc>
      </w:tr>
      <w:tr w:rsidR="00455647" w:rsidRPr="00C77E28" w14:paraId="544C2584" w14:textId="2D64F75B" w:rsidTr="00455647">
        <w:trPr>
          <w:trHeight w:val="300"/>
        </w:trPr>
        <w:tc>
          <w:tcPr>
            <w:tcW w:w="5342" w:type="dxa"/>
            <w:shd w:val="clear" w:color="auto" w:fill="auto"/>
          </w:tcPr>
          <w:p w14:paraId="1DD95325" w14:textId="77777777" w:rsidR="00455647" w:rsidRPr="00C77E28" w:rsidRDefault="00455647" w:rsidP="00A45A03">
            <w:pPr>
              <w:pStyle w:val="BodyText2"/>
              <w:rPr>
                <w:rFonts w:asciiTheme="minorHAnsi" w:hAnsiTheme="minorHAnsi" w:cstheme="minorHAnsi"/>
                <w:sz w:val="22"/>
                <w:szCs w:val="22"/>
              </w:rPr>
            </w:pPr>
          </w:p>
        </w:tc>
        <w:tc>
          <w:tcPr>
            <w:tcW w:w="2024" w:type="dxa"/>
            <w:shd w:val="clear" w:color="auto" w:fill="auto"/>
          </w:tcPr>
          <w:p w14:paraId="35576B03" w14:textId="77777777" w:rsidR="00455647" w:rsidRPr="00C77E28" w:rsidRDefault="00455647" w:rsidP="00A45A03">
            <w:pPr>
              <w:pStyle w:val="BodyText2"/>
              <w:jc w:val="center"/>
              <w:rPr>
                <w:rFonts w:asciiTheme="minorHAnsi" w:hAnsiTheme="minorHAnsi" w:cstheme="minorHAnsi"/>
                <w:sz w:val="22"/>
                <w:szCs w:val="22"/>
              </w:rPr>
            </w:pPr>
            <w:r w:rsidRPr="00C77E28">
              <w:rPr>
                <w:rFonts w:asciiTheme="minorHAnsi" w:hAnsiTheme="minorHAnsi" w:cstheme="minorHAnsi"/>
                <w:sz w:val="22"/>
                <w:szCs w:val="22"/>
              </w:rPr>
              <w:t>Regular (TRAC)</w:t>
            </w:r>
          </w:p>
        </w:tc>
        <w:tc>
          <w:tcPr>
            <w:tcW w:w="1985" w:type="dxa"/>
            <w:shd w:val="clear" w:color="auto" w:fill="auto"/>
          </w:tcPr>
          <w:p w14:paraId="75B1313F" w14:textId="77777777" w:rsidR="00455647" w:rsidRPr="00C77E28" w:rsidRDefault="00455647" w:rsidP="00A45A03">
            <w:pPr>
              <w:pStyle w:val="BodyText2"/>
              <w:jc w:val="center"/>
              <w:rPr>
                <w:rFonts w:asciiTheme="minorHAnsi" w:hAnsiTheme="minorHAnsi" w:cstheme="minorHAnsi"/>
                <w:sz w:val="22"/>
                <w:szCs w:val="22"/>
              </w:rPr>
            </w:pPr>
            <w:r w:rsidRPr="00C77E28">
              <w:rPr>
                <w:rFonts w:asciiTheme="minorHAnsi" w:hAnsiTheme="minorHAnsi" w:cstheme="minorHAnsi"/>
                <w:sz w:val="22"/>
                <w:szCs w:val="22"/>
              </w:rPr>
              <w:t>Other</w:t>
            </w:r>
          </w:p>
        </w:tc>
        <w:tc>
          <w:tcPr>
            <w:tcW w:w="1984" w:type="dxa"/>
            <w:shd w:val="clear" w:color="auto" w:fill="auto"/>
          </w:tcPr>
          <w:p w14:paraId="29BB31F4" w14:textId="77777777" w:rsidR="00455647" w:rsidRPr="00C77E28" w:rsidRDefault="00455647" w:rsidP="00A45A03">
            <w:pPr>
              <w:pStyle w:val="BodyText2"/>
              <w:jc w:val="center"/>
              <w:rPr>
                <w:rFonts w:asciiTheme="minorHAnsi" w:hAnsiTheme="minorHAnsi" w:cstheme="minorHAnsi"/>
                <w:sz w:val="22"/>
                <w:szCs w:val="22"/>
              </w:rPr>
            </w:pPr>
            <w:r w:rsidRPr="00C77E28">
              <w:rPr>
                <w:rFonts w:asciiTheme="minorHAnsi" w:hAnsiTheme="minorHAnsi" w:cstheme="minorHAnsi"/>
                <w:sz w:val="22"/>
                <w:szCs w:val="22"/>
              </w:rPr>
              <w:t>Total</w:t>
            </w:r>
          </w:p>
        </w:tc>
        <w:tc>
          <w:tcPr>
            <w:tcW w:w="1985" w:type="dxa"/>
            <w:shd w:val="clear" w:color="auto" w:fill="auto"/>
          </w:tcPr>
          <w:p w14:paraId="0D781F0E" w14:textId="77777777" w:rsidR="00455647" w:rsidRPr="00C77E28" w:rsidRDefault="00455647" w:rsidP="00A45A03">
            <w:pPr>
              <w:pStyle w:val="BodyText2"/>
              <w:jc w:val="center"/>
              <w:rPr>
                <w:rFonts w:asciiTheme="minorHAnsi" w:hAnsiTheme="minorHAnsi" w:cstheme="minorHAnsi"/>
                <w:sz w:val="22"/>
                <w:szCs w:val="22"/>
              </w:rPr>
            </w:pPr>
          </w:p>
        </w:tc>
      </w:tr>
      <w:tr w:rsidR="00455647" w:rsidRPr="00C77E28" w14:paraId="72407548" w14:textId="2D916107" w:rsidTr="00455647">
        <w:trPr>
          <w:trHeight w:val="300"/>
        </w:trPr>
        <w:tc>
          <w:tcPr>
            <w:tcW w:w="5342" w:type="dxa"/>
            <w:shd w:val="clear" w:color="auto" w:fill="auto"/>
          </w:tcPr>
          <w:p w14:paraId="08481318" w14:textId="77777777" w:rsidR="00455647" w:rsidRPr="00C77E28" w:rsidRDefault="00455647" w:rsidP="00A45A03">
            <w:pPr>
              <w:pStyle w:val="BodyText2"/>
              <w:rPr>
                <w:rFonts w:asciiTheme="minorHAnsi" w:hAnsiTheme="minorHAnsi" w:cstheme="minorHAnsi"/>
                <w:sz w:val="22"/>
                <w:szCs w:val="22"/>
              </w:rPr>
            </w:pPr>
            <w:r w:rsidRPr="00C77E28">
              <w:rPr>
                <w:rFonts w:asciiTheme="minorHAnsi" w:hAnsiTheme="minorHAnsi" w:cstheme="minorHAnsi"/>
                <w:sz w:val="22"/>
                <w:szCs w:val="22"/>
              </w:rPr>
              <w:t xml:space="preserve">Democratic Governance   </w:t>
            </w:r>
          </w:p>
        </w:tc>
        <w:tc>
          <w:tcPr>
            <w:tcW w:w="2024" w:type="dxa"/>
            <w:shd w:val="clear" w:color="auto" w:fill="auto"/>
          </w:tcPr>
          <w:p w14:paraId="501146E6" w14:textId="77777777" w:rsidR="00455647" w:rsidRPr="00C77E28" w:rsidRDefault="00455647" w:rsidP="00A45A03">
            <w:pPr>
              <w:widowControl/>
              <w:jc w:val="center"/>
              <w:rPr>
                <w:rFonts w:asciiTheme="minorHAnsi" w:hAnsiTheme="minorHAnsi" w:cstheme="minorHAnsi"/>
                <w:sz w:val="22"/>
                <w:szCs w:val="22"/>
              </w:rPr>
            </w:pPr>
            <w:r w:rsidRPr="00C77E28">
              <w:rPr>
                <w:rFonts w:asciiTheme="minorHAnsi" w:hAnsiTheme="minorHAnsi" w:cstheme="minorHAnsi"/>
                <w:color w:val="000000"/>
                <w:sz w:val="22"/>
                <w:szCs w:val="22"/>
              </w:rPr>
              <w:t xml:space="preserve">847,592 </w:t>
            </w:r>
          </w:p>
        </w:tc>
        <w:tc>
          <w:tcPr>
            <w:tcW w:w="1985" w:type="dxa"/>
            <w:shd w:val="clear" w:color="auto" w:fill="auto"/>
          </w:tcPr>
          <w:p w14:paraId="41D9D4D3" w14:textId="6D3937C4" w:rsidR="00455647" w:rsidRPr="00C77E28" w:rsidRDefault="00455647" w:rsidP="00A45A03">
            <w:pPr>
              <w:widowControl/>
              <w:jc w:val="center"/>
              <w:rPr>
                <w:rFonts w:asciiTheme="minorHAnsi" w:hAnsiTheme="minorHAnsi" w:cstheme="minorHAnsi"/>
                <w:color w:val="000000"/>
                <w:sz w:val="22"/>
                <w:szCs w:val="22"/>
                <w:lang w:eastAsia="en-GB"/>
              </w:rPr>
            </w:pPr>
            <w:r w:rsidRPr="00C77E28">
              <w:rPr>
                <w:rFonts w:asciiTheme="minorHAnsi" w:hAnsiTheme="minorHAnsi" w:cstheme="minorHAnsi"/>
                <w:color w:val="000000"/>
                <w:sz w:val="22"/>
                <w:szCs w:val="22"/>
              </w:rPr>
              <w:t>1,732,737</w:t>
            </w:r>
          </w:p>
          <w:p w14:paraId="5CC67260" w14:textId="77777777" w:rsidR="00455647" w:rsidRPr="00C77E28" w:rsidRDefault="00455647" w:rsidP="00A45A03">
            <w:pPr>
              <w:pStyle w:val="BodyText2"/>
              <w:jc w:val="center"/>
              <w:rPr>
                <w:rFonts w:asciiTheme="minorHAnsi" w:hAnsiTheme="minorHAnsi" w:cstheme="minorHAnsi"/>
                <w:sz w:val="22"/>
                <w:szCs w:val="22"/>
              </w:rPr>
            </w:pPr>
          </w:p>
        </w:tc>
        <w:tc>
          <w:tcPr>
            <w:tcW w:w="1984" w:type="dxa"/>
            <w:shd w:val="clear" w:color="auto" w:fill="auto"/>
          </w:tcPr>
          <w:p w14:paraId="68757A90" w14:textId="3DA9180D" w:rsidR="00455647" w:rsidRPr="00C77E28" w:rsidRDefault="00455647" w:rsidP="00A45A03">
            <w:pPr>
              <w:pStyle w:val="BodyText2"/>
              <w:jc w:val="center"/>
              <w:rPr>
                <w:rFonts w:asciiTheme="minorHAnsi" w:hAnsiTheme="minorHAnsi" w:cstheme="minorHAnsi"/>
                <w:sz w:val="22"/>
                <w:szCs w:val="22"/>
              </w:rPr>
            </w:pPr>
            <w:r w:rsidRPr="00C77E28">
              <w:rPr>
                <w:rFonts w:asciiTheme="minorHAnsi" w:hAnsiTheme="minorHAnsi" w:cstheme="minorHAnsi"/>
                <w:color w:val="000000"/>
                <w:sz w:val="22"/>
                <w:szCs w:val="22"/>
              </w:rPr>
              <w:t>2,580,329</w:t>
            </w:r>
          </w:p>
        </w:tc>
        <w:tc>
          <w:tcPr>
            <w:tcW w:w="1985" w:type="dxa"/>
            <w:shd w:val="clear" w:color="auto" w:fill="auto"/>
            <w:vAlign w:val="center"/>
          </w:tcPr>
          <w:p w14:paraId="5A6510C0" w14:textId="62C94B27" w:rsidR="00455647" w:rsidRPr="00C77E28" w:rsidRDefault="00455647" w:rsidP="00A45A03">
            <w:pPr>
              <w:pStyle w:val="BodyText2"/>
              <w:jc w:val="center"/>
              <w:rPr>
                <w:rFonts w:asciiTheme="minorHAnsi" w:hAnsiTheme="minorHAnsi" w:cstheme="minorHAnsi"/>
                <w:b/>
                <w:sz w:val="22"/>
                <w:szCs w:val="22"/>
              </w:rPr>
            </w:pPr>
            <w:r w:rsidRPr="00C77E28">
              <w:rPr>
                <w:rFonts w:asciiTheme="minorHAnsi" w:hAnsiTheme="minorHAnsi" w:cstheme="minorHAnsi"/>
                <w:b/>
                <w:sz w:val="22"/>
                <w:szCs w:val="22"/>
              </w:rPr>
              <w:t>24%</w:t>
            </w:r>
          </w:p>
        </w:tc>
      </w:tr>
      <w:tr w:rsidR="00455647" w:rsidRPr="00C77E28" w14:paraId="5DE333A7" w14:textId="62454244" w:rsidTr="00455647">
        <w:trPr>
          <w:trHeight w:val="300"/>
        </w:trPr>
        <w:tc>
          <w:tcPr>
            <w:tcW w:w="5342" w:type="dxa"/>
            <w:shd w:val="clear" w:color="auto" w:fill="auto"/>
          </w:tcPr>
          <w:p w14:paraId="2DE03BB3" w14:textId="77777777" w:rsidR="00455647" w:rsidRPr="00C77E28" w:rsidRDefault="00455647" w:rsidP="00A45A03">
            <w:pPr>
              <w:pStyle w:val="BodyText2"/>
              <w:rPr>
                <w:rFonts w:asciiTheme="minorHAnsi" w:hAnsiTheme="minorHAnsi" w:cstheme="minorHAnsi"/>
                <w:sz w:val="22"/>
                <w:szCs w:val="22"/>
              </w:rPr>
            </w:pPr>
            <w:r w:rsidRPr="00C77E28">
              <w:rPr>
                <w:rFonts w:asciiTheme="minorHAnsi" w:hAnsiTheme="minorHAnsi" w:cstheme="minorHAnsi"/>
                <w:sz w:val="22"/>
                <w:szCs w:val="22"/>
              </w:rPr>
              <w:t xml:space="preserve">Poverty and SDGs  </w:t>
            </w:r>
          </w:p>
          <w:p w14:paraId="0E5F1547" w14:textId="77777777" w:rsidR="00455647" w:rsidRPr="00C77E28" w:rsidRDefault="00455647" w:rsidP="00A45A03">
            <w:pPr>
              <w:pStyle w:val="BodyText2"/>
              <w:rPr>
                <w:rFonts w:asciiTheme="minorHAnsi" w:hAnsiTheme="minorHAnsi" w:cstheme="minorHAnsi"/>
                <w:sz w:val="22"/>
                <w:szCs w:val="22"/>
              </w:rPr>
            </w:pPr>
          </w:p>
        </w:tc>
        <w:tc>
          <w:tcPr>
            <w:tcW w:w="2024" w:type="dxa"/>
            <w:shd w:val="clear" w:color="auto" w:fill="auto"/>
          </w:tcPr>
          <w:p w14:paraId="70BFF0B3" w14:textId="45D4A176" w:rsidR="00455647" w:rsidRPr="00C77E28" w:rsidRDefault="00455647" w:rsidP="00A45A03">
            <w:pPr>
              <w:widowControl/>
              <w:jc w:val="center"/>
              <w:rPr>
                <w:rFonts w:asciiTheme="minorHAnsi" w:hAnsiTheme="minorHAnsi" w:cstheme="minorHAnsi"/>
                <w:color w:val="000000"/>
                <w:sz w:val="22"/>
                <w:szCs w:val="22"/>
              </w:rPr>
            </w:pPr>
            <w:r w:rsidRPr="00C77E28">
              <w:rPr>
                <w:rFonts w:asciiTheme="minorHAnsi" w:hAnsiTheme="minorHAnsi" w:cstheme="minorHAnsi"/>
                <w:color w:val="000000"/>
                <w:sz w:val="22"/>
                <w:szCs w:val="22"/>
              </w:rPr>
              <w:t>2,325,739</w:t>
            </w:r>
          </w:p>
        </w:tc>
        <w:tc>
          <w:tcPr>
            <w:tcW w:w="1985" w:type="dxa"/>
            <w:shd w:val="clear" w:color="auto" w:fill="auto"/>
          </w:tcPr>
          <w:p w14:paraId="0E81EDCE" w14:textId="10F091DA" w:rsidR="00455647" w:rsidRPr="00C77E28" w:rsidRDefault="00455647" w:rsidP="00A45A03">
            <w:pPr>
              <w:widowControl/>
              <w:jc w:val="center"/>
              <w:rPr>
                <w:rFonts w:asciiTheme="minorHAnsi" w:hAnsiTheme="minorHAnsi" w:cstheme="minorHAnsi"/>
                <w:color w:val="000000"/>
                <w:sz w:val="22"/>
                <w:szCs w:val="22"/>
              </w:rPr>
            </w:pPr>
            <w:r w:rsidRPr="00C77E28">
              <w:rPr>
                <w:rFonts w:asciiTheme="minorHAnsi" w:hAnsiTheme="minorHAnsi" w:cstheme="minorHAnsi"/>
                <w:color w:val="000000"/>
                <w:sz w:val="22"/>
                <w:szCs w:val="22"/>
              </w:rPr>
              <w:t>1,346,790</w:t>
            </w:r>
          </w:p>
        </w:tc>
        <w:tc>
          <w:tcPr>
            <w:tcW w:w="1984" w:type="dxa"/>
            <w:shd w:val="clear" w:color="auto" w:fill="auto"/>
          </w:tcPr>
          <w:p w14:paraId="298CA52B" w14:textId="5A0B034E" w:rsidR="00455647" w:rsidRPr="00C77E28" w:rsidRDefault="00455647" w:rsidP="00A45A03">
            <w:pPr>
              <w:widowControl/>
              <w:jc w:val="center"/>
              <w:rPr>
                <w:rFonts w:asciiTheme="minorHAnsi" w:hAnsiTheme="minorHAnsi" w:cstheme="minorHAnsi"/>
                <w:color w:val="000000"/>
                <w:sz w:val="22"/>
                <w:szCs w:val="22"/>
              </w:rPr>
            </w:pPr>
            <w:r w:rsidRPr="00C77E28">
              <w:rPr>
                <w:rFonts w:asciiTheme="minorHAnsi" w:hAnsiTheme="minorHAnsi" w:cstheme="minorHAnsi"/>
                <w:color w:val="000000"/>
                <w:sz w:val="22"/>
                <w:szCs w:val="22"/>
              </w:rPr>
              <w:t>3,672,529</w:t>
            </w:r>
          </w:p>
        </w:tc>
        <w:tc>
          <w:tcPr>
            <w:tcW w:w="1985" w:type="dxa"/>
            <w:shd w:val="clear" w:color="auto" w:fill="auto"/>
            <w:vAlign w:val="center"/>
          </w:tcPr>
          <w:p w14:paraId="13A93858" w14:textId="11F91031" w:rsidR="00455647" w:rsidRPr="00C77E28" w:rsidRDefault="00455647" w:rsidP="00A45A03">
            <w:pPr>
              <w:widowControl/>
              <w:jc w:val="center"/>
              <w:rPr>
                <w:rFonts w:asciiTheme="minorHAnsi" w:hAnsiTheme="minorHAnsi" w:cstheme="minorHAnsi"/>
                <w:b/>
                <w:color w:val="000000"/>
                <w:sz w:val="22"/>
                <w:szCs w:val="22"/>
              </w:rPr>
            </w:pPr>
            <w:r w:rsidRPr="00C77E28">
              <w:rPr>
                <w:rFonts w:asciiTheme="minorHAnsi" w:hAnsiTheme="minorHAnsi" w:cstheme="minorHAnsi"/>
                <w:b/>
                <w:color w:val="000000"/>
                <w:sz w:val="22"/>
                <w:szCs w:val="22"/>
              </w:rPr>
              <w:t>34%</w:t>
            </w:r>
          </w:p>
        </w:tc>
      </w:tr>
      <w:tr w:rsidR="00455647" w:rsidRPr="00C77E28" w14:paraId="382766E1" w14:textId="06CA13AA" w:rsidTr="00455647">
        <w:trPr>
          <w:trHeight w:val="300"/>
        </w:trPr>
        <w:tc>
          <w:tcPr>
            <w:tcW w:w="5342" w:type="dxa"/>
            <w:shd w:val="clear" w:color="auto" w:fill="auto"/>
          </w:tcPr>
          <w:p w14:paraId="70416388" w14:textId="77777777" w:rsidR="00455647" w:rsidRPr="00C77E28" w:rsidRDefault="00455647" w:rsidP="00A45A03">
            <w:pPr>
              <w:pStyle w:val="BodyText2"/>
              <w:rPr>
                <w:rFonts w:asciiTheme="minorHAnsi" w:hAnsiTheme="minorHAnsi" w:cstheme="minorHAnsi"/>
                <w:sz w:val="22"/>
                <w:szCs w:val="22"/>
              </w:rPr>
            </w:pPr>
            <w:r w:rsidRPr="00C77E28">
              <w:rPr>
                <w:rFonts w:asciiTheme="minorHAnsi" w:hAnsiTheme="minorHAnsi" w:cstheme="minorHAnsi"/>
                <w:sz w:val="22"/>
                <w:szCs w:val="22"/>
              </w:rPr>
              <w:t xml:space="preserve">Crisis Prevention and Recovery   </w:t>
            </w:r>
          </w:p>
        </w:tc>
        <w:tc>
          <w:tcPr>
            <w:tcW w:w="2024" w:type="dxa"/>
            <w:shd w:val="clear" w:color="auto" w:fill="auto"/>
          </w:tcPr>
          <w:p w14:paraId="17945EC1" w14:textId="328C614C" w:rsidR="00455647" w:rsidRPr="00C77E28" w:rsidRDefault="00455647" w:rsidP="00A45A03">
            <w:pPr>
              <w:widowControl/>
              <w:jc w:val="center"/>
              <w:rPr>
                <w:rFonts w:asciiTheme="minorHAnsi" w:hAnsiTheme="minorHAnsi" w:cstheme="minorHAnsi"/>
                <w:color w:val="000000"/>
                <w:sz w:val="22"/>
                <w:szCs w:val="22"/>
                <w:lang w:eastAsia="en-GB"/>
              </w:rPr>
            </w:pPr>
            <w:r w:rsidRPr="00C77E28">
              <w:rPr>
                <w:rFonts w:asciiTheme="minorHAnsi" w:hAnsiTheme="minorHAnsi" w:cstheme="minorHAnsi"/>
                <w:color w:val="000000"/>
                <w:sz w:val="22"/>
                <w:szCs w:val="22"/>
              </w:rPr>
              <w:t>1,407,939</w:t>
            </w:r>
          </w:p>
          <w:p w14:paraId="3203DFD1" w14:textId="77777777" w:rsidR="00455647" w:rsidRPr="00C77E28" w:rsidRDefault="00455647" w:rsidP="00A45A03">
            <w:pPr>
              <w:pStyle w:val="BodyText2"/>
              <w:jc w:val="center"/>
              <w:rPr>
                <w:rFonts w:asciiTheme="minorHAnsi" w:hAnsiTheme="minorHAnsi" w:cstheme="minorHAnsi"/>
                <w:sz w:val="22"/>
                <w:szCs w:val="22"/>
              </w:rPr>
            </w:pPr>
          </w:p>
        </w:tc>
        <w:tc>
          <w:tcPr>
            <w:tcW w:w="1985" w:type="dxa"/>
            <w:shd w:val="clear" w:color="auto" w:fill="auto"/>
          </w:tcPr>
          <w:p w14:paraId="59AE1643" w14:textId="08B46217" w:rsidR="00455647" w:rsidRPr="00C77E28" w:rsidRDefault="00455647" w:rsidP="00A45A03">
            <w:pPr>
              <w:widowControl/>
              <w:jc w:val="center"/>
              <w:rPr>
                <w:rFonts w:asciiTheme="minorHAnsi" w:hAnsiTheme="minorHAnsi" w:cstheme="minorHAnsi"/>
                <w:color w:val="000000"/>
                <w:sz w:val="22"/>
                <w:szCs w:val="22"/>
                <w:lang w:eastAsia="en-GB"/>
              </w:rPr>
            </w:pPr>
            <w:r w:rsidRPr="00C77E28">
              <w:rPr>
                <w:rFonts w:asciiTheme="minorHAnsi" w:hAnsiTheme="minorHAnsi" w:cstheme="minorHAnsi"/>
                <w:color w:val="000000"/>
                <w:sz w:val="22"/>
                <w:szCs w:val="22"/>
              </w:rPr>
              <w:t>279,970</w:t>
            </w:r>
          </w:p>
          <w:p w14:paraId="0698F12B" w14:textId="77777777" w:rsidR="00455647" w:rsidRPr="00C77E28" w:rsidRDefault="00455647" w:rsidP="00A45A03">
            <w:pPr>
              <w:pStyle w:val="BodyText2"/>
              <w:jc w:val="center"/>
              <w:rPr>
                <w:rFonts w:asciiTheme="minorHAnsi" w:hAnsiTheme="minorHAnsi" w:cstheme="minorHAnsi"/>
                <w:sz w:val="22"/>
                <w:szCs w:val="22"/>
              </w:rPr>
            </w:pPr>
          </w:p>
        </w:tc>
        <w:tc>
          <w:tcPr>
            <w:tcW w:w="1984" w:type="dxa"/>
            <w:shd w:val="clear" w:color="auto" w:fill="auto"/>
          </w:tcPr>
          <w:p w14:paraId="3468B685" w14:textId="3FB8F1F8" w:rsidR="00455647" w:rsidRPr="00C77E28" w:rsidRDefault="00455647" w:rsidP="00A45A03">
            <w:pPr>
              <w:widowControl/>
              <w:jc w:val="center"/>
              <w:rPr>
                <w:rFonts w:asciiTheme="minorHAnsi" w:hAnsiTheme="minorHAnsi" w:cstheme="minorHAnsi"/>
                <w:color w:val="000000"/>
                <w:sz w:val="22"/>
                <w:szCs w:val="22"/>
                <w:lang w:eastAsia="en-GB"/>
              </w:rPr>
            </w:pPr>
            <w:r w:rsidRPr="00C77E28">
              <w:rPr>
                <w:rFonts w:asciiTheme="minorHAnsi" w:hAnsiTheme="minorHAnsi" w:cstheme="minorHAnsi"/>
                <w:color w:val="000000"/>
                <w:sz w:val="22"/>
                <w:szCs w:val="22"/>
              </w:rPr>
              <w:t xml:space="preserve">1,687,909 </w:t>
            </w:r>
          </w:p>
          <w:p w14:paraId="302ED320" w14:textId="77777777" w:rsidR="00455647" w:rsidRPr="00C77E28" w:rsidRDefault="00455647" w:rsidP="00A45A03">
            <w:pPr>
              <w:pStyle w:val="BodyText2"/>
              <w:jc w:val="center"/>
              <w:rPr>
                <w:rFonts w:asciiTheme="minorHAnsi" w:hAnsiTheme="minorHAnsi" w:cstheme="minorHAnsi"/>
                <w:sz w:val="22"/>
                <w:szCs w:val="22"/>
              </w:rPr>
            </w:pPr>
          </w:p>
        </w:tc>
        <w:tc>
          <w:tcPr>
            <w:tcW w:w="1985" w:type="dxa"/>
            <w:shd w:val="clear" w:color="auto" w:fill="auto"/>
            <w:vAlign w:val="center"/>
          </w:tcPr>
          <w:p w14:paraId="608DBA0D" w14:textId="792C4976" w:rsidR="00455647" w:rsidRPr="00C77E28" w:rsidRDefault="00455647" w:rsidP="00A45A03">
            <w:pPr>
              <w:pStyle w:val="BodyText2"/>
              <w:jc w:val="center"/>
              <w:rPr>
                <w:rFonts w:asciiTheme="minorHAnsi" w:hAnsiTheme="minorHAnsi" w:cstheme="minorHAnsi"/>
                <w:b/>
                <w:sz w:val="22"/>
                <w:szCs w:val="22"/>
              </w:rPr>
            </w:pPr>
            <w:r w:rsidRPr="00C77E28">
              <w:rPr>
                <w:rFonts w:asciiTheme="minorHAnsi" w:hAnsiTheme="minorHAnsi" w:cstheme="minorHAnsi"/>
                <w:b/>
                <w:sz w:val="22"/>
                <w:szCs w:val="22"/>
              </w:rPr>
              <w:t>16%</w:t>
            </w:r>
          </w:p>
        </w:tc>
      </w:tr>
      <w:tr w:rsidR="00455647" w:rsidRPr="00C77E28" w14:paraId="7F2559AE" w14:textId="10C73167" w:rsidTr="00455647">
        <w:trPr>
          <w:trHeight w:val="300"/>
        </w:trPr>
        <w:tc>
          <w:tcPr>
            <w:tcW w:w="5342" w:type="dxa"/>
            <w:shd w:val="clear" w:color="auto" w:fill="auto"/>
          </w:tcPr>
          <w:p w14:paraId="5AA29DA1" w14:textId="77777777" w:rsidR="00455647" w:rsidRPr="00C77E28" w:rsidRDefault="00455647" w:rsidP="00A45A03">
            <w:pPr>
              <w:pStyle w:val="BodyText2"/>
              <w:rPr>
                <w:rFonts w:asciiTheme="minorHAnsi" w:hAnsiTheme="minorHAnsi" w:cstheme="minorHAnsi"/>
                <w:sz w:val="22"/>
                <w:szCs w:val="22"/>
              </w:rPr>
            </w:pPr>
            <w:r w:rsidRPr="00C77E28">
              <w:rPr>
                <w:rFonts w:asciiTheme="minorHAnsi" w:hAnsiTheme="minorHAnsi" w:cstheme="minorHAnsi"/>
                <w:sz w:val="22"/>
                <w:szCs w:val="22"/>
              </w:rPr>
              <w:t xml:space="preserve">Environment and Sustainable Development   </w:t>
            </w:r>
          </w:p>
          <w:p w14:paraId="2B8605CD" w14:textId="77777777" w:rsidR="00455647" w:rsidRPr="00C77E28" w:rsidRDefault="00455647" w:rsidP="00A45A03">
            <w:pPr>
              <w:pStyle w:val="BodyText2"/>
              <w:rPr>
                <w:rFonts w:asciiTheme="minorHAnsi" w:hAnsiTheme="minorHAnsi" w:cstheme="minorHAnsi"/>
                <w:sz w:val="22"/>
                <w:szCs w:val="22"/>
              </w:rPr>
            </w:pPr>
          </w:p>
        </w:tc>
        <w:tc>
          <w:tcPr>
            <w:tcW w:w="2024" w:type="dxa"/>
            <w:shd w:val="clear" w:color="auto" w:fill="auto"/>
          </w:tcPr>
          <w:p w14:paraId="4F995AEB" w14:textId="77777777" w:rsidR="00455647" w:rsidRPr="00C77E28" w:rsidRDefault="00455647" w:rsidP="00A45A03">
            <w:pPr>
              <w:widowControl/>
              <w:jc w:val="center"/>
              <w:rPr>
                <w:rFonts w:asciiTheme="minorHAnsi" w:hAnsiTheme="minorHAnsi" w:cstheme="minorHAnsi"/>
                <w:color w:val="000000"/>
                <w:sz w:val="22"/>
                <w:szCs w:val="22"/>
              </w:rPr>
            </w:pPr>
            <w:r w:rsidRPr="00C77E28">
              <w:rPr>
                <w:rFonts w:asciiTheme="minorHAnsi" w:hAnsiTheme="minorHAnsi" w:cstheme="minorHAnsi"/>
                <w:color w:val="000000"/>
                <w:sz w:val="22"/>
                <w:szCs w:val="22"/>
              </w:rPr>
              <w:t>0</w:t>
            </w:r>
          </w:p>
        </w:tc>
        <w:tc>
          <w:tcPr>
            <w:tcW w:w="1985" w:type="dxa"/>
            <w:shd w:val="clear" w:color="auto" w:fill="auto"/>
          </w:tcPr>
          <w:p w14:paraId="4941D438" w14:textId="2EAA7025" w:rsidR="00455647" w:rsidRPr="00C77E28" w:rsidRDefault="00455647" w:rsidP="00A45A03">
            <w:pPr>
              <w:widowControl/>
              <w:jc w:val="center"/>
              <w:rPr>
                <w:rFonts w:asciiTheme="minorHAnsi" w:hAnsiTheme="minorHAnsi" w:cstheme="minorHAnsi"/>
                <w:color w:val="000000"/>
                <w:sz w:val="22"/>
                <w:szCs w:val="22"/>
              </w:rPr>
            </w:pPr>
            <w:r w:rsidRPr="00C77E28">
              <w:rPr>
                <w:rFonts w:asciiTheme="minorHAnsi" w:hAnsiTheme="minorHAnsi" w:cstheme="minorHAnsi"/>
                <w:color w:val="000000"/>
                <w:sz w:val="22"/>
                <w:szCs w:val="22"/>
              </w:rPr>
              <w:t>2,809,875</w:t>
            </w:r>
          </w:p>
        </w:tc>
        <w:tc>
          <w:tcPr>
            <w:tcW w:w="1984" w:type="dxa"/>
            <w:shd w:val="clear" w:color="auto" w:fill="auto"/>
          </w:tcPr>
          <w:p w14:paraId="7D7742EE" w14:textId="45ABADC0" w:rsidR="00455647" w:rsidRPr="00C77E28" w:rsidRDefault="00455647" w:rsidP="00A45A03">
            <w:pPr>
              <w:widowControl/>
              <w:jc w:val="center"/>
              <w:rPr>
                <w:rFonts w:asciiTheme="minorHAnsi" w:hAnsiTheme="minorHAnsi" w:cstheme="minorHAnsi"/>
                <w:color w:val="000000"/>
                <w:sz w:val="22"/>
                <w:szCs w:val="22"/>
              </w:rPr>
            </w:pPr>
            <w:r w:rsidRPr="00C77E28">
              <w:rPr>
                <w:rFonts w:asciiTheme="minorHAnsi" w:hAnsiTheme="minorHAnsi" w:cstheme="minorHAnsi"/>
                <w:color w:val="000000"/>
                <w:sz w:val="22"/>
                <w:szCs w:val="22"/>
              </w:rPr>
              <w:t>2,809,875</w:t>
            </w:r>
          </w:p>
        </w:tc>
        <w:tc>
          <w:tcPr>
            <w:tcW w:w="1985" w:type="dxa"/>
            <w:shd w:val="clear" w:color="auto" w:fill="auto"/>
            <w:vAlign w:val="center"/>
          </w:tcPr>
          <w:p w14:paraId="634F9573" w14:textId="503B23E3" w:rsidR="00455647" w:rsidRPr="00C77E28" w:rsidRDefault="00455647" w:rsidP="00A45A03">
            <w:pPr>
              <w:widowControl/>
              <w:jc w:val="center"/>
              <w:rPr>
                <w:rFonts w:asciiTheme="minorHAnsi" w:hAnsiTheme="minorHAnsi" w:cstheme="minorHAnsi"/>
                <w:b/>
                <w:color w:val="000000"/>
                <w:sz w:val="22"/>
                <w:szCs w:val="22"/>
              </w:rPr>
            </w:pPr>
            <w:r w:rsidRPr="00C77E28">
              <w:rPr>
                <w:rFonts w:asciiTheme="minorHAnsi" w:hAnsiTheme="minorHAnsi" w:cstheme="minorHAnsi"/>
                <w:b/>
                <w:color w:val="000000"/>
                <w:sz w:val="22"/>
                <w:szCs w:val="22"/>
              </w:rPr>
              <w:t>26%</w:t>
            </w:r>
          </w:p>
        </w:tc>
      </w:tr>
      <w:tr w:rsidR="00455647" w:rsidRPr="00C77E28" w14:paraId="10272E1D" w14:textId="5FCB9986" w:rsidTr="00455647">
        <w:trPr>
          <w:trHeight w:val="300"/>
        </w:trPr>
        <w:tc>
          <w:tcPr>
            <w:tcW w:w="5342" w:type="dxa"/>
            <w:shd w:val="clear" w:color="auto" w:fill="00B0F0"/>
          </w:tcPr>
          <w:p w14:paraId="56EE608B" w14:textId="77777777" w:rsidR="00455647" w:rsidRPr="00C77E28" w:rsidRDefault="00455647" w:rsidP="00A45A03">
            <w:pPr>
              <w:pStyle w:val="BodyText2"/>
              <w:jc w:val="center"/>
              <w:rPr>
                <w:rFonts w:asciiTheme="minorHAnsi" w:hAnsiTheme="minorHAnsi" w:cstheme="minorHAnsi"/>
                <w:b/>
                <w:sz w:val="22"/>
                <w:szCs w:val="22"/>
              </w:rPr>
            </w:pPr>
            <w:r w:rsidRPr="00C77E28">
              <w:rPr>
                <w:rFonts w:asciiTheme="minorHAnsi" w:hAnsiTheme="minorHAnsi" w:cstheme="minorHAnsi"/>
                <w:b/>
                <w:sz w:val="22"/>
                <w:szCs w:val="22"/>
              </w:rPr>
              <w:t>Total</w:t>
            </w:r>
          </w:p>
        </w:tc>
        <w:tc>
          <w:tcPr>
            <w:tcW w:w="2024" w:type="dxa"/>
            <w:shd w:val="clear" w:color="auto" w:fill="00B0F0"/>
          </w:tcPr>
          <w:p w14:paraId="58551B52" w14:textId="535F1E99" w:rsidR="00455647" w:rsidRPr="00C77E28" w:rsidRDefault="00455647" w:rsidP="00A45A03">
            <w:pPr>
              <w:pStyle w:val="BodyText2"/>
              <w:jc w:val="center"/>
              <w:rPr>
                <w:rFonts w:asciiTheme="minorHAnsi" w:hAnsiTheme="minorHAnsi" w:cstheme="minorHAnsi"/>
                <w:b/>
                <w:sz w:val="22"/>
                <w:szCs w:val="22"/>
              </w:rPr>
            </w:pPr>
            <w:r w:rsidRPr="00C77E28">
              <w:rPr>
                <w:rFonts w:asciiTheme="minorHAnsi" w:hAnsiTheme="minorHAnsi" w:cstheme="minorHAnsi"/>
                <w:b/>
                <w:sz w:val="22"/>
                <w:szCs w:val="22"/>
              </w:rPr>
              <w:t>4,581,270</w:t>
            </w:r>
          </w:p>
        </w:tc>
        <w:tc>
          <w:tcPr>
            <w:tcW w:w="1985" w:type="dxa"/>
            <w:shd w:val="clear" w:color="auto" w:fill="00B0F0"/>
          </w:tcPr>
          <w:p w14:paraId="05DA7DE7" w14:textId="7CCEDF09" w:rsidR="00455647" w:rsidRPr="00C77E28" w:rsidRDefault="00455647" w:rsidP="00A45A03">
            <w:pPr>
              <w:pStyle w:val="BodyText2"/>
              <w:jc w:val="center"/>
              <w:rPr>
                <w:rFonts w:asciiTheme="minorHAnsi" w:hAnsiTheme="minorHAnsi" w:cstheme="minorHAnsi"/>
                <w:b/>
                <w:sz w:val="22"/>
                <w:szCs w:val="22"/>
              </w:rPr>
            </w:pPr>
            <w:r w:rsidRPr="00C77E28">
              <w:rPr>
                <w:rFonts w:asciiTheme="minorHAnsi" w:hAnsiTheme="minorHAnsi" w:cstheme="minorHAnsi"/>
                <w:b/>
                <w:sz w:val="22"/>
                <w:szCs w:val="22"/>
              </w:rPr>
              <w:t>6,169,322</w:t>
            </w:r>
          </w:p>
        </w:tc>
        <w:tc>
          <w:tcPr>
            <w:tcW w:w="1984" w:type="dxa"/>
            <w:shd w:val="clear" w:color="auto" w:fill="00B0F0"/>
          </w:tcPr>
          <w:p w14:paraId="6973077B" w14:textId="4C33817B" w:rsidR="00455647" w:rsidRPr="00C77E28" w:rsidRDefault="00455647" w:rsidP="00A45A03">
            <w:pPr>
              <w:pStyle w:val="BodyText2"/>
              <w:jc w:val="center"/>
              <w:rPr>
                <w:rFonts w:asciiTheme="minorHAnsi" w:hAnsiTheme="minorHAnsi" w:cstheme="minorHAnsi"/>
                <w:b/>
                <w:sz w:val="22"/>
                <w:szCs w:val="22"/>
              </w:rPr>
            </w:pPr>
            <w:r w:rsidRPr="00C77E28">
              <w:rPr>
                <w:rFonts w:asciiTheme="minorHAnsi" w:hAnsiTheme="minorHAnsi" w:cstheme="minorHAnsi"/>
                <w:b/>
                <w:sz w:val="22"/>
                <w:szCs w:val="22"/>
              </w:rPr>
              <w:t>10 750 642</w:t>
            </w:r>
          </w:p>
        </w:tc>
        <w:tc>
          <w:tcPr>
            <w:tcW w:w="1985" w:type="dxa"/>
            <w:shd w:val="clear" w:color="auto" w:fill="00B0F0"/>
          </w:tcPr>
          <w:p w14:paraId="7CF2F829" w14:textId="77777777" w:rsidR="00455647" w:rsidRPr="00C77E28" w:rsidRDefault="00455647" w:rsidP="00A45A03">
            <w:pPr>
              <w:pStyle w:val="BodyText2"/>
              <w:jc w:val="center"/>
              <w:rPr>
                <w:rFonts w:asciiTheme="minorHAnsi" w:hAnsiTheme="minorHAnsi" w:cstheme="minorHAnsi"/>
                <w:sz w:val="22"/>
                <w:szCs w:val="22"/>
              </w:rPr>
            </w:pPr>
          </w:p>
        </w:tc>
      </w:tr>
    </w:tbl>
    <w:p w14:paraId="27941EF6" w14:textId="77777777" w:rsidR="003521DB" w:rsidRPr="00C77E28" w:rsidRDefault="003521DB" w:rsidP="003521DB">
      <w:pPr>
        <w:pStyle w:val="BodyText2"/>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3521DB" w:rsidRPr="00C77E28" w14:paraId="2AD1622C" w14:textId="77777777" w:rsidTr="00A45A03">
        <w:tc>
          <w:tcPr>
            <w:tcW w:w="14176" w:type="dxa"/>
            <w:shd w:val="clear" w:color="auto" w:fill="auto"/>
          </w:tcPr>
          <w:p w14:paraId="78749051" w14:textId="77777777" w:rsidR="003521DB" w:rsidRPr="00C77E28" w:rsidRDefault="003521DB" w:rsidP="00A45A03">
            <w:pPr>
              <w:pStyle w:val="BodyText2"/>
              <w:rPr>
                <w:rFonts w:asciiTheme="minorHAnsi" w:hAnsiTheme="minorHAnsi" w:cstheme="minorHAnsi"/>
                <w:b/>
                <w:sz w:val="22"/>
                <w:szCs w:val="22"/>
              </w:rPr>
            </w:pPr>
            <w:r w:rsidRPr="00C77E28">
              <w:rPr>
                <w:rFonts w:asciiTheme="minorHAnsi" w:hAnsiTheme="minorHAnsi" w:cstheme="minorHAnsi"/>
                <w:b/>
                <w:sz w:val="22"/>
                <w:szCs w:val="22"/>
              </w:rPr>
              <w:t xml:space="preserve">Data sources:  (please indicate the main sources from which data were obtained for this report.) </w:t>
            </w:r>
          </w:p>
        </w:tc>
      </w:tr>
      <w:tr w:rsidR="003521DB" w:rsidRPr="00C77E28" w14:paraId="7C9991A1" w14:textId="77777777" w:rsidTr="00A45A03">
        <w:tc>
          <w:tcPr>
            <w:tcW w:w="14176" w:type="dxa"/>
            <w:shd w:val="clear" w:color="auto" w:fill="auto"/>
          </w:tcPr>
          <w:p w14:paraId="3DAFF772" w14:textId="77777777" w:rsidR="003521DB" w:rsidRPr="00C77E28" w:rsidRDefault="003521DB" w:rsidP="00A45A03">
            <w:pPr>
              <w:pStyle w:val="BodyText2"/>
              <w:rPr>
                <w:rFonts w:asciiTheme="minorHAnsi" w:hAnsiTheme="minorHAnsi" w:cstheme="minorHAnsi"/>
                <w:b/>
                <w:sz w:val="22"/>
                <w:szCs w:val="22"/>
              </w:rPr>
            </w:pPr>
          </w:p>
          <w:p w14:paraId="0958DAA7" w14:textId="1E54A59E" w:rsidR="003521DB" w:rsidRPr="00C77E28" w:rsidRDefault="003521DB" w:rsidP="00A45A03">
            <w:pPr>
              <w:pStyle w:val="FootnoteText"/>
              <w:numPr>
                <w:ilvl w:val="0"/>
                <w:numId w:val="31"/>
              </w:numPr>
              <w:rPr>
                <w:rFonts w:asciiTheme="minorHAnsi" w:hAnsiTheme="minorHAnsi" w:cstheme="minorHAnsi"/>
                <w:sz w:val="22"/>
                <w:szCs w:val="22"/>
              </w:rPr>
            </w:pPr>
            <w:r w:rsidRPr="00C77E28">
              <w:rPr>
                <w:rFonts w:asciiTheme="minorHAnsi" w:hAnsiTheme="minorHAnsi" w:cstheme="minorHAnsi"/>
                <w:sz w:val="22"/>
                <w:szCs w:val="22"/>
              </w:rPr>
              <w:t xml:space="preserve">UNDP Human Development Report, </w:t>
            </w:r>
            <w:r w:rsidR="008455E2" w:rsidRPr="00C77E28">
              <w:rPr>
                <w:rFonts w:asciiTheme="minorHAnsi" w:hAnsiTheme="minorHAnsi" w:cstheme="minorHAnsi"/>
                <w:sz w:val="22"/>
                <w:szCs w:val="22"/>
              </w:rPr>
              <w:t xml:space="preserve">2018 and </w:t>
            </w:r>
            <w:r w:rsidR="00BD18CD" w:rsidRPr="00C77E28">
              <w:rPr>
                <w:rFonts w:asciiTheme="minorHAnsi" w:hAnsiTheme="minorHAnsi" w:cstheme="minorHAnsi"/>
                <w:sz w:val="22"/>
                <w:szCs w:val="22"/>
              </w:rPr>
              <w:t>2021</w:t>
            </w:r>
          </w:p>
          <w:p w14:paraId="40BDC48E" w14:textId="4343339C" w:rsidR="003521DB" w:rsidRPr="00C77E28" w:rsidRDefault="003521DB" w:rsidP="00A45A03">
            <w:pPr>
              <w:pStyle w:val="BodyText2"/>
              <w:numPr>
                <w:ilvl w:val="0"/>
                <w:numId w:val="31"/>
              </w:numPr>
              <w:rPr>
                <w:rFonts w:asciiTheme="minorHAnsi" w:hAnsiTheme="minorHAnsi" w:cstheme="minorHAnsi"/>
                <w:sz w:val="22"/>
                <w:szCs w:val="22"/>
              </w:rPr>
            </w:pPr>
            <w:r w:rsidRPr="00C77E28">
              <w:rPr>
                <w:rFonts w:asciiTheme="minorHAnsi" w:hAnsiTheme="minorHAnsi" w:cstheme="minorHAnsi"/>
                <w:sz w:val="22"/>
                <w:szCs w:val="22"/>
              </w:rPr>
              <w:t xml:space="preserve">UNDP, </w:t>
            </w:r>
            <w:r w:rsidR="00BD18CD" w:rsidRPr="00C77E28">
              <w:rPr>
                <w:rFonts w:asciiTheme="minorHAnsi" w:hAnsiTheme="minorHAnsi" w:cstheme="minorHAnsi"/>
                <w:sz w:val="22"/>
                <w:szCs w:val="22"/>
              </w:rPr>
              <w:t>2020</w:t>
            </w:r>
            <w:r w:rsidRPr="00C77E28">
              <w:rPr>
                <w:rFonts w:asciiTheme="minorHAnsi" w:hAnsiTheme="minorHAnsi" w:cstheme="minorHAnsi"/>
                <w:sz w:val="22"/>
                <w:szCs w:val="22"/>
              </w:rPr>
              <w:t xml:space="preserve">, Results Oriented Annual Report, UNDP </w:t>
            </w:r>
            <w:r w:rsidR="00BD18CD" w:rsidRPr="00C77E28">
              <w:rPr>
                <w:rFonts w:asciiTheme="minorHAnsi" w:hAnsiTheme="minorHAnsi" w:cstheme="minorHAnsi"/>
                <w:sz w:val="22"/>
                <w:szCs w:val="22"/>
              </w:rPr>
              <w:t>Gabon</w:t>
            </w:r>
            <w:r w:rsidRPr="00C77E28">
              <w:rPr>
                <w:rFonts w:asciiTheme="minorHAnsi" w:hAnsiTheme="minorHAnsi" w:cstheme="minorHAnsi"/>
                <w:sz w:val="22"/>
                <w:szCs w:val="22"/>
              </w:rPr>
              <w:t xml:space="preserve"> </w:t>
            </w:r>
          </w:p>
          <w:p w14:paraId="52C25F94" w14:textId="52AB31F6" w:rsidR="00BD18CD" w:rsidRPr="00C77E28" w:rsidRDefault="00BD18CD" w:rsidP="00BD18CD">
            <w:pPr>
              <w:pStyle w:val="BodyText2"/>
              <w:numPr>
                <w:ilvl w:val="0"/>
                <w:numId w:val="31"/>
              </w:numPr>
              <w:rPr>
                <w:rFonts w:asciiTheme="minorHAnsi" w:hAnsiTheme="minorHAnsi" w:cstheme="minorHAnsi"/>
                <w:sz w:val="22"/>
                <w:szCs w:val="22"/>
              </w:rPr>
            </w:pPr>
            <w:r w:rsidRPr="00C77E28">
              <w:rPr>
                <w:rFonts w:asciiTheme="minorHAnsi" w:hAnsiTheme="minorHAnsi" w:cstheme="minorHAnsi"/>
                <w:sz w:val="22"/>
                <w:szCs w:val="22"/>
              </w:rPr>
              <w:t xml:space="preserve">UNDP, 2021, Results Oriented Annual Report, UNDP Gabon </w:t>
            </w:r>
          </w:p>
          <w:p w14:paraId="4F0B985E" w14:textId="5D355C84" w:rsidR="003521DB" w:rsidRPr="00C77E28" w:rsidRDefault="003521DB" w:rsidP="00A45A03">
            <w:pPr>
              <w:pStyle w:val="FootnoteText"/>
              <w:numPr>
                <w:ilvl w:val="0"/>
                <w:numId w:val="31"/>
              </w:numPr>
              <w:rPr>
                <w:rFonts w:asciiTheme="minorHAnsi" w:hAnsiTheme="minorHAnsi" w:cstheme="minorHAnsi"/>
                <w:sz w:val="22"/>
                <w:szCs w:val="22"/>
              </w:rPr>
            </w:pPr>
            <w:r w:rsidRPr="00C77E28">
              <w:rPr>
                <w:rFonts w:asciiTheme="minorHAnsi" w:hAnsiTheme="minorHAnsi" w:cstheme="minorHAnsi"/>
                <w:sz w:val="22"/>
                <w:szCs w:val="22"/>
              </w:rPr>
              <w:t xml:space="preserve">UNDP, </w:t>
            </w:r>
            <w:r w:rsidR="00BD18CD" w:rsidRPr="00C77E28">
              <w:rPr>
                <w:rFonts w:asciiTheme="minorHAnsi" w:hAnsiTheme="minorHAnsi" w:cstheme="minorHAnsi"/>
                <w:sz w:val="22"/>
                <w:szCs w:val="22"/>
              </w:rPr>
              <w:t>2022</w:t>
            </w:r>
            <w:r w:rsidRPr="00C77E28">
              <w:rPr>
                <w:rFonts w:asciiTheme="minorHAnsi" w:hAnsiTheme="minorHAnsi" w:cstheme="minorHAnsi"/>
                <w:sz w:val="22"/>
                <w:szCs w:val="22"/>
              </w:rPr>
              <w:t xml:space="preserve">, </w:t>
            </w:r>
            <w:r w:rsidR="00BD18CD" w:rsidRPr="00C77E28">
              <w:rPr>
                <w:rFonts w:asciiTheme="minorHAnsi" w:hAnsiTheme="minorHAnsi" w:cstheme="minorHAnsi"/>
                <w:sz w:val="22"/>
                <w:szCs w:val="22"/>
              </w:rPr>
              <w:t>CPD 2018-2022 Final Evaluation Report, UNDP Gabon</w:t>
            </w:r>
          </w:p>
          <w:p w14:paraId="632B0E51" w14:textId="4114CF21" w:rsidR="00B11B17" w:rsidRPr="00C77E28" w:rsidRDefault="00B11B17" w:rsidP="00A45A03">
            <w:pPr>
              <w:pStyle w:val="FootnoteText"/>
              <w:numPr>
                <w:ilvl w:val="0"/>
                <w:numId w:val="31"/>
              </w:numPr>
              <w:rPr>
                <w:rFonts w:asciiTheme="minorHAnsi" w:hAnsiTheme="minorHAnsi" w:cstheme="minorHAnsi"/>
                <w:sz w:val="22"/>
                <w:szCs w:val="22"/>
              </w:rPr>
            </w:pPr>
            <w:r w:rsidRPr="00C77E28">
              <w:rPr>
                <w:rFonts w:asciiTheme="minorHAnsi" w:hAnsiTheme="minorHAnsi" w:cstheme="minorHAnsi"/>
                <w:sz w:val="22"/>
                <w:szCs w:val="22"/>
              </w:rPr>
              <w:t>UNDP Snapshot and Stream</w:t>
            </w:r>
          </w:p>
          <w:p w14:paraId="13AF667C" w14:textId="22D51FBC" w:rsidR="00567607" w:rsidRPr="00C77E28" w:rsidRDefault="00567607" w:rsidP="00BC4780">
            <w:pPr>
              <w:pStyle w:val="FootnoteText"/>
              <w:numPr>
                <w:ilvl w:val="0"/>
                <w:numId w:val="31"/>
              </w:numPr>
              <w:rPr>
                <w:rFonts w:asciiTheme="minorHAnsi" w:hAnsiTheme="minorHAnsi" w:cstheme="minorHAnsi"/>
                <w:sz w:val="22"/>
                <w:szCs w:val="22"/>
              </w:rPr>
            </w:pPr>
            <w:r w:rsidRPr="00C77E28">
              <w:rPr>
                <w:rFonts w:asciiTheme="minorHAnsi" w:hAnsiTheme="minorHAnsi" w:cstheme="minorHAnsi"/>
                <w:sz w:val="22"/>
                <w:szCs w:val="22"/>
              </w:rPr>
              <w:t>ILOSTAT</w:t>
            </w:r>
          </w:p>
          <w:p w14:paraId="0AE13421" w14:textId="77777777" w:rsidR="003521DB" w:rsidRPr="00C77E28" w:rsidRDefault="003521DB" w:rsidP="00A45A03">
            <w:pPr>
              <w:pStyle w:val="BodyText2"/>
              <w:rPr>
                <w:rFonts w:asciiTheme="minorHAnsi" w:hAnsiTheme="minorHAnsi" w:cstheme="minorHAnsi"/>
                <w:b/>
                <w:sz w:val="22"/>
                <w:szCs w:val="22"/>
              </w:rPr>
            </w:pPr>
          </w:p>
        </w:tc>
      </w:tr>
    </w:tbl>
    <w:p w14:paraId="2A74BDCF" w14:textId="77777777" w:rsidR="003521DB" w:rsidRPr="00C77E28" w:rsidRDefault="003521DB" w:rsidP="003521DB">
      <w:pPr>
        <w:pStyle w:val="BodyText2"/>
        <w:rPr>
          <w:rFonts w:asciiTheme="minorHAnsi" w:hAnsiTheme="minorHAnsi" w:cstheme="minorHAnsi"/>
          <w:sz w:val="22"/>
          <w:szCs w:val="22"/>
        </w:rPr>
      </w:pPr>
    </w:p>
    <w:p w14:paraId="5BA26C77" w14:textId="77777777" w:rsidR="003521DB" w:rsidRPr="00C77E28" w:rsidRDefault="003521DB" w:rsidP="003521DB">
      <w:pPr>
        <w:rPr>
          <w:rFonts w:asciiTheme="minorHAnsi" w:hAnsiTheme="minorHAnsi" w:cstheme="minorHAnsi"/>
          <w:sz w:val="22"/>
          <w:szCs w:val="22"/>
        </w:rPr>
      </w:pPr>
    </w:p>
    <w:p w14:paraId="5F9F9CE8" w14:textId="77777777" w:rsidR="00426C17" w:rsidRPr="00C77E28" w:rsidRDefault="00426C17">
      <w:pPr>
        <w:rPr>
          <w:rFonts w:asciiTheme="minorHAnsi" w:hAnsiTheme="minorHAnsi" w:cstheme="minorHAnsi"/>
          <w:sz w:val="22"/>
          <w:szCs w:val="22"/>
        </w:rPr>
      </w:pPr>
    </w:p>
    <w:sectPr w:rsidR="00426C17" w:rsidRPr="00C77E28" w:rsidSect="00A45A03">
      <w:headerReference w:type="default" r:id="rId13"/>
      <w:footerReference w:type="default" r:id="rId14"/>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570B" w14:textId="77777777" w:rsidR="005B6E19" w:rsidRDefault="005B6E19" w:rsidP="003521DB">
      <w:r>
        <w:separator/>
      </w:r>
    </w:p>
  </w:endnote>
  <w:endnote w:type="continuationSeparator" w:id="0">
    <w:p w14:paraId="154D1C67" w14:textId="77777777" w:rsidR="005B6E19" w:rsidRDefault="005B6E19" w:rsidP="003521DB">
      <w:r>
        <w:continuationSeparator/>
      </w:r>
    </w:p>
  </w:endnote>
  <w:endnote w:type="continuationNotice" w:id="1">
    <w:p w14:paraId="2B7406D5" w14:textId="77777777" w:rsidR="00EC26E3" w:rsidRDefault="00EC2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B336" w14:textId="77777777" w:rsidR="003521DB" w:rsidRDefault="003521DB">
    <w:pPr>
      <w:pStyle w:val="Footer"/>
      <w:jc w:val="center"/>
    </w:pPr>
    <w:r>
      <w:fldChar w:fldCharType="begin"/>
    </w:r>
    <w:r>
      <w:instrText xml:space="preserve"> PAGE   \* MERGEFORMAT </w:instrText>
    </w:r>
    <w:r>
      <w:fldChar w:fldCharType="separate"/>
    </w:r>
    <w:r>
      <w:rPr>
        <w:noProof/>
      </w:rPr>
      <w:t>3</w:t>
    </w:r>
    <w:r>
      <w:rPr>
        <w:noProof/>
      </w:rPr>
      <w:fldChar w:fldCharType="end"/>
    </w:r>
  </w:p>
  <w:p w14:paraId="3286C714" w14:textId="77777777" w:rsidR="003521DB" w:rsidRDefault="0035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90DD" w14:textId="77777777" w:rsidR="00A45A03" w:rsidRDefault="00483AD5">
    <w:pPr>
      <w:pStyle w:val="Footer"/>
      <w:jc w:val="center"/>
    </w:pPr>
    <w:r>
      <w:fldChar w:fldCharType="begin"/>
    </w:r>
    <w:r>
      <w:instrText xml:space="preserve"> PAGE   \* MERGEFORMAT </w:instrText>
    </w:r>
    <w:r>
      <w:fldChar w:fldCharType="separate"/>
    </w:r>
    <w:r>
      <w:rPr>
        <w:noProof/>
      </w:rPr>
      <w:t>1</w:t>
    </w:r>
    <w:r>
      <w:fldChar w:fldCharType="end"/>
    </w:r>
  </w:p>
  <w:p w14:paraId="549D5DA1" w14:textId="77777777" w:rsidR="00A45A03" w:rsidRDefault="00A4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0553" w14:textId="77777777" w:rsidR="005B6E19" w:rsidRDefault="005B6E19" w:rsidP="003521DB">
      <w:r>
        <w:separator/>
      </w:r>
    </w:p>
  </w:footnote>
  <w:footnote w:type="continuationSeparator" w:id="0">
    <w:p w14:paraId="6829CA1D" w14:textId="77777777" w:rsidR="005B6E19" w:rsidRDefault="005B6E19" w:rsidP="003521DB">
      <w:r>
        <w:continuationSeparator/>
      </w:r>
    </w:p>
  </w:footnote>
  <w:footnote w:type="continuationNotice" w:id="1">
    <w:p w14:paraId="5B7501F8" w14:textId="77777777" w:rsidR="00EC26E3" w:rsidRDefault="00EC26E3"/>
  </w:footnote>
  <w:footnote w:id="2">
    <w:p w14:paraId="28E681A4" w14:textId="77777777" w:rsidR="003521DB" w:rsidRPr="00A70DE9" w:rsidRDefault="003521DB" w:rsidP="003521DB">
      <w:pPr>
        <w:pStyle w:val="FootnoteText"/>
        <w:rPr>
          <w:sz w:val="18"/>
          <w:szCs w:val="18"/>
        </w:rPr>
      </w:pPr>
      <w:r w:rsidRPr="00A70DE9">
        <w:rPr>
          <w:rStyle w:val="FootnoteReference"/>
          <w:sz w:val="18"/>
          <w:szCs w:val="18"/>
        </w:rPr>
        <w:footnoteRef/>
      </w:r>
      <w:r w:rsidRPr="00A70DE9">
        <w:rPr>
          <w:sz w:val="18"/>
          <w:szCs w:val="18"/>
        </w:rPr>
        <w:t xml:space="preserve"> This assessment of results is to be prepared only in the absence of a completed Independent Country Programme Evaluation (ICPE) for the cycle.</w:t>
      </w:r>
    </w:p>
  </w:footnote>
  <w:footnote w:id="3">
    <w:p w14:paraId="00EA9053" w14:textId="170B8DF2" w:rsidR="003521DB" w:rsidRPr="00D32690" w:rsidRDefault="003521DB" w:rsidP="003521DB">
      <w:pPr>
        <w:pStyle w:val="FootnoteText"/>
        <w:rPr>
          <w:sz w:val="18"/>
          <w:szCs w:val="18"/>
          <w:lang w:val="en-GB"/>
        </w:rPr>
      </w:pPr>
      <w:r w:rsidRPr="00B11B17">
        <w:rPr>
          <w:rStyle w:val="FootnoteReference"/>
          <w:sz w:val="18"/>
          <w:szCs w:val="18"/>
        </w:rPr>
        <w:footnoteRef/>
      </w:r>
      <w:r w:rsidRPr="00B11B17">
        <w:rPr>
          <w:sz w:val="18"/>
          <w:szCs w:val="18"/>
        </w:rPr>
        <w:t xml:space="preserve"> The findings in this section are based on the review of </w:t>
      </w:r>
      <w:r w:rsidR="00B11B17" w:rsidRPr="00B11B17">
        <w:rPr>
          <w:sz w:val="18"/>
          <w:szCs w:val="18"/>
        </w:rPr>
        <w:t xml:space="preserve">CPD </w:t>
      </w:r>
      <w:r w:rsidRPr="00B11B17">
        <w:rPr>
          <w:sz w:val="18"/>
          <w:szCs w:val="18"/>
        </w:rPr>
        <w:t>Evaluation Report</w:t>
      </w:r>
      <w:r w:rsidRPr="00B11B17">
        <w:rPr>
          <w:rStyle w:val="FootnoteReference"/>
          <w:sz w:val="18"/>
          <w:szCs w:val="18"/>
        </w:rPr>
        <w:footnoteRef/>
      </w:r>
      <w:r w:rsidRPr="00B11B17">
        <w:rPr>
          <w:sz w:val="18"/>
          <w:szCs w:val="18"/>
        </w:rPr>
        <w:t xml:space="preserve"> and three CPD 2018 - 2022 Result Oriented Annual Reports (ROAR) for </w:t>
      </w:r>
      <w:r w:rsidR="00B11B17" w:rsidRPr="00B11B17">
        <w:rPr>
          <w:sz w:val="18"/>
          <w:szCs w:val="18"/>
        </w:rPr>
        <w:t>Gabon</w:t>
      </w:r>
      <w:r w:rsidRPr="00B11B17">
        <w:rPr>
          <w:sz w:val="18"/>
          <w:szCs w:val="18"/>
        </w:rPr>
        <w:t>.</w:t>
      </w:r>
      <w:r w:rsidRPr="00D32690">
        <w:rPr>
          <w:rFonts w:ascii="Calibri" w:hAnsi="Calibri"/>
          <w:sz w:val="18"/>
          <w:szCs w:val="18"/>
        </w:rPr>
        <w:t xml:space="preserve"> </w:t>
      </w:r>
    </w:p>
  </w:footnote>
  <w:footnote w:id="4">
    <w:p w14:paraId="77364D82" w14:textId="1730B287" w:rsidR="00455647" w:rsidRPr="00C8047E" w:rsidRDefault="00455647" w:rsidP="006F5054">
      <w:pPr>
        <w:pStyle w:val="FootnoteText"/>
        <w:rPr>
          <w:sz w:val="18"/>
          <w:szCs w:val="18"/>
        </w:rPr>
      </w:pPr>
      <w:r w:rsidRPr="00C8047E">
        <w:rPr>
          <w:rStyle w:val="FootnoteReference"/>
          <w:sz w:val="18"/>
          <w:szCs w:val="18"/>
        </w:rPr>
        <w:footnoteRef/>
      </w:r>
      <w:r w:rsidRPr="00C8047E">
        <w:rPr>
          <w:sz w:val="18"/>
          <w:szCs w:val="18"/>
        </w:rPr>
        <w:t xml:space="preserve"> Focus area of the Country Programme 2018-2022 for </w:t>
      </w:r>
      <w:r>
        <w:rPr>
          <w:sz w:val="18"/>
          <w:szCs w:val="18"/>
        </w:rPr>
        <w:t>Gabon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6BCA" w14:textId="77777777" w:rsidR="00A45A03" w:rsidRPr="00517955" w:rsidRDefault="00483AD5" w:rsidP="00A45A03">
    <w:pPr>
      <w:pStyle w:val="Header"/>
      <w:rPr>
        <w:rFonts w:ascii="Calibri" w:hAnsi="Calibri"/>
      </w:rPr>
    </w:pPr>
    <w:r>
      <w:rPr>
        <w:rFonts w:ascii="Calibri" w:hAnsi="Calibri"/>
      </w:rPr>
      <w:t xml:space="preserve">SECOND </w:t>
    </w:r>
    <w:r w:rsidRPr="00517955">
      <w:rPr>
        <w:rFonts w:ascii="Calibri" w:hAnsi="Calibri"/>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64"/>
    <w:multiLevelType w:val="hybridMultilevel"/>
    <w:tmpl w:val="CE3E9B20"/>
    <w:lvl w:ilvl="0" w:tplc="CEDA15A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B3F52"/>
    <w:multiLevelType w:val="multilevel"/>
    <w:tmpl w:val="F35EF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7A2E7B"/>
    <w:multiLevelType w:val="hybridMultilevel"/>
    <w:tmpl w:val="D5049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771CE"/>
    <w:multiLevelType w:val="multilevel"/>
    <w:tmpl w:val="62780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0902E3"/>
    <w:multiLevelType w:val="hybridMultilevel"/>
    <w:tmpl w:val="F7DC7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07B57"/>
    <w:multiLevelType w:val="hybridMultilevel"/>
    <w:tmpl w:val="0FC65B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98B3DE0"/>
    <w:multiLevelType w:val="multilevel"/>
    <w:tmpl w:val="05A4C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426C3"/>
    <w:multiLevelType w:val="hybridMultilevel"/>
    <w:tmpl w:val="125EE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73427"/>
    <w:multiLevelType w:val="multilevel"/>
    <w:tmpl w:val="D8B64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106E00"/>
    <w:multiLevelType w:val="hybridMultilevel"/>
    <w:tmpl w:val="9B1C0A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28687A"/>
    <w:multiLevelType w:val="hybridMultilevel"/>
    <w:tmpl w:val="AF1E88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832A95"/>
    <w:multiLevelType w:val="multilevel"/>
    <w:tmpl w:val="A15835E0"/>
    <w:lvl w:ilvl="0">
      <w:start w:val="3"/>
      <w:numFmt w:val="bullet"/>
      <w:lvlText w:val="-"/>
      <w:lvlJc w:val="left"/>
      <w:pPr>
        <w:ind w:left="720" w:hanging="360"/>
      </w:pPr>
      <w:rPr>
        <w:rFonts w:ascii="Calibri" w:eastAsia="Calibri" w:hAnsi="Calibri" w:cs="Calibri" w:hint="default"/>
        <w:color w:val="auto"/>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832110"/>
    <w:multiLevelType w:val="hybridMultilevel"/>
    <w:tmpl w:val="1922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E482B"/>
    <w:multiLevelType w:val="hybridMultilevel"/>
    <w:tmpl w:val="DEE0F1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23BDB"/>
    <w:multiLevelType w:val="multilevel"/>
    <w:tmpl w:val="27044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2D674D"/>
    <w:multiLevelType w:val="hybridMultilevel"/>
    <w:tmpl w:val="391E91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5" w15:restartNumberingAfterBreak="0">
    <w:nsid w:val="3F9616FC"/>
    <w:multiLevelType w:val="hybridMultilevel"/>
    <w:tmpl w:val="0A163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7154E"/>
    <w:multiLevelType w:val="hybridMultilevel"/>
    <w:tmpl w:val="29A85D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49F4B07"/>
    <w:multiLevelType w:val="multilevel"/>
    <w:tmpl w:val="30DA6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716686A"/>
    <w:multiLevelType w:val="hybridMultilevel"/>
    <w:tmpl w:val="7CF095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79321F0"/>
    <w:multiLevelType w:val="multilevel"/>
    <w:tmpl w:val="473E6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E06388"/>
    <w:multiLevelType w:val="hybridMultilevel"/>
    <w:tmpl w:val="79FC1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B08F3"/>
    <w:multiLevelType w:val="hybridMultilevel"/>
    <w:tmpl w:val="472EFB88"/>
    <w:lvl w:ilvl="0" w:tplc="CEDA15A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855F6E"/>
    <w:multiLevelType w:val="hybridMultilevel"/>
    <w:tmpl w:val="BF68744E"/>
    <w:lvl w:ilvl="0" w:tplc="6BD062AA">
      <w:start w:val="1"/>
      <w:numFmt w:val="lowerLetter"/>
      <w:lvlText w:val="%1."/>
      <w:lvlJc w:val="left"/>
      <w:pPr>
        <w:ind w:left="360" w:hanging="360"/>
      </w:pPr>
      <w:rPr>
        <w:rFonts w:hint="default"/>
        <w:color w:val="auto"/>
        <w:sz w:val="20"/>
        <w:szCs w:val="20"/>
      </w:rPr>
    </w:lvl>
    <w:lvl w:ilvl="1" w:tplc="4FD892E8">
      <w:start w:val="1"/>
      <w:numFmt w:val="decimal"/>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8F75B4"/>
    <w:multiLevelType w:val="hybridMultilevel"/>
    <w:tmpl w:val="AF2844A6"/>
    <w:lvl w:ilvl="0" w:tplc="42AAD34A">
      <w:start w:val="3"/>
      <w:numFmt w:val="bullet"/>
      <w:lvlText w:val="-"/>
      <w:lvlJc w:val="left"/>
      <w:pPr>
        <w:ind w:left="360" w:hanging="360"/>
      </w:pPr>
      <w:rPr>
        <w:rFonts w:ascii="Calibri" w:eastAsia="Calibr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6B501E"/>
    <w:multiLevelType w:val="hybridMultilevel"/>
    <w:tmpl w:val="AF1E88C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DCE745C"/>
    <w:multiLevelType w:val="hybridMultilevel"/>
    <w:tmpl w:val="7CF09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9110B2"/>
    <w:multiLevelType w:val="multilevel"/>
    <w:tmpl w:val="5B483A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2B04E36"/>
    <w:multiLevelType w:val="hybridMultilevel"/>
    <w:tmpl w:val="728C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A6604"/>
    <w:multiLevelType w:val="hybridMultilevel"/>
    <w:tmpl w:val="7CF095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E97FC5"/>
    <w:multiLevelType w:val="multilevel"/>
    <w:tmpl w:val="DD48A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7DC3A08"/>
    <w:multiLevelType w:val="multilevel"/>
    <w:tmpl w:val="FFA4F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8861898"/>
    <w:multiLevelType w:val="hybridMultilevel"/>
    <w:tmpl w:val="8640D6B6"/>
    <w:lvl w:ilvl="0" w:tplc="42AAD34A">
      <w:start w:val="3"/>
      <w:numFmt w:val="bullet"/>
      <w:lvlText w:val="-"/>
      <w:lvlJc w:val="left"/>
      <w:pPr>
        <w:ind w:left="360" w:hanging="360"/>
      </w:pPr>
      <w:rPr>
        <w:rFonts w:ascii="Calibri" w:eastAsia="Calibri" w:hAnsi="Calibri" w:cs="Calibri"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8806AC"/>
    <w:multiLevelType w:val="hybridMultilevel"/>
    <w:tmpl w:val="78A2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BBC6758"/>
    <w:multiLevelType w:val="hybridMultilevel"/>
    <w:tmpl w:val="F2A07A14"/>
    <w:lvl w:ilvl="0" w:tplc="6BD062AA">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61B3779"/>
    <w:multiLevelType w:val="multilevel"/>
    <w:tmpl w:val="95545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7CA4168"/>
    <w:multiLevelType w:val="multilevel"/>
    <w:tmpl w:val="FD8EF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5"/>
  </w:num>
  <w:num w:numId="3">
    <w:abstractNumId w:val="17"/>
  </w:num>
  <w:num w:numId="4">
    <w:abstractNumId w:val="11"/>
  </w:num>
  <w:num w:numId="5">
    <w:abstractNumId w:val="34"/>
  </w:num>
  <w:num w:numId="6">
    <w:abstractNumId w:val="38"/>
  </w:num>
  <w:num w:numId="7">
    <w:abstractNumId w:val="9"/>
  </w:num>
  <w:num w:numId="8">
    <w:abstractNumId w:val="36"/>
  </w:num>
  <w:num w:numId="9">
    <w:abstractNumId w:val="12"/>
  </w:num>
  <w:num w:numId="10">
    <w:abstractNumId w:val="23"/>
  </w:num>
  <w:num w:numId="11">
    <w:abstractNumId w:val="51"/>
  </w:num>
  <w:num w:numId="12">
    <w:abstractNumId w:val="26"/>
  </w:num>
  <w:num w:numId="13">
    <w:abstractNumId w:val="31"/>
  </w:num>
  <w:num w:numId="14">
    <w:abstractNumId w:val="18"/>
  </w:num>
  <w:num w:numId="15">
    <w:abstractNumId w:val="1"/>
  </w:num>
  <w:num w:numId="16">
    <w:abstractNumId w:val="45"/>
  </w:num>
  <w:num w:numId="17">
    <w:abstractNumId w:val="40"/>
  </w:num>
  <w:num w:numId="18">
    <w:abstractNumId w:val="32"/>
  </w:num>
  <w:num w:numId="19">
    <w:abstractNumId w:val="37"/>
  </w:num>
  <w:num w:numId="20">
    <w:abstractNumId w:val="33"/>
  </w:num>
  <w:num w:numId="21">
    <w:abstractNumId w:val="16"/>
  </w:num>
  <w:num w:numId="22">
    <w:abstractNumId w:val="48"/>
  </w:num>
  <w:num w:numId="23">
    <w:abstractNumId w:val="35"/>
  </w:num>
  <w:num w:numId="24">
    <w:abstractNumId w:val="50"/>
  </w:num>
  <w:num w:numId="25">
    <w:abstractNumId w:val="19"/>
  </w:num>
  <w:num w:numId="26">
    <w:abstractNumId w:val="49"/>
  </w:num>
  <w:num w:numId="27">
    <w:abstractNumId w:val="0"/>
  </w:num>
  <w:num w:numId="28">
    <w:abstractNumId w:val="3"/>
  </w:num>
  <w:num w:numId="29">
    <w:abstractNumId w:val="25"/>
  </w:num>
  <w:num w:numId="30">
    <w:abstractNumId w:val="20"/>
  </w:num>
  <w:num w:numId="31">
    <w:abstractNumId w:val="10"/>
  </w:num>
  <w:num w:numId="32">
    <w:abstractNumId w:val="7"/>
  </w:num>
  <w:num w:numId="33">
    <w:abstractNumId w:val="27"/>
  </w:num>
  <w:num w:numId="34">
    <w:abstractNumId w:val="4"/>
  </w:num>
  <w:num w:numId="35">
    <w:abstractNumId w:val="46"/>
  </w:num>
  <w:num w:numId="36">
    <w:abstractNumId w:val="2"/>
  </w:num>
  <w:num w:numId="37">
    <w:abstractNumId w:val="13"/>
  </w:num>
  <w:num w:numId="38">
    <w:abstractNumId w:val="52"/>
  </w:num>
  <w:num w:numId="39">
    <w:abstractNumId w:val="28"/>
  </w:num>
  <w:num w:numId="40">
    <w:abstractNumId w:val="53"/>
  </w:num>
  <w:num w:numId="41">
    <w:abstractNumId w:val="8"/>
  </w:num>
  <w:num w:numId="42">
    <w:abstractNumId w:val="21"/>
  </w:num>
  <w:num w:numId="43">
    <w:abstractNumId w:val="15"/>
  </w:num>
  <w:num w:numId="44">
    <w:abstractNumId w:val="47"/>
  </w:num>
  <w:num w:numId="45">
    <w:abstractNumId w:val="42"/>
  </w:num>
  <w:num w:numId="46">
    <w:abstractNumId w:val="30"/>
  </w:num>
  <w:num w:numId="47">
    <w:abstractNumId w:val="39"/>
  </w:num>
  <w:num w:numId="48">
    <w:abstractNumId w:val="6"/>
  </w:num>
  <w:num w:numId="49">
    <w:abstractNumId w:val="41"/>
  </w:num>
  <w:num w:numId="50">
    <w:abstractNumId w:val="29"/>
  </w:num>
  <w:num w:numId="51">
    <w:abstractNumId w:val="44"/>
  </w:num>
  <w:num w:numId="52">
    <w:abstractNumId w:val="14"/>
  </w:num>
  <w:num w:numId="53">
    <w:abstractNumId w:val="43"/>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DB"/>
    <w:rsid w:val="0000024B"/>
    <w:rsid w:val="00000949"/>
    <w:rsid w:val="00002EC0"/>
    <w:rsid w:val="00004A92"/>
    <w:rsid w:val="00007AE3"/>
    <w:rsid w:val="0001390B"/>
    <w:rsid w:val="00021054"/>
    <w:rsid w:val="000300BD"/>
    <w:rsid w:val="00045407"/>
    <w:rsid w:val="00055E29"/>
    <w:rsid w:val="00057B54"/>
    <w:rsid w:val="00062498"/>
    <w:rsid w:val="00066D24"/>
    <w:rsid w:val="0006765A"/>
    <w:rsid w:val="0008334C"/>
    <w:rsid w:val="00085FCA"/>
    <w:rsid w:val="00096934"/>
    <w:rsid w:val="000A6EA2"/>
    <w:rsid w:val="000A79B4"/>
    <w:rsid w:val="000B497A"/>
    <w:rsid w:val="000B7257"/>
    <w:rsid w:val="000B77F1"/>
    <w:rsid w:val="000C4C6F"/>
    <w:rsid w:val="000C7196"/>
    <w:rsid w:val="000D4690"/>
    <w:rsid w:val="000D53E2"/>
    <w:rsid w:val="000D56A3"/>
    <w:rsid w:val="000D6012"/>
    <w:rsid w:val="000D6FC8"/>
    <w:rsid w:val="000E134F"/>
    <w:rsid w:val="000E38E5"/>
    <w:rsid w:val="000F084C"/>
    <w:rsid w:val="000F2520"/>
    <w:rsid w:val="000F455F"/>
    <w:rsid w:val="000F73B1"/>
    <w:rsid w:val="000F777E"/>
    <w:rsid w:val="00102FF4"/>
    <w:rsid w:val="00110D41"/>
    <w:rsid w:val="001118D8"/>
    <w:rsid w:val="00116140"/>
    <w:rsid w:val="001166AD"/>
    <w:rsid w:val="001263B5"/>
    <w:rsid w:val="0013374D"/>
    <w:rsid w:val="00133D8C"/>
    <w:rsid w:val="0013774E"/>
    <w:rsid w:val="001432B0"/>
    <w:rsid w:val="001434C4"/>
    <w:rsid w:val="001515BA"/>
    <w:rsid w:val="001531CE"/>
    <w:rsid w:val="001559AF"/>
    <w:rsid w:val="0016275B"/>
    <w:rsid w:val="00166331"/>
    <w:rsid w:val="00167661"/>
    <w:rsid w:val="00171A75"/>
    <w:rsid w:val="00176719"/>
    <w:rsid w:val="00180C16"/>
    <w:rsid w:val="00180F5A"/>
    <w:rsid w:val="0018293B"/>
    <w:rsid w:val="001904E5"/>
    <w:rsid w:val="00191AA2"/>
    <w:rsid w:val="001B08F9"/>
    <w:rsid w:val="001B54AE"/>
    <w:rsid w:val="001B5932"/>
    <w:rsid w:val="001B5F13"/>
    <w:rsid w:val="001C0F21"/>
    <w:rsid w:val="001C4080"/>
    <w:rsid w:val="001C7D96"/>
    <w:rsid w:val="001D5FF1"/>
    <w:rsid w:val="001E7BB0"/>
    <w:rsid w:val="001F05A9"/>
    <w:rsid w:val="001F6FD8"/>
    <w:rsid w:val="00201263"/>
    <w:rsid w:val="00201284"/>
    <w:rsid w:val="002048C8"/>
    <w:rsid w:val="00206447"/>
    <w:rsid w:val="002130DC"/>
    <w:rsid w:val="0021493F"/>
    <w:rsid w:val="00216CA1"/>
    <w:rsid w:val="00223022"/>
    <w:rsid w:val="00223457"/>
    <w:rsid w:val="00223943"/>
    <w:rsid w:val="00223CCB"/>
    <w:rsid w:val="0022454E"/>
    <w:rsid w:val="00227630"/>
    <w:rsid w:val="002469F2"/>
    <w:rsid w:val="00247C4B"/>
    <w:rsid w:val="00257DDE"/>
    <w:rsid w:val="00260605"/>
    <w:rsid w:val="002618F9"/>
    <w:rsid w:val="0027037F"/>
    <w:rsid w:val="00272238"/>
    <w:rsid w:val="00273BB2"/>
    <w:rsid w:val="00285E0B"/>
    <w:rsid w:val="00286F0B"/>
    <w:rsid w:val="00287514"/>
    <w:rsid w:val="00291D37"/>
    <w:rsid w:val="002929F9"/>
    <w:rsid w:val="00293730"/>
    <w:rsid w:val="00293CA7"/>
    <w:rsid w:val="00295093"/>
    <w:rsid w:val="002A0145"/>
    <w:rsid w:val="002A3A11"/>
    <w:rsid w:val="002A5B1A"/>
    <w:rsid w:val="002A7542"/>
    <w:rsid w:val="002B5DAB"/>
    <w:rsid w:val="002C0129"/>
    <w:rsid w:val="002C1C17"/>
    <w:rsid w:val="002C2192"/>
    <w:rsid w:val="002C4232"/>
    <w:rsid w:val="002C68EE"/>
    <w:rsid w:val="002C7B7E"/>
    <w:rsid w:val="002D1EA3"/>
    <w:rsid w:val="002D675D"/>
    <w:rsid w:val="002E2474"/>
    <w:rsid w:val="002E611C"/>
    <w:rsid w:val="002F661B"/>
    <w:rsid w:val="002F6FFD"/>
    <w:rsid w:val="0030059B"/>
    <w:rsid w:val="003013DD"/>
    <w:rsid w:val="00301CFC"/>
    <w:rsid w:val="00305840"/>
    <w:rsid w:val="003126D4"/>
    <w:rsid w:val="003172EE"/>
    <w:rsid w:val="00324E9B"/>
    <w:rsid w:val="00331B75"/>
    <w:rsid w:val="00345529"/>
    <w:rsid w:val="0034735A"/>
    <w:rsid w:val="00347362"/>
    <w:rsid w:val="00351733"/>
    <w:rsid w:val="00351D9F"/>
    <w:rsid w:val="003521DB"/>
    <w:rsid w:val="00354AC0"/>
    <w:rsid w:val="003571EB"/>
    <w:rsid w:val="003609A7"/>
    <w:rsid w:val="003633A2"/>
    <w:rsid w:val="00366319"/>
    <w:rsid w:val="00371D52"/>
    <w:rsid w:val="003722C9"/>
    <w:rsid w:val="00372BD7"/>
    <w:rsid w:val="00375F22"/>
    <w:rsid w:val="0037795A"/>
    <w:rsid w:val="00380BB2"/>
    <w:rsid w:val="00387A67"/>
    <w:rsid w:val="0039442C"/>
    <w:rsid w:val="003953EA"/>
    <w:rsid w:val="003A04B5"/>
    <w:rsid w:val="003A16D3"/>
    <w:rsid w:val="003A3724"/>
    <w:rsid w:val="003A5AD8"/>
    <w:rsid w:val="003B0E65"/>
    <w:rsid w:val="003B3AA8"/>
    <w:rsid w:val="003C0243"/>
    <w:rsid w:val="003C0C0F"/>
    <w:rsid w:val="003C1415"/>
    <w:rsid w:val="003C1D87"/>
    <w:rsid w:val="003C22FA"/>
    <w:rsid w:val="003C39A3"/>
    <w:rsid w:val="003C3C1C"/>
    <w:rsid w:val="003C636E"/>
    <w:rsid w:val="003D209B"/>
    <w:rsid w:val="003D63C5"/>
    <w:rsid w:val="003D772B"/>
    <w:rsid w:val="003D7E17"/>
    <w:rsid w:val="003E43DC"/>
    <w:rsid w:val="003E6322"/>
    <w:rsid w:val="003F1CE2"/>
    <w:rsid w:val="003F1E14"/>
    <w:rsid w:val="003F3BB5"/>
    <w:rsid w:val="003F3EA6"/>
    <w:rsid w:val="004033A5"/>
    <w:rsid w:val="00403473"/>
    <w:rsid w:val="00407144"/>
    <w:rsid w:val="0042478C"/>
    <w:rsid w:val="00424E03"/>
    <w:rsid w:val="00426C17"/>
    <w:rsid w:val="00441027"/>
    <w:rsid w:val="00442104"/>
    <w:rsid w:val="00445F7A"/>
    <w:rsid w:val="00447618"/>
    <w:rsid w:val="00450E8D"/>
    <w:rsid w:val="00455647"/>
    <w:rsid w:val="00456F52"/>
    <w:rsid w:val="004636F7"/>
    <w:rsid w:val="0046790B"/>
    <w:rsid w:val="00470B01"/>
    <w:rsid w:val="00470FAD"/>
    <w:rsid w:val="00473D9F"/>
    <w:rsid w:val="004755BE"/>
    <w:rsid w:val="0047753C"/>
    <w:rsid w:val="00477D2A"/>
    <w:rsid w:val="00482223"/>
    <w:rsid w:val="00482C63"/>
    <w:rsid w:val="00483AD5"/>
    <w:rsid w:val="004862B2"/>
    <w:rsid w:val="0049405D"/>
    <w:rsid w:val="00497012"/>
    <w:rsid w:val="004A058B"/>
    <w:rsid w:val="004A1046"/>
    <w:rsid w:val="004B49A3"/>
    <w:rsid w:val="004C1483"/>
    <w:rsid w:val="004C1518"/>
    <w:rsid w:val="004C5835"/>
    <w:rsid w:val="004D4FC0"/>
    <w:rsid w:val="004D61F6"/>
    <w:rsid w:val="004E5480"/>
    <w:rsid w:val="004E59E7"/>
    <w:rsid w:val="004E62A9"/>
    <w:rsid w:val="004F7270"/>
    <w:rsid w:val="00502E51"/>
    <w:rsid w:val="00504E10"/>
    <w:rsid w:val="00506A2F"/>
    <w:rsid w:val="00507648"/>
    <w:rsid w:val="005138E7"/>
    <w:rsid w:val="00521CF8"/>
    <w:rsid w:val="00523167"/>
    <w:rsid w:val="00523547"/>
    <w:rsid w:val="005332C5"/>
    <w:rsid w:val="00536814"/>
    <w:rsid w:val="00567607"/>
    <w:rsid w:val="00574056"/>
    <w:rsid w:val="0057418A"/>
    <w:rsid w:val="00574F02"/>
    <w:rsid w:val="00574FF8"/>
    <w:rsid w:val="00575855"/>
    <w:rsid w:val="0058306B"/>
    <w:rsid w:val="00592603"/>
    <w:rsid w:val="005A0D44"/>
    <w:rsid w:val="005A728B"/>
    <w:rsid w:val="005B3299"/>
    <w:rsid w:val="005B6E19"/>
    <w:rsid w:val="005C06F0"/>
    <w:rsid w:val="005C57F3"/>
    <w:rsid w:val="005D1612"/>
    <w:rsid w:val="005D2C6D"/>
    <w:rsid w:val="005D3F91"/>
    <w:rsid w:val="005D4E64"/>
    <w:rsid w:val="005E2E40"/>
    <w:rsid w:val="005E7436"/>
    <w:rsid w:val="005F17BD"/>
    <w:rsid w:val="005F40FC"/>
    <w:rsid w:val="005F563F"/>
    <w:rsid w:val="006015FD"/>
    <w:rsid w:val="0060273B"/>
    <w:rsid w:val="00603B79"/>
    <w:rsid w:val="00604A92"/>
    <w:rsid w:val="00607DC7"/>
    <w:rsid w:val="006145F5"/>
    <w:rsid w:val="00615168"/>
    <w:rsid w:val="0061733F"/>
    <w:rsid w:val="006230C5"/>
    <w:rsid w:val="00625E6D"/>
    <w:rsid w:val="006270F0"/>
    <w:rsid w:val="00630796"/>
    <w:rsid w:val="00636FAB"/>
    <w:rsid w:val="00645A66"/>
    <w:rsid w:val="00646C99"/>
    <w:rsid w:val="0064715F"/>
    <w:rsid w:val="0065013E"/>
    <w:rsid w:val="00650644"/>
    <w:rsid w:val="00650E02"/>
    <w:rsid w:val="00651FCB"/>
    <w:rsid w:val="00654B31"/>
    <w:rsid w:val="00655ACD"/>
    <w:rsid w:val="00656A00"/>
    <w:rsid w:val="00663669"/>
    <w:rsid w:val="006645F6"/>
    <w:rsid w:val="00664F63"/>
    <w:rsid w:val="00676053"/>
    <w:rsid w:val="0067743E"/>
    <w:rsid w:val="0067A374"/>
    <w:rsid w:val="00682A7C"/>
    <w:rsid w:val="006833EC"/>
    <w:rsid w:val="006837A8"/>
    <w:rsid w:val="00684C3A"/>
    <w:rsid w:val="00691D9D"/>
    <w:rsid w:val="00697793"/>
    <w:rsid w:val="006A1C50"/>
    <w:rsid w:val="006A2DBA"/>
    <w:rsid w:val="006A390B"/>
    <w:rsid w:val="006A3DAC"/>
    <w:rsid w:val="006B0E75"/>
    <w:rsid w:val="006B345E"/>
    <w:rsid w:val="006B4981"/>
    <w:rsid w:val="006B544C"/>
    <w:rsid w:val="006B546C"/>
    <w:rsid w:val="006B5F94"/>
    <w:rsid w:val="006C159B"/>
    <w:rsid w:val="006C798C"/>
    <w:rsid w:val="006D2598"/>
    <w:rsid w:val="006E0084"/>
    <w:rsid w:val="006E0713"/>
    <w:rsid w:val="006E6E7E"/>
    <w:rsid w:val="006E7068"/>
    <w:rsid w:val="006F46A8"/>
    <w:rsid w:val="006F5054"/>
    <w:rsid w:val="006F5AE0"/>
    <w:rsid w:val="006F7899"/>
    <w:rsid w:val="00700E5F"/>
    <w:rsid w:val="00701BCB"/>
    <w:rsid w:val="00703770"/>
    <w:rsid w:val="0070400F"/>
    <w:rsid w:val="00713A60"/>
    <w:rsid w:val="00720C82"/>
    <w:rsid w:val="00734ABE"/>
    <w:rsid w:val="007376A2"/>
    <w:rsid w:val="007508E9"/>
    <w:rsid w:val="00750D2B"/>
    <w:rsid w:val="00752399"/>
    <w:rsid w:val="00752B0A"/>
    <w:rsid w:val="007566A8"/>
    <w:rsid w:val="007675DC"/>
    <w:rsid w:val="00770C76"/>
    <w:rsid w:val="00771DC3"/>
    <w:rsid w:val="00780C31"/>
    <w:rsid w:val="007822EC"/>
    <w:rsid w:val="00791C84"/>
    <w:rsid w:val="007927C8"/>
    <w:rsid w:val="00792BF9"/>
    <w:rsid w:val="00795568"/>
    <w:rsid w:val="007963B5"/>
    <w:rsid w:val="007A03A0"/>
    <w:rsid w:val="007A2A8D"/>
    <w:rsid w:val="007B2AD9"/>
    <w:rsid w:val="007B2D80"/>
    <w:rsid w:val="007B665E"/>
    <w:rsid w:val="007C3562"/>
    <w:rsid w:val="007D15C1"/>
    <w:rsid w:val="007D2476"/>
    <w:rsid w:val="007D33FA"/>
    <w:rsid w:val="007D41AF"/>
    <w:rsid w:val="007D4E8A"/>
    <w:rsid w:val="007D5CF2"/>
    <w:rsid w:val="007E025A"/>
    <w:rsid w:val="007F0527"/>
    <w:rsid w:val="007F4802"/>
    <w:rsid w:val="008013EB"/>
    <w:rsid w:val="00803292"/>
    <w:rsid w:val="0080477F"/>
    <w:rsid w:val="00810887"/>
    <w:rsid w:val="00811FC3"/>
    <w:rsid w:val="008134D3"/>
    <w:rsid w:val="008135CF"/>
    <w:rsid w:val="00813D38"/>
    <w:rsid w:val="00814DD6"/>
    <w:rsid w:val="008206AC"/>
    <w:rsid w:val="0082236F"/>
    <w:rsid w:val="00825B2A"/>
    <w:rsid w:val="00830B76"/>
    <w:rsid w:val="00831156"/>
    <w:rsid w:val="00831D0E"/>
    <w:rsid w:val="00832322"/>
    <w:rsid w:val="00836528"/>
    <w:rsid w:val="008455E2"/>
    <w:rsid w:val="00845ECC"/>
    <w:rsid w:val="00846C5A"/>
    <w:rsid w:val="00847345"/>
    <w:rsid w:val="00852D9D"/>
    <w:rsid w:val="00853FD7"/>
    <w:rsid w:val="008552DA"/>
    <w:rsid w:val="008568E9"/>
    <w:rsid w:val="00874579"/>
    <w:rsid w:val="00881A62"/>
    <w:rsid w:val="00882261"/>
    <w:rsid w:val="008847E6"/>
    <w:rsid w:val="008A2329"/>
    <w:rsid w:val="008A6A7E"/>
    <w:rsid w:val="008B5311"/>
    <w:rsid w:val="008B60AB"/>
    <w:rsid w:val="008C5051"/>
    <w:rsid w:val="008C5A3B"/>
    <w:rsid w:val="008D14E4"/>
    <w:rsid w:val="008D19B6"/>
    <w:rsid w:val="008D3B48"/>
    <w:rsid w:val="008D6DA5"/>
    <w:rsid w:val="008D73D9"/>
    <w:rsid w:val="008E0453"/>
    <w:rsid w:val="008E5259"/>
    <w:rsid w:val="008F0201"/>
    <w:rsid w:val="008F0B14"/>
    <w:rsid w:val="008F1E17"/>
    <w:rsid w:val="008F3884"/>
    <w:rsid w:val="008F3BF4"/>
    <w:rsid w:val="008F3CBB"/>
    <w:rsid w:val="0090360A"/>
    <w:rsid w:val="00903FAA"/>
    <w:rsid w:val="0090528F"/>
    <w:rsid w:val="00906FB7"/>
    <w:rsid w:val="0093146B"/>
    <w:rsid w:val="009329AA"/>
    <w:rsid w:val="00936F87"/>
    <w:rsid w:val="00943EDF"/>
    <w:rsid w:val="00946A99"/>
    <w:rsid w:val="0095170E"/>
    <w:rsid w:val="009564F8"/>
    <w:rsid w:val="00960208"/>
    <w:rsid w:val="00966B9A"/>
    <w:rsid w:val="00967510"/>
    <w:rsid w:val="00967C8D"/>
    <w:rsid w:val="00990190"/>
    <w:rsid w:val="00991E6E"/>
    <w:rsid w:val="00992CA2"/>
    <w:rsid w:val="009962C4"/>
    <w:rsid w:val="00996CCA"/>
    <w:rsid w:val="009A3446"/>
    <w:rsid w:val="009B19CB"/>
    <w:rsid w:val="009B322B"/>
    <w:rsid w:val="009B482B"/>
    <w:rsid w:val="009B66BD"/>
    <w:rsid w:val="009C0882"/>
    <w:rsid w:val="009C1453"/>
    <w:rsid w:val="009C2710"/>
    <w:rsid w:val="009D0776"/>
    <w:rsid w:val="009D0955"/>
    <w:rsid w:val="009D58BE"/>
    <w:rsid w:val="009E007A"/>
    <w:rsid w:val="009E04B1"/>
    <w:rsid w:val="009E5631"/>
    <w:rsid w:val="009E5B11"/>
    <w:rsid w:val="009F2BE3"/>
    <w:rsid w:val="009F5C3E"/>
    <w:rsid w:val="00A00A79"/>
    <w:rsid w:val="00A04279"/>
    <w:rsid w:val="00A122AD"/>
    <w:rsid w:val="00A17A22"/>
    <w:rsid w:val="00A24F9A"/>
    <w:rsid w:val="00A35F9A"/>
    <w:rsid w:val="00A36685"/>
    <w:rsid w:val="00A3767E"/>
    <w:rsid w:val="00A42475"/>
    <w:rsid w:val="00A45A03"/>
    <w:rsid w:val="00A461B7"/>
    <w:rsid w:val="00A5040F"/>
    <w:rsid w:val="00A507E5"/>
    <w:rsid w:val="00A5303D"/>
    <w:rsid w:val="00A53281"/>
    <w:rsid w:val="00A55FE3"/>
    <w:rsid w:val="00A61B5D"/>
    <w:rsid w:val="00A61FB8"/>
    <w:rsid w:val="00A6280B"/>
    <w:rsid w:val="00A636D9"/>
    <w:rsid w:val="00A65162"/>
    <w:rsid w:val="00A7014D"/>
    <w:rsid w:val="00A719A0"/>
    <w:rsid w:val="00A72B37"/>
    <w:rsid w:val="00A74C7C"/>
    <w:rsid w:val="00A75C2C"/>
    <w:rsid w:val="00A777E7"/>
    <w:rsid w:val="00A81296"/>
    <w:rsid w:val="00A83623"/>
    <w:rsid w:val="00A95F5D"/>
    <w:rsid w:val="00A96977"/>
    <w:rsid w:val="00AA1E4D"/>
    <w:rsid w:val="00AA2164"/>
    <w:rsid w:val="00AA4984"/>
    <w:rsid w:val="00AA667F"/>
    <w:rsid w:val="00AB0AAA"/>
    <w:rsid w:val="00AB0D01"/>
    <w:rsid w:val="00AB4A3A"/>
    <w:rsid w:val="00AB5B46"/>
    <w:rsid w:val="00AC5221"/>
    <w:rsid w:val="00AD23FD"/>
    <w:rsid w:val="00AE0DEF"/>
    <w:rsid w:val="00AE35DB"/>
    <w:rsid w:val="00AE44BF"/>
    <w:rsid w:val="00AE5C51"/>
    <w:rsid w:val="00AF3447"/>
    <w:rsid w:val="00AF710D"/>
    <w:rsid w:val="00B050C6"/>
    <w:rsid w:val="00B11B17"/>
    <w:rsid w:val="00B13685"/>
    <w:rsid w:val="00B211BA"/>
    <w:rsid w:val="00B21E7E"/>
    <w:rsid w:val="00B22821"/>
    <w:rsid w:val="00B31AE7"/>
    <w:rsid w:val="00B3473E"/>
    <w:rsid w:val="00B36896"/>
    <w:rsid w:val="00B454A7"/>
    <w:rsid w:val="00B457B8"/>
    <w:rsid w:val="00B54B72"/>
    <w:rsid w:val="00B55653"/>
    <w:rsid w:val="00B55972"/>
    <w:rsid w:val="00B57ADE"/>
    <w:rsid w:val="00B62962"/>
    <w:rsid w:val="00B64C10"/>
    <w:rsid w:val="00B65A7B"/>
    <w:rsid w:val="00B66A57"/>
    <w:rsid w:val="00B704AC"/>
    <w:rsid w:val="00B707B1"/>
    <w:rsid w:val="00B70F46"/>
    <w:rsid w:val="00B7524F"/>
    <w:rsid w:val="00B808E7"/>
    <w:rsid w:val="00B81713"/>
    <w:rsid w:val="00B9019B"/>
    <w:rsid w:val="00B92A22"/>
    <w:rsid w:val="00B9581B"/>
    <w:rsid w:val="00BA0608"/>
    <w:rsid w:val="00BA5AF6"/>
    <w:rsid w:val="00BB2705"/>
    <w:rsid w:val="00BC09FA"/>
    <w:rsid w:val="00BC4780"/>
    <w:rsid w:val="00BD18CD"/>
    <w:rsid w:val="00BD2983"/>
    <w:rsid w:val="00BD333E"/>
    <w:rsid w:val="00BD7CA5"/>
    <w:rsid w:val="00BE2C4F"/>
    <w:rsid w:val="00BE4F35"/>
    <w:rsid w:val="00BF606E"/>
    <w:rsid w:val="00BF7302"/>
    <w:rsid w:val="00C039C7"/>
    <w:rsid w:val="00C03D73"/>
    <w:rsid w:val="00C06970"/>
    <w:rsid w:val="00C123A9"/>
    <w:rsid w:val="00C137BF"/>
    <w:rsid w:val="00C13BD0"/>
    <w:rsid w:val="00C14A2C"/>
    <w:rsid w:val="00C212E9"/>
    <w:rsid w:val="00C219AD"/>
    <w:rsid w:val="00C23C52"/>
    <w:rsid w:val="00C27A7F"/>
    <w:rsid w:val="00C30B68"/>
    <w:rsid w:val="00C3163A"/>
    <w:rsid w:val="00C340DA"/>
    <w:rsid w:val="00C34824"/>
    <w:rsid w:val="00C4699A"/>
    <w:rsid w:val="00C47D0D"/>
    <w:rsid w:val="00C5039B"/>
    <w:rsid w:val="00C5039C"/>
    <w:rsid w:val="00C54AF8"/>
    <w:rsid w:val="00C5590E"/>
    <w:rsid w:val="00C60C11"/>
    <w:rsid w:val="00C6373B"/>
    <w:rsid w:val="00C7677E"/>
    <w:rsid w:val="00C77275"/>
    <w:rsid w:val="00C77E28"/>
    <w:rsid w:val="00C82AC7"/>
    <w:rsid w:val="00C91242"/>
    <w:rsid w:val="00C926CC"/>
    <w:rsid w:val="00C930FE"/>
    <w:rsid w:val="00C934D1"/>
    <w:rsid w:val="00C945BF"/>
    <w:rsid w:val="00C97021"/>
    <w:rsid w:val="00CA1FB4"/>
    <w:rsid w:val="00CA222E"/>
    <w:rsid w:val="00CA35F8"/>
    <w:rsid w:val="00CA3D59"/>
    <w:rsid w:val="00CA471C"/>
    <w:rsid w:val="00CB36B5"/>
    <w:rsid w:val="00CB5AB3"/>
    <w:rsid w:val="00CC0471"/>
    <w:rsid w:val="00CC07EF"/>
    <w:rsid w:val="00CC0C30"/>
    <w:rsid w:val="00CC4382"/>
    <w:rsid w:val="00CC5B7B"/>
    <w:rsid w:val="00CD1FAF"/>
    <w:rsid w:val="00CD5FD7"/>
    <w:rsid w:val="00CE2124"/>
    <w:rsid w:val="00CF4C95"/>
    <w:rsid w:val="00CF520B"/>
    <w:rsid w:val="00D028A2"/>
    <w:rsid w:val="00D07712"/>
    <w:rsid w:val="00D07C21"/>
    <w:rsid w:val="00D14396"/>
    <w:rsid w:val="00D15D20"/>
    <w:rsid w:val="00D1691A"/>
    <w:rsid w:val="00D23CBD"/>
    <w:rsid w:val="00D24B1C"/>
    <w:rsid w:val="00D26EB7"/>
    <w:rsid w:val="00D27D36"/>
    <w:rsid w:val="00D30B70"/>
    <w:rsid w:val="00D40229"/>
    <w:rsid w:val="00D4158D"/>
    <w:rsid w:val="00D42ADF"/>
    <w:rsid w:val="00D431C3"/>
    <w:rsid w:val="00D433BD"/>
    <w:rsid w:val="00D43A5D"/>
    <w:rsid w:val="00D455D3"/>
    <w:rsid w:val="00D4629B"/>
    <w:rsid w:val="00D50D1C"/>
    <w:rsid w:val="00D515EE"/>
    <w:rsid w:val="00D51CD1"/>
    <w:rsid w:val="00D52CFC"/>
    <w:rsid w:val="00D54428"/>
    <w:rsid w:val="00D566B5"/>
    <w:rsid w:val="00D574C8"/>
    <w:rsid w:val="00D57BF7"/>
    <w:rsid w:val="00D57F60"/>
    <w:rsid w:val="00D6203B"/>
    <w:rsid w:val="00D63144"/>
    <w:rsid w:val="00D64735"/>
    <w:rsid w:val="00D6770A"/>
    <w:rsid w:val="00D71081"/>
    <w:rsid w:val="00D73D7C"/>
    <w:rsid w:val="00D74842"/>
    <w:rsid w:val="00D81D01"/>
    <w:rsid w:val="00D83BFA"/>
    <w:rsid w:val="00D84010"/>
    <w:rsid w:val="00D84DFA"/>
    <w:rsid w:val="00D85BAF"/>
    <w:rsid w:val="00D870B0"/>
    <w:rsid w:val="00D9024A"/>
    <w:rsid w:val="00D911C6"/>
    <w:rsid w:val="00D91DB9"/>
    <w:rsid w:val="00DA47BB"/>
    <w:rsid w:val="00DA5DEC"/>
    <w:rsid w:val="00DA6655"/>
    <w:rsid w:val="00DB23DC"/>
    <w:rsid w:val="00DB4E15"/>
    <w:rsid w:val="00DB4E31"/>
    <w:rsid w:val="00DB7957"/>
    <w:rsid w:val="00DC1205"/>
    <w:rsid w:val="00DC3C58"/>
    <w:rsid w:val="00DC555B"/>
    <w:rsid w:val="00DD4541"/>
    <w:rsid w:val="00DD5FA2"/>
    <w:rsid w:val="00DD67E4"/>
    <w:rsid w:val="00DE5F7F"/>
    <w:rsid w:val="00DF64F8"/>
    <w:rsid w:val="00E04ACC"/>
    <w:rsid w:val="00E06A00"/>
    <w:rsid w:val="00E079C0"/>
    <w:rsid w:val="00E10C52"/>
    <w:rsid w:val="00E11CBD"/>
    <w:rsid w:val="00E20D33"/>
    <w:rsid w:val="00E33247"/>
    <w:rsid w:val="00E41B75"/>
    <w:rsid w:val="00E53989"/>
    <w:rsid w:val="00E5602F"/>
    <w:rsid w:val="00E60795"/>
    <w:rsid w:val="00E613DD"/>
    <w:rsid w:val="00E62A0A"/>
    <w:rsid w:val="00E64B4B"/>
    <w:rsid w:val="00E655AF"/>
    <w:rsid w:val="00E67318"/>
    <w:rsid w:val="00E73343"/>
    <w:rsid w:val="00E748FE"/>
    <w:rsid w:val="00E77F7F"/>
    <w:rsid w:val="00E830F6"/>
    <w:rsid w:val="00E84D4C"/>
    <w:rsid w:val="00E8635A"/>
    <w:rsid w:val="00E86506"/>
    <w:rsid w:val="00E8733A"/>
    <w:rsid w:val="00EA23C0"/>
    <w:rsid w:val="00EA6645"/>
    <w:rsid w:val="00EB3EEB"/>
    <w:rsid w:val="00EB4965"/>
    <w:rsid w:val="00EB7EF4"/>
    <w:rsid w:val="00EC0BFD"/>
    <w:rsid w:val="00EC26E3"/>
    <w:rsid w:val="00EC50AD"/>
    <w:rsid w:val="00EC5FC8"/>
    <w:rsid w:val="00ED5E54"/>
    <w:rsid w:val="00ED754A"/>
    <w:rsid w:val="00EE4E4A"/>
    <w:rsid w:val="00EE5972"/>
    <w:rsid w:val="00EF03EC"/>
    <w:rsid w:val="00EF407B"/>
    <w:rsid w:val="00F0177C"/>
    <w:rsid w:val="00F01DAC"/>
    <w:rsid w:val="00F06C2C"/>
    <w:rsid w:val="00F12D1C"/>
    <w:rsid w:val="00F14C6A"/>
    <w:rsid w:val="00F17FED"/>
    <w:rsid w:val="00F26030"/>
    <w:rsid w:val="00F32BF5"/>
    <w:rsid w:val="00F40154"/>
    <w:rsid w:val="00F405B0"/>
    <w:rsid w:val="00F458CB"/>
    <w:rsid w:val="00F51E44"/>
    <w:rsid w:val="00F55A4F"/>
    <w:rsid w:val="00F55F06"/>
    <w:rsid w:val="00F57290"/>
    <w:rsid w:val="00F60B35"/>
    <w:rsid w:val="00F61D00"/>
    <w:rsid w:val="00F71F14"/>
    <w:rsid w:val="00F72E76"/>
    <w:rsid w:val="00F76356"/>
    <w:rsid w:val="00F838BD"/>
    <w:rsid w:val="00F8629A"/>
    <w:rsid w:val="00F90B52"/>
    <w:rsid w:val="00F92CA6"/>
    <w:rsid w:val="00F952AE"/>
    <w:rsid w:val="00F96ACA"/>
    <w:rsid w:val="00F96F90"/>
    <w:rsid w:val="00F9761B"/>
    <w:rsid w:val="00FA77A9"/>
    <w:rsid w:val="00FB149D"/>
    <w:rsid w:val="00FC44F9"/>
    <w:rsid w:val="00FC4602"/>
    <w:rsid w:val="00FC5048"/>
    <w:rsid w:val="00FC67D1"/>
    <w:rsid w:val="00FC73A5"/>
    <w:rsid w:val="00FD2C69"/>
    <w:rsid w:val="00FE1157"/>
    <w:rsid w:val="00FE50CA"/>
    <w:rsid w:val="00FF4259"/>
    <w:rsid w:val="00FF5100"/>
    <w:rsid w:val="02A2D317"/>
    <w:rsid w:val="0319FECA"/>
    <w:rsid w:val="049E5075"/>
    <w:rsid w:val="055B2FEF"/>
    <w:rsid w:val="068750C4"/>
    <w:rsid w:val="06DAC122"/>
    <w:rsid w:val="070007CD"/>
    <w:rsid w:val="0761ECCD"/>
    <w:rsid w:val="096315DE"/>
    <w:rsid w:val="096D10D6"/>
    <w:rsid w:val="09843063"/>
    <w:rsid w:val="09DE783D"/>
    <w:rsid w:val="09E77ED4"/>
    <w:rsid w:val="0A32A2B5"/>
    <w:rsid w:val="0B2A6BD9"/>
    <w:rsid w:val="0B317270"/>
    <w:rsid w:val="0B739C40"/>
    <w:rsid w:val="0D0AEF45"/>
    <w:rsid w:val="0DA7942A"/>
    <w:rsid w:val="0E34AA72"/>
    <w:rsid w:val="0ED327AD"/>
    <w:rsid w:val="0ED79F0F"/>
    <w:rsid w:val="0FB72064"/>
    <w:rsid w:val="1008532E"/>
    <w:rsid w:val="103756AA"/>
    <w:rsid w:val="116A887C"/>
    <w:rsid w:val="11D6C1E9"/>
    <w:rsid w:val="11F26AFF"/>
    <w:rsid w:val="125A9E3F"/>
    <w:rsid w:val="1334E646"/>
    <w:rsid w:val="142EA919"/>
    <w:rsid w:val="14B092FD"/>
    <w:rsid w:val="1587F44E"/>
    <w:rsid w:val="15A24D76"/>
    <w:rsid w:val="15CF5C8A"/>
    <w:rsid w:val="1872C3F6"/>
    <w:rsid w:val="187CF87F"/>
    <w:rsid w:val="18B7BAE5"/>
    <w:rsid w:val="19D86E19"/>
    <w:rsid w:val="19F143EB"/>
    <w:rsid w:val="1AEFA99F"/>
    <w:rsid w:val="1B94FBFC"/>
    <w:rsid w:val="1C8C5459"/>
    <w:rsid w:val="1D2E841B"/>
    <w:rsid w:val="1DE7A528"/>
    <w:rsid w:val="1ED0EE07"/>
    <w:rsid w:val="1F511065"/>
    <w:rsid w:val="1F82A72F"/>
    <w:rsid w:val="1FB65F91"/>
    <w:rsid w:val="1FFB17B7"/>
    <w:rsid w:val="2029A3DD"/>
    <w:rsid w:val="202E246B"/>
    <w:rsid w:val="205F4A2E"/>
    <w:rsid w:val="20A8E244"/>
    <w:rsid w:val="20D8809C"/>
    <w:rsid w:val="2223222F"/>
    <w:rsid w:val="23BE313F"/>
    <w:rsid w:val="2401DB95"/>
    <w:rsid w:val="24D832E2"/>
    <w:rsid w:val="24EABAC8"/>
    <w:rsid w:val="2545EF61"/>
    <w:rsid w:val="25FE8988"/>
    <w:rsid w:val="262E2F89"/>
    <w:rsid w:val="27037D35"/>
    <w:rsid w:val="279FF5AE"/>
    <w:rsid w:val="287EDEB4"/>
    <w:rsid w:val="29865F4A"/>
    <w:rsid w:val="29C8839C"/>
    <w:rsid w:val="2B2CF75F"/>
    <w:rsid w:val="2B5AB1CA"/>
    <w:rsid w:val="2BC2E3BA"/>
    <w:rsid w:val="2BCE1955"/>
    <w:rsid w:val="2C2D9058"/>
    <w:rsid w:val="2C55754F"/>
    <w:rsid w:val="2C6E4729"/>
    <w:rsid w:val="2CA77F8A"/>
    <w:rsid w:val="2CCAC8ED"/>
    <w:rsid w:val="2D35BA59"/>
    <w:rsid w:val="2DF0F80E"/>
    <w:rsid w:val="2E7C81E0"/>
    <w:rsid w:val="2F9C3523"/>
    <w:rsid w:val="302EBB0E"/>
    <w:rsid w:val="30B32577"/>
    <w:rsid w:val="3271FE6E"/>
    <w:rsid w:val="32C57C8C"/>
    <w:rsid w:val="33308D68"/>
    <w:rsid w:val="33ACA79F"/>
    <w:rsid w:val="343B17D7"/>
    <w:rsid w:val="35B127DA"/>
    <w:rsid w:val="3625AC36"/>
    <w:rsid w:val="39CBB685"/>
    <w:rsid w:val="39DD9D36"/>
    <w:rsid w:val="3A482646"/>
    <w:rsid w:val="3B600EC2"/>
    <w:rsid w:val="3BDB9DFF"/>
    <w:rsid w:val="3CF4EDDD"/>
    <w:rsid w:val="3D156923"/>
    <w:rsid w:val="3DCBAE63"/>
    <w:rsid w:val="3FCEC69D"/>
    <w:rsid w:val="3FD62341"/>
    <w:rsid w:val="40C910F7"/>
    <w:rsid w:val="40FB7ACF"/>
    <w:rsid w:val="412F46B9"/>
    <w:rsid w:val="416265BB"/>
    <w:rsid w:val="42B63685"/>
    <w:rsid w:val="4354A2AA"/>
    <w:rsid w:val="45E2CC46"/>
    <w:rsid w:val="4603F352"/>
    <w:rsid w:val="4607D419"/>
    <w:rsid w:val="46678EDE"/>
    <w:rsid w:val="477BBD54"/>
    <w:rsid w:val="47A71461"/>
    <w:rsid w:val="48CA3F78"/>
    <w:rsid w:val="49225A8E"/>
    <w:rsid w:val="49E14E09"/>
    <w:rsid w:val="4A10752B"/>
    <w:rsid w:val="4A9CCDD4"/>
    <w:rsid w:val="4B22705E"/>
    <w:rsid w:val="4C4075D3"/>
    <w:rsid w:val="4CA51862"/>
    <w:rsid w:val="4CB58C65"/>
    <w:rsid w:val="4E72DE73"/>
    <w:rsid w:val="4E781C74"/>
    <w:rsid w:val="4F682EBF"/>
    <w:rsid w:val="5125E722"/>
    <w:rsid w:val="51B8AF3F"/>
    <w:rsid w:val="531C476C"/>
    <w:rsid w:val="53FA3E69"/>
    <w:rsid w:val="54343032"/>
    <w:rsid w:val="544414EA"/>
    <w:rsid w:val="54574904"/>
    <w:rsid w:val="54D8D680"/>
    <w:rsid w:val="551DA1CF"/>
    <w:rsid w:val="55C41475"/>
    <w:rsid w:val="56000B09"/>
    <w:rsid w:val="57436ED4"/>
    <w:rsid w:val="576D7E64"/>
    <w:rsid w:val="580FDFCA"/>
    <w:rsid w:val="58104E4D"/>
    <w:rsid w:val="582B0265"/>
    <w:rsid w:val="58B0ED3F"/>
    <w:rsid w:val="58CB4433"/>
    <w:rsid w:val="5931FD30"/>
    <w:rsid w:val="595E7EF6"/>
    <w:rsid w:val="5B5083A6"/>
    <w:rsid w:val="5BB102D5"/>
    <w:rsid w:val="5CB9C1AE"/>
    <w:rsid w:val="5D0A954C"/>
    <w:rsid w:val="5D11072C"/>
    <w:rsid w:val="5D81B54F"/>
    <w:rsid w:val="5E15788F"/>
    <w:rsid w:val="5E163AE4"/>
    <w:rsid w:val="5E43AB7C"/>
    <w:rsid w:val="5F55B95A"/>
    <w:rsid w:val="60BBA8D1"/>
    <w:rsid w:val="60E69FE1"/>
    <w:rsid w:val="61F349E5"/>
    <w:rsid w:val="61F5B9A4"/>
    <w:rsid w:val="622D342B"/>
    <w:rsid w:val="63656023"/>
    <w:rsid w:val="63657F4B"/>
    <w:rsid w:val="637E6103"/>
    <w:rsid w:val="641509F2"/>
    <w:rsid w:val="64DEC804"/>
    <w:rsid w:val="6502C0FD"/>
    <w:rsid w:val="6574990C"/>
    <w:rsid w:val="661AFACE"/>
    <w:rsid w:val="6659F606"/>
    <w:rsid w:val="67C5CEFE"/>
    <w:rsid w:val="68120E4B"/>
    <w:rsid w:val="6828EB67"/>
    <w:rsid w:val="68717A41"/>
    <w:rsid w:val="69C9BD5D"/>
    <w:rsid w:val="6A45E1EC"/>
    <w:rsid w:val="6A7ADE35"/>
    <w:rsid w:val="6B278B59"/>
    <w:rsid w:val="6B8984B5"/>
    <w:rsid w:val="6BB04C38"/>
    <w:rsid w:val="6BBC5CC4"/>
    <w:rsid w:val="6CECFF17"/>
    <w:rsid w:val="6DB5B8FA"/>
    <w:rsid w:val="70456D57"/>
    <w:rsid w:val="71123FF6"/>
    <w:rsid w:val="72725C1D"/>
    <w:rsid w:val="7277E225"/>
    <w:rsid w:val="73281190"/>
    <w:rsid w:val="733205C6"/>
    <w:rsid w:val="7338B348"/>
    <w:rsid w:val="73C10408"/>
    <w:rsid w:val="741CCE01"/>
    <w:rsid w:val="744EC3B1"/>
    <w:rsid w:val="7520ADEE"/>
    <w:rsid w:val="7741F99D"/>
    <w:rsid w:val="77E25A56"/>
    <w:rsid w:val="790DF720"/>
    <w:rsid w:val="7927F746"/>
    <w:rsid w:val="7943E34E"/>
    <w:rsid w:val="7AFA5227"/>
    <w:rsid w:val="7C0CBF4B"/>
    <w:rsid w:val="7C67744C"/>
    <w:rsid w:val="7C855DEA"/>
    <w:rsid w:val="7CC9D844"/>
    <w:rsid w:val="7DCA0BDC"/>
    <w:rsid w:val="7E3A3917"/>
    <w:rsid w:val="7E65E8A7"/>
    <w:rsid w:val="7FFAB1FC"/>
  </w:rsids>
  <m:mathPr>
    <m:mathFont m:val="Cambria Math"/>
    <m:brkBin m:val="before"/>
    <m:brkBinSub m:val="--"/>
    <m:smallFrac m:val="0"/>
    <m:dispDef/>
    <m:lMargin m:val="0"/>
    <m:rMargin m:val="0"/>
    <m:defJc m:val="centerGroup"/>
    <m:wrapIndent m:val="1440"/>
    <m:intLim m:val="subSup"/>
    <m:naryLim m:val="undOvr"/>
  </m:mathPr>
  <w:themeFontLang w:val="fr-S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A7BB"/>
  <w15:chartTrackingRefBased/>
  <w15:docId w15:val="{1D475ED5-C1D7-4865-86D5-30C34D0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DB"/>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521DB"/>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3521DB"/>
    <w:pPr>
      <w:keepNext/>
      <w:shd w:val="pct15" w:color="auto" w:fill="FFFFFF"/>
      <w:jc w:val="center"/>
      <w:outlineLvl w:val="2"/>
    </w:pPr>
    <w:rPr>
      <w:rFonts w:ascii="Arial" w:hAnsi="Arial"/>
      <w:bCs/>
    </w:rPr>
  </w:style>
  <w:style w:type="paragraph" w:styleId="Heading4">
    <w:name w:val="heading 4"/>
    <w:basedOn w:val="Normal"/>
    <w:next w:val="Normal"/>
    <w:link w:val="Heading4Char"/>
    <w:qFormat/>
    <w:rsid w:val="003521DB"/>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1DB"/>
    <w:rPr>
      <w:rFonts w:ascii="Cambria" w:eastAsia="Times New Roman" w:hAnsi="Cambria" w:cs="Times New Roman"/>
      <w:b/>
      <w:bCs/>
      <w:color w:val="365F91"/>
      <w:sz w:val="28"/>
      <w:szCs w:val="28"/>
      <w:lang w:val="en-US"/>
    </w:rPr>
  </w:style>
  <w:style w:type="character" w:customStyle="1" w:styleId="Heading3Char">
    <w:name w:val="Heading 3 Char"/>
    <w:basedOn w:val="DefaultParagraphFont"/>
    <w:link w:val="Heading3"/>
    <w:rsid w:val="003521DB"/>
    <w:rPr>
      <w:rFonts w:ascii="Arial" w:eastAsia="Times New Roman" w:hAnsi="Arial" w:cs="Times New Roman"/>
      <w:bCs/>
      <w:sz w:val="24"/>
      <w:szCs w:val="20"/>
      <w:shd w:val="pct15" w:color="auto" w:fill="FFFFFF"/>
      <w:lang w:val="en-US"/>
    </w:rPr>
  </w:style>
  <w:style w:type="character" w:customStyle="1" w:styleId="Heading4Char">
    <w:name w:val="Heading 4 Char"/>
    <w:basedOn w:val="DefaultParagraphFont"/>
    <w:link w:val="Heading4"/>
    <w:rsid w:val="003521DB"/>
    <w:rPr>
      <w:rFonts w:ascii="Times New Roman" w:eastAsia="Times New Roman" w:hAnsi="Times New Roman" w:cs="Times New Roman"/>
      <w:sz w:val="28"/>
      <w:szCs w:val="20"/>
      <w:lang w:val="en-US"/>
    </w:rPr>
  </w:style>
  <w:style w:type="paragraph" w:styleId="BodyText">
    <w:name w:val="Body Text"/>
    <w:basedOn w:val="Normal"/>
    <w:link w:val="BodyTextChar"/>
    <w:rsid w:val="003521DB"/>
    <w:pPr>
      <w:widowControl/>
    </w:pPr>
    <w:rPr>
      <w:rFonts w:ascii="Univers" w:hAnsi="Univers"/>
      <w:sz w:val="22"/>
    </w:rPr>
  </w:style>
  <w:style w:type="character" w:customStyle="1" w:styleId="BodyTextChar">
    <w:name w:val="Body Text Char"/>
    <w:basedOn w:val="DefaultParagraphFont"/>
    <w:link w:val="BodyText"/>
    <w:rsid w:val="003521DB"/>
    <w:rPr>
      <w:rFonts w:ascii="Univers" w:eastAsia="Times New Roman" w:hAnsi="Univers" w:cs="Times New Roman"/>
      <w:szCs w:val="20"/>
      <w:lang w:val="en-US"/>
    </w:rPr>
  </w:style>
  <w:style w:type="paragraph" w:styleId="BodyText2">
    <w:name w:val="Body Text 2"/>
    <w:basedOn w:val="Normal"/>
    <w:link w:val="BodyText2Char"/>
    <w:rsid w:val="003521DB"/>
    <w:pPr>
      <w:widowControl/>
    </w:pPr>
    <w:rPr>
      <w:rFonts w:ascii="Arial" w:hAnsi="Arial"/>
      <w:sz w:val="20"/>
    </w:rPr>
  </w:style>
  <w:style w:type="character" w:customStyle="1" w:styleId="BodyText2Char">
    <w:name w:val="Body Text 2 Char"/>
    <w:basedOn w:val="DefaultParagraphFont"/>
    <w:link w:val="BodyText2"/>
    <w:rsid w:val="003521DB"/>
    <w:rPr>
      <w:rFonts w:ascii="Arial" w:eastAsia="Times New Roman" w:hAnsi="Arial" w:cs="Times New Roman"/>
      <w:sz w:val="20"/>
      <w:szCs w:val="20"/>
      <w:lang w:val="en-US"/>
    </w:rPr>
  </w:style>
  <w:style w:type="paragraph" w:styleId="BodyText3">
    <w:name w:val="Body Text 3"/>
    <w:basedOn w:val="Normal"/>
    <w:link w:val="BodyText3Char"/>
    <w:rsid w:val="003521DB"/>
    <w:pPr>
      <w:jc w:val="both"/>
    </w:pPr>
    <w:rPr>
      <w:szCs w:val="24"/>
    </w:rPr>
  </w:style>
  <w:style w:type="character" w:customStyle="1" w:styleId="BodyText3Char">
    <w:name w:val="Body Text 3 Char"/>
    <w:basedOn w:val="DefaultParagraphFont"/>
    <w:link w:val="BodyText3"/>
    <w:rsid w:val="003521DB"/>
    <w:rPr>
      <w:rFonts w:ascii="Times New Roman" w:eastAsia="Times New Roman" w:hAnsi="Times New Roman" w:cs="Times New Roman"/>
      <w:sz w:val="24"/>
      <w:szCs w:val="24"/>
      <w:lang w:val="en-US"/>
    </w:rPr>
  </w:style>
  <w:style w:type="paragraph" w:styleId="Header">
    <w:name w:val="header"/>
    <w:basedOn w:val="Normal"/>
    <w:link w:val="HeaderChar"/>
    <w:rsid w:val="003521DB"/>
    <w:pPr>
      <w:tabs>
        <w:tab w:val="center" w:pos="4320"/>
        <w:tab w:val="right" w:pos="8640"/>
      </w:tabs>
    </w:pPr>
  </w:style>
  <w:style w:type="character" w:customStyle="1" w:styleId="HeaderChar">
    <w:name w:val="Header Char"/>
    <w:basedOn w:val="DefaultParagraphFont"/>
    <w:link w:val="Header"/>
    <w:rsid w:val="003521DB"/>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521DB"/>
    <w:pPr>
      <w:tabs>
        <w:tab w:val="center" w:pos="4320"/>
        <w:tab w:val="right" w:pos="8640"/>
      </w:tabs>
    </w:pPr>
  </w:style>
  <w:style w:type="character" w:customStyle="1" w:styleId="FooterChar">
    <w:name w:val="Footer Char"/>
    <w:basedOn w:val="DefaultParagraphFont"/>
    <w:link w:val="Footer"/>
    <w:uiPriority w:val="99"/>
    <w:rsid w:val="003521DB"/>
    <w:rPr>
      <w:rFonts w:ascii="Times New Roman" w:eastAsia="Times New Roman" w:hAnsi="Times New Roman" w:cs="Times New Roman"/>
      <w:sz w:val="24"/>
      <w:szCs w:val="20"/>
      <w:lang w:val="en-US"/>
    </w:rPr>
  </w:style>
  <w:style w:type="table" w:styleId="TableGrid">
    <w:name w:val="Table Grid"/>
    <w:basedOn w:val="TableNormal"/>
    <w:uiPriority w:val="39"/>
    <w:rsid w:val="003521D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
    <w:basedOn w:val="Normal"/>
    <w:link w:val="FootnoteTextChar"/>
    <w:uiPriority w:val="99"/>
    <w:rsid w:val="003521DB"/>
    <w:rPr>
      <w:sz w:val="20"/>
    </w:rPr>
  </w:style>
  <w:style w:type="character" w:customStyle="1" w:styleId="FootnoteTextChar">
    <w:name w:val="Footnote Text Char"/>
    <w:aliases w:val="Geneva 9 Char Char,Font: Geneva 9 Char Char,Boston 10 Char Char,f Char Char,otnote Text Char Char,Footnote Char Char,ft Char Char,single space Char Char,Footnote Text Char Char Char Char Char Char,Footnote Text Char Char Char1 Char"/>
    <w:basedOn w:val="DefaultParagraphFont"/>
    <w:link w:val="FootnoteText"/>
    <w:uiPriority w:val="99"/>
    <w:rsid w:val="003521DB"/>
    <w:rPr>
      <w:rFonts w:ascii="Times New Roman" w:eastAsia="Times New Roman" w:hAnsi="Times New Roman" w:cs="Times New Roman"/>
      <w:sz w:val="20"/>
      <w:szCs w:val="20"/>
      <w:lang w:val="en-US"/>
    </w:rPr>
  </w:style>
  <w:style w:type="character" w:styleId="FootnoteReference">
    <w:name w:val="footnote reference"/>
    <w:uiPriority w:val="99"/>
    <w:rsid w:val="003521DB"/>
    <w:rPr>
      <w:vertAlign w:val="superscript"/>
    </w:rPr>
  </w:style>
  <w:style w:type="paragraph" w:styleId="BalloonText">
    <w:name w:val="Balloon Text"/>
    <w:basedOn w:val="Normal"/>
    <w:link w:val="BalloonTextChar"/>
    <w:rsid w:val="003521DB"/>
    <w:rPr>
      <w:rFonts w:ascii="Segoe UI" w:hAnsi="Segoe UI" w:cs="Segoe UI"/>
      <w:sz w:val="18"/>
      <w:szCs w:val="18"/>
    </w:rPr>
  </w:style>
  <w:style w:type="character" w:customStyle="1" w:styleId="BalloonTextChar">
    <w:name w:val="Balloon Text Char"/>
    <w:basedOn w:val="DefaultParagraphFont"/>
    <w:link w:val="BalloonText"/>
    <w:rsid w:val="003521DB"/>
    <w:rPr>
      <w:rFonts w:ascii="Segoe UI" w:eastAsia="Times New Roman" w:hAnsi="Segoe UI" w:cs="Segoe UI"/>
      <w:sz w:val="18"/>
      <w:szCs w:val="18"/>
      <w:lang w:val="en-US"/>
    </w:rPr>
  </w:style>
  <w:style w:type="character" w:styleId="Hyperlink">
    <w:name w:val="Hyperlink"/>
    <w:uiPriority w:val="99"/>
    <w:unhideWhenUsed/>
    <w:rsid w:val="003521DB"/>
    <w:rPr>
      <w:color w:val="0000FF"/>
      <w:u w:val="single"/>
    </w:rPr>
  </w:style>
  <w:style w:type="paragraph" w:styleId="Caption">
    <w:name w:val="caption"/>
    <w:basedOn w:val="Normal"/>
    <w:next w:val="Normal"/>
    <w:semiHidden/>
    <w:unhideWhenUsed/>
    <w:qFormat/>
    <w:rsid w:val="003521DB"/>
    <w:rPr>
      <w:b/>
      <w:bCs/>
      <w:sz w:val="2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
    <w:basedOn w:val="Normal"/>
    <w:link w:val="ListParagraphChar"/>
    <w:uiPriority w:val="34"/>
    <w:qFormat/>
    <w:rsid w:val="003521DB"/>
    <w:pPr>
      <w:widowControl/>
      <w:spacing w:after="200" w:line="288" w:lineRule="auto"/>
      <w:ind w:left="720"/>
      <w:contextualSpacing/>
    </w:pPr>
    <w:rPr>
      <w:rFonts w:ascii="Calibri" w:eastAsia="MS Mincho" w:hAnsi="Calibri" w:cs="DokChampa"/>
      <w:sz w:val="21"/>
      <w:szCs w:val="21"/>
      <w:lang w:val="en-GB"/>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
    <w:link w:val="ListParagraph"/>
    <w:uiPriority w:val="34"/>
    <w:qFormat/>
    <w:locked/>
    <w:rsid w:val="003521DB"/>
    <w:rPr>
      <w:rFonts w:ascii="Calibri" w:eastAsia="MS Mincho" w:hAnsi="Calibri" w:cs="DokChampa"/>
      <w:sz w:val="21"/>
      <w:szCs w:val="21"/>
      <w:lang w:val="en-GB"/>
    </w:rPr>
  </w:style>
  <w:style w:type="character" w:styleId="CommentReference">
    <w:name w:val="annotation reference"/>
    <w:rsid w:val="003521DB"/>
    <w:rPr>
      <w:sz w:val="16"/>
      <w:szCs w:val="16"/>
    </w:rPr>
  </w:style>
  <w:style w:type="paragraph" w:styleId="CommentText">
    <w:name w:val="annotation text"/>
    <w:basedOn w:val="Normal"/>
    <w:link w:val="CommentTextChar"/>
    <w:rsid w:val="003521DB"/>
    <w:rPr>
      <w:sz w:val="20"/>
    </w:rPr>
  </w:style>
  <w:style w:type="character" w:customStyle="1" w:styleId="CommentTextChar">
    <w:name w:val="Comment Text Char"/>
    <w:basedOn w:val="DefaultParagraphFont"/>
    <w:link w:val="CommentText"/>
    <w:rsid w:val="003521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521DB"/>
    <w:rPr>
      <w:b/>
      <w:bCs/>
    </w:rPr>
  </w:style>
  <w:style w:type="character" w:customStyle="1" w:styleId="CommentSubjectChar">
    <w:name w:val="Comment Subject Char"/>
    <w:basedOn w:val="CommentTextChar"/>
    <w:link w:val="CommentSubject"/>
    <w:rsid w:val="003521DB"/>
    <w:rPr>
      <w:rFonts w:ascii="Times New Roman" w:eastAsia="Times New Roman" w:hAnsi="Times New Roman" w:cs="Times New Roman"/>
      <w:b/>
      <w:bCs/>
      <w:sz w:val="20"/>
      <w:szCs w:val="20"/>
      <w:lang w:val="en-US"/>
    </w:rPr>
  </w:style>
  <w:style w:type="character" w:styleId="FollowedHyperlink">
    <w:name w:val="FollowedHyperlink"/>
    <w:rsid w:val="003521DB"/>
    <w:rPr>
      <w:color w:val="954F72"/>
      <w:u w:val="single"/>
    </w:rPr>
  </w:style>
  <w:style w:type="character" w:styleId="UnresolvedMention">
    <w:name w:val="Unresolved Mention"/>
    <w:basedOn w:val="DefaultParagraphFont"/>
    <w:uiPriority w:val="99"/>
    <w:unhideWhenUsed/>
    <w:rsid w:val="002929F9"/>
    <w:rPr>
      <w:color w:val="605E5C"/>
      <w:shd w:val="clear" w:color="auto" w:fill="E1DFDD"/>
    </w:rPr>
  </w:style>
  <w:style w:type="character" w:styleId="Mention">
    <w:name w:val="Mention"/>
    <w:basedOn w:val="DefaultParagraphFont"/>
    <w:uiPriority w:val="99"/>
    <w:unhideWhenUsed/>
    <w:rsid w:val="002929F9"/>
    <w:rPr>
      <w:color w:val="2B579A"/>
      <w:shd w:val="clear" w:color="auto" w:fill="E1DFDD"/>
    </w:rPr>
  </w:style>
  <w:style w:type="paragraph" w:styleId="Revision">
    <w:name w:val="Revision"/>
    <w:hidden/>
    <w:uiPriority w:val="99"/>
    <w:semiHidden/>
    <w:rsid w:val="00D870B0"/>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67205">
      <w:bodyDiv w:val="1"/>
      <w:marLeft w:val="0"/>
      <w:marRight w:val="0"/>
      <w:marTop w:val="0"/>
      <w:marBottom w:val="0"/>
      <w:divBdr>
        <w:top w:val="none" w:sz="0" w:space="0" w:color="auto"/>
        <w:left w:val="none" w:sz="0" w:space="0" w:color="auto"/>
        <w:bottom w:val="none" w:sz="0" w:space="0" w:color="auto"/>
        <w:right w:val="none" w:sz="0" w:space="0" w:color="auto"/>
      </w:divBdr>
      <w:divsChild>
        <w:div w:id="1372421186">
          <w:marLeft w:val="0"/>
          <w:marRight w:val="0"/>
          <w:marTop w:val="225"/>
          <w:marBottom w:val="150"/>
          <w:divBdr>
            <w:top w:val="none" w:sz="0" w:space="0" w:color="auto"/>
            <w:left w:val="none" w:sz="0" w:space="0" w:color="auto"/>
            <w:bottom w:val="none" w:sz="0" w:space="0" w:color="auto"/>
            <w:right w:val="none" w:sz="0" w:space="0" w:color="auto"/>
          </w:divBdr>
        </w:div>
      </w:divsChild>
    </w:div>
    <w:div w:id="759374647">
      <w:bodyDiv w:val="1"/>
      <w:marLeft w:val="0"/>
      <w:marRight w:val="0"/>
      <w:marTop w:val="0"/>
      <w:marBottom w:val="0"/>
      <w:divBdr>
        <w:top w:val="none" w:sz="0" w:space="0" w:color="auto"/>
        <w:left w:val="none" w:sz="0" w:space="0" w:color="auto"/>
        <w:bottom w:val="none" w:sz="0" w:space="0" w:color="auto"/>
        <w:right w:val="none" w:sz="0" w:space="0" w:color="auto"/>
      </w:divBdr>
      <w:divsChild>
        <w:div w:id="1106272841">
          <w:marLeft w:val="0"/>
          <w:marRight w:val="0"/>
          <w:marTop w:val="225"/>
          <w:marBottom w:val="150"/>
          <w:divBdr>
            <w:top w:val="none" w:sz="0" w:space="0" w:color="auto"/>
            <w:left w:val="none" w:sz="0" w:space="0" w:color="auto"/>
            <w:bottom w:val="none" w:sz="0" w:space="0" w:color="auto"/>
            <w:right w:val="none" w:sz="0" w:space="0" w:color="auto"/>
          </w:divBdr>
        </w:div>
      </w:divsChild>
    </w:div>
    <w:div w:id="2121028745">
      <w:bodyDiv w:val="1"/>
      <w:marLeft w:val="0"/>
      <w:marRight w:val="0"/>
      <w:marTop w:val="0"/>
      <w:marBottom w:val="0"/>
      <w:divBdr>
        <w:top w:val="none" w:sz="0" w:space="0" w:color="auto"/>
        <w:left w:val="none" w:sz="0" w:space="0" w:color="auto"/>
        <w:bottom w:val="none" w:sz="0" w:space="0" w:color="auto"/>
        <w:right w:val="none" w:sz="0" w:space="0" w:color="auto"/>
      </w:divBdr>
      <w:divsChild>
        <w:div w:id="1596938927">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UNITOFFICE-440-2405</_dlc_DocId>
    <_dlc_DocIdUrl xmlns="5ebeba3d-fd60-4dcb-8548-a9fd3c51d9ff">
      <Url>https://intranet.undp.org/unit/office/exo/sp2014/SP201417/_layouts/15/DocIdRedir.aspx?ID=UNITOFFICE-440-2405</Url>
      <Description>UNITOFFICE-440-2405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9BE37-37B6-47EA-A9DB-C36D92E56A08}">
  <ds:schemaRefs>
    <ds:schemaRef ds:uri="http://schemas.microsoft.com/sharepoint/events"/>
  </ds:schemaRefs>
</ds:datastoreItem>
</file>

<file path=customXml/itemProps2.xml><?xml version="1.0" encoding="utf-8"?>
<ds:datastoreItem xmlns:ds="http://schemas.openxmlformats.org/officeDocument/2006/customXml" ds:itemID="{101027FB-3407-4CEF-A90A-5F47F771E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DAF0D-0E4E-4DAC-A920-33F3A5D4D9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ebeba3d-fd60-4dcb-8548-a9fd3c51d9f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4C88B8-6A5F-40D6-A8DA-855B2A65C56C}">
  <ds:schemaRefs>
    <ds:schemaRef ds:uri="http://schemas.openxmlformats.org/officeDocument/2006/bibliography"/>
  </ds:schemaRefs>
</ds:datastoreItem>
</file>

<file path=customXml/itemProps5.xml><?xml version="1.0" encoding="utf-8"?>
<ds:datastoreItem xmlns:ds="http://schemas.openxmlformats.org/officeDocument/2006/customXml" ds:itemID="{8BD72267-F49A-44CC-9951-D7F9CC345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14406</Characters>
  <Application>Microsoft Office Word</Application>
  <DocSecurity>4</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Guennolet Boumas Ngabina</dc:creator>
  <cp:keywords/>
  <dc:description/>
  <cp:lastModifiedBy>Svetlana Iazykova</cp:lastModifiedBy>
  <cp:revision>2</cp:revision>
  <dcterms:created xsi:type="dcterms:W3CDTF">2022-10-14T09:42:00Z</dcterms:created>
  <dcterms:modified xsi:type="dcterms:W3CDTF">2022-10-14T09:42:00Z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77251c22-53c5-48b1-84ea-4e55ff1569ac</vt:lpwstr>
  </property>
</Properties>
</file>